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845503" w:rsidRDefault="00D306D1" w:rsidP="0046202E">
      <w:pPr>
        <w:jc w:val="both"/>
        <w:rPr>
          <w:rFonts w:ascii="Cambria" w:hAnsi="Cambria" w:cs="Univers"/>
          <w:b/>
          <w:bCs/>
          <w:sz w:val="20"/>
          <w:szCs w:val="20"/>
          <w:lang w:val="es-ES_tradnl"/>
        </w:rPr>
      </w:pPr>
      <w:r w:rsidRPr="00845503">
        <w:rPr>
          <w:rFonts w:ascii="Cambria" w:hAnsi="Cambria"/>
          <w:noProof/>
          <w:sz w:val="20"/>
          <w:szCs w:val="20"/>
        </w:rPr>
        <mc:AlternateContent>
          <mc:Choice Requires="wps">
            <w:drawing>
              <wp:anchor distT="0" distB="0" distL="114300" distR="114300" simplePos="0" relativeHeight="251661311" behindDoc="0" locked="0" layoutInCell="1" allowOverlap="1" wp14:anchorId="74992591" wp14:editId="32430F1B">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88932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45503">
        <w:rPr>
          <w:rFonts w:ascii="Cambria" w:hAnsi="Cambria"/>
          <w:noProof/>
          <w:sz w:val="20"/>
          <w:szCs w:val="20"/>
        </w:rPr>
        <mc:AlternateContent>
          <mc:Choice Requires="wps">
            <w:drawing>
              <wp:anchor distT="0" distB="0" distL="114300" distR="114300" simplePos="0" relativeHeight="251673600" behindDoc="0" locked="0" layoutInCell="1" allowOverlap="1" wp14:anchorId="51A75A25" wp14:editId="1C3A276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D79" w:rsidRDefault="008C5D79" w:rsidP="00AE5488">
                            <w:r>
                              <w:rPr>
                                <w:noProof/>
                              </w:rPr>
                              <w:drawing>
                                <wp:inline distT="0" distB="0" distL="0" distR="0" wp14:anchorId="0DDB4F54" wp14:editId="317F0A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8C5D79" w:rsidRDefault="008C5D79" w:rsidP="00AE5488">
                      <w:r>
                        <w:rPr>
                          <w:noProof/>
                        </w:rPr>
                        <w:drawing>
                          <wp:inline distT="0" distB="0" distL="0" distR="0" wp14:anchorId="0DDB4F54" wp14:editId="317F0AE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845503" w:rsidRDefault="00040C3A" w:rsidP="0046202E">
      <w:pPr>
        <w:tabs>
          <w:tab w:val="center" w:pos="5400"/>
        </w:tabs>
        <w:suppressAutoHyphens/>
        <w:jc w:val="both"/>
        <w:rPr>
          <w:rFonts w:ascii="Cambria" w:hAnsi="Cambria"/>
          <w:sz w:val="20"/>
          <w:szCs w:val="20"/>
          <w:lang w:val="es-ES"/>
        </w:rPr>
      </w:pPr>
    </w:p>
    <w:p w:rsidR="00040C3A" w:rsidRPr="00845503" w:rsidRDefault="00040C3A" w:rsidP="0046202E">
      <w:pPr>
        <w:tabs>
          <w:tab w:val="center" w:pos="5400"/>
        </w:tabs>
        <w:suppressAutoHyphens/>
        <w:jc w:val="both"/>
        <w:rPr>
          <w:rFonts w:ascii="Cambria" w:hAnsi="Cambria"/>
          <w:sz w:val="20"/>
          <w:szCs w:val="20"/>
          <w:lang w:val="es-ES"/>
        </w:rPr>
      </w:pPr>
    </w:p>
    <w:p w:rsidR="005128E4" w:rsidRPr="00845503" w:rsidRDefault="005128E4" w:rsidP="0046202E">
      <w:pPr>
        <w:tabs>
          <w:tab w:val="center" w:pos="5400"/>
        </w:tabs>
        <w:suppressAutoHyphens/>
        <w:jc w:val="both"/>
        <w:rPr>
          <w:rFonts w:ascii="Cambria" w:hAnsi="Cambria"/>
          <w:sz w:val="20"/>
          <w:szCs w:val="20"/>
          <w:lang w:val="es-ES_tradnl"/>
        </w:rPr>
      </w:pPr>
    </w:p>
    <w:p w:rsidR="005128E4" w:rsidRPr="00845503" w:rsidRDefault="005128E4" w:rsidP="0046202E">
      <w:pPr>
        <w:tabs>
          <w:tab w:val="center" w:pos="5400"/>
        </w:tabs>
        <w:suppressAutoHyphens/>
        <w:jc w:val="both"/>
        <w:rPr>
          <w:rFonts w:ascii="Cambria" w:hAnsi="Cambria"/>
          <w:sz w:val="20"/>
          <w:szCs w:val="20"/>
          <w:lang w:val="es-ES_tradnl"/>
        </w:rPr>
      </w:pPr>
    </w:p>
    <w:p w:rsidR="005128E4" w:rsidRPr="00845503" w:rsidRDefault="005128E4" w:rsidP="0046202E">
      <w:pPr>
        <w:tabs>
          <w:tab w:val="center" w:pos="5400"/>
        </w:tabs>
        <w:suppressAutoHyphens/>
        <w:jc w:val="both"/>
        <w:rPr>
          <w:rFonts w:ascii="Cambria" w:hAnsi="Cambria"/>
          <w:sz w:val="20"/>
          <w:szCs w:val="20"/>
          <w:lang w:val="es-ES_tradnl"/>
        </w:rPr>
      </w:pPr>
    </w:p>
    <w:p w:rsidR="00040C3A" w:rsidRPr="00845503" w:rsidRDefault="00040C3A" w:rsidP="0046202E">
      <w:pPr>
        <w:tabs>
          <w:tab w:val="center" w:pos="5400"/>
        </w:tabs>
        <w:suppressAutoHyphens/>
        <w:jc w:val="both"/>
        <w:rPr>
          <w:rFonts w:ascii="Cambria" w:hAnsi="Cambria"/>
          <w:sz w:val="20"/>
          <w:szCs w:val="20"/>
          <w:lang w:val="es-ES_tradnl"/>
        </w:rPr>
      </w:pPr>
    </w:p>
    <w:p w:rsidR="00040C3A" w:rsidRPr="00845503" w:rsidRDefault="00040C3A" w:rsidP="0046202E">
      <w:pPr>
        <w:tabs>
          <w:tab w:val="center" w:pos="5400"/>
        </w:tabs>
        <w:suppressAutoHyphens/>
        <w:jc w:val="both"/>
        <w:rPr>
          <w:rFonts w:ascii="Cambria" w:hAnsi="Cambria"/>
          <w:sz w:val="20"/>
          <w:szCs w:val="20"/>
          <w:lang w:val="es-ES_tradnl"/>
        </w:rPr>
      </w:pPr>
    </w:p>
    <w:p w:rsidR="005B52B0" w:rsidRPr="00845503" w:rsidRDefault="005B52B0" w:rsidP="0046202E">
      <w:pPr>
        <w:tabs>
          <w:tab w:val="center" w:pos="5400"/>
        </w:tabs>
        <w:suppressAutoHyphens/>
        <w:jc w:val="both"/>
        <w:rPr>
          <w:rFonts w:ascii="Cambria" w:hAnsi="Cambria"/>
          <w:sz w:val="20"/>
          <w:szCs w:val="20"/>
          <w:lang w:val="es-ES_tradnl"/>
        </w:rPr>
      </w:pPr>
    </w:p>
    <w:p w:rsidR="005B52B0" w:rsidRPr="00845503" w:rsidRDefault="005B52B0" w:rsidP="0046202E">
      <w:pPr>
        <w:tabs>
          <w:tab w:val="center" w:pos="5400"/>
        </w:tabs>
        <w:suppressAutoHyphens/>
        <w:jc w:val="both"/>
        <w:rPr>
          <w:rFonts w:ascii="Cambria" w:hAnsi="Cambria"/>
          <w:sz w:val="20"/>
          <w:szCs w:val="20"/>
          <w:lang w:val="es-ES_tradnl"/>
        </w:rPr>
      </w:pPr>
    </w:p>
    <w:p w:rsidR="005B52B0" w:rsidRPr="00845503" w:rsidRDefault="005B52B0" w:rsidP="0046202E">
      <w:pPr>
        <w:tabs>
          <w:tab w:val="center" w:pos="5400"/>
        </w:tabs>
        <w:suppressAutoHyphens/>
        <w:jc w:val="both"/>
        <w:rPr>
          <w:rFonts w:ascii="Cambria" w:hAnsi="Cambria"/>
          <w:sz w:val="20"/>
          <w:szCs w:val="20"/>
          <w:lang w:val="es-ES_tradnl"/>
        </w:rPr>
      </w:pPr>
    </w:p>
    <w:p w:rsidR="00040C3A" w:rsidRPr="00845503" w:rsidRDefault="00040C3A" w:rsidP="0046202E">
      <w:pPr>
        <w:tabs>
          <w:tab w:val="center" w:pos="5400"/>
        </w:tabs>
        <w:suppressAutoHyphens/>
        <w:jc w:val="both"/>
        <w:rPr>
          <w:rFonts w:ascii="Cambria" w:hAnsi="Cambria"/>
          <w:sz w:val="20"/>
          <w:szCs w:val="20"/>
          <w:lang w:val="es-ES_tradnl"/>
        </w:rPr>
      </w:pPr>
    </w:p>
    <w:p w:rsidR="00040C3A" w:rsidRPr="00845503" w:rsidRDefault="00040C3A" w:rsidP="0046202E">
      <w:pPr>
        <w:tabs>
          <w:tab w:val="center" w:pos="5400"/>
        </w:tabs>
        <w:suppressAutoHyphens/>
        <w:jc w:val="both"/>
        <w:rPr>
          <w:rFonts w:ascii="Cambria" w:hAnsi="Cambria"/>
          <w:sz w:val="20"/>
          <w:szCs w:val="20"/>
          <w:lang w:val="es-ES_tradnl"/>
        </w:rPr>
      </w:pPr>
    </w:p>
    <w:p w:rsidR="00040C3A" w:rsidRPr="00845503" w:rsidRDefault="003D3BC2" w:rsidP="0046202E">
      <w:pPr>
        <w:tabs>
          <w:tab w:val="center" w:pos="5400"/>
        </w:tabs>
        <w:suppressAutoHyphens/>
        <w:jc w:val="both"/>
        <w:rPr>
          <w:rFonts w:ascii="Cambria" w:hAnsi="Cambria"/>
          <w:sz w:val="20"/>
          <w:szCs w:val="20"/>
          <w:lang w:val="es-ES_tradnl"/>
        </w:rPr>
      </w:pPr>
      <w:r w:rsidRPr="00845503">
        <w:rPr>
          <w:rFonts w:ascii="Cambria" w:hAnsi="Cambria"/>
          <w:noProof/>
          <w:sz w:val="20"/>
          <w:szCs w:val="20"/>
        </w:rPr>
        <mc:AlternateContent>
          <mc:Choice Requires="wps">
            <w:drawing>
              <wp:anchor distT="0" distB="0" distL="114300" distR="114300" simplePos="0" relativeHeight="251669504" behindDoc="0" locked="0" layoutInCell="1" allowOverlap="1" wp14:anchorId="7E05FB05" wp14:editId="467BEAE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D79" w:rsidRPr="004E2649" w:rsidRDefault="008C5D7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27/18</w:t>
                            </w:r>
                          </w:p>
                          <w:p w:rsidR="008C5D79" w:rsidRPr="004E2649" w:rsidRDefault="008C5D7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127</w:t>
                            </w:r>
                          </w:p>
                          <w:p w:rsidR="008C5D79" w:rsidRPr="0010736F" w:rsidRDefault="008C5D79" w:rsidP="00576EB4">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FONDO </w:t>
                            </w:r>
                            <w:r>
                              <w:rPr>
                                <w:rFonts w:asciiTheme="majorHAnsi" w:hAnsiTheme="majorHAnsi" w:cs="Arial"/>
                                <w:color w:val="0D0D0D" w:themeColor="text1" w:themeTint="F2"/>
                                <w:szCs w:val="22"/>
                                <w:lang w:val="es-ES_tradnl"/>
                              </w:rPr>
                              <w:t>(PUBLICACIÓN)</w:t>
                            </w:r>
                          </w:p>
                          <w:p w:rsidR="008C5D79" w:rsidRDefault="008C5D79" w:rsidP="00997BC5">
                            <w:pPr>
                              <w:spacing w:line="276" w:lineRule="auto"/>
                              <w:rPr>
                                <w:rFonts w:asciiTheme="majorHAnsi" w:hAnsiTheme="majorHAnsi" w:cs="Arial"/>
                                <w:color w:val="0D0D0D" w:themeColor="text1" w:themeTint="F2"/>
                                <w:szCs w:val="22"/>
                                <w:lang w:val="es-ES_tradnl"/>
                              </w:rPr>
                            </w:pPr>
                            <w:bookmarkStart w:id="0" w:name="_ftnref1"/>
                          </w:p>
                          <w:p w:rsidR="008C5D79" w:rsidRPr="0010736F" w:rsidRDefault="008C5D7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VLADIMIRO ROCA ANTUNEZ Y OTROS</w:t>
                            </w:r>
                          </w:p>
                          <w:bookmarkEnd w:id="0"/>
                          <w:p w:rsidR="008C5D79" w:rsidRPr="0010736F" w:rsidRDefault="008C5D7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CUBA</w:t>
                            </w:r>
                          </w:p>
                          <w:p w:rsidR="008C5D79" w:rsidRPr="00E04F82" w:rsidRDefault="008C5D79"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8C5D79" w:rsidRPr="004E2649" w:rsidRDefault="008C5D7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27/18</w:t>
                      </w:r>
                    </w:p>
                    <w:p w:rsidR="008C5D79" w:rsidRPr="004E2649" w:rsidRDefault="008C5D7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127</w:t>
                      </w:r>
                    </w:p>
                    <w:p w:rsidR="008C5D79" w:rsidRPr="0010736F" w:rsidRDefault="008C5D79" w:rsidP="00576EB4">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FONDO </w:t>
                      </w:r>
                      <w:r>
                        <w:rPr>
                          <w:rFonts w:asciiTheme="majorHAnsi" w:hAnsiTheme="majorHAnsi" w:cs="Arial"/>
                          <w:color w:val="0D0D0D" w:themeColor="text1" w:themeTint="F2"/>
                          <w:szCs w:val="22"/>
                          <w:lang w:val="es-ES_tradnl"/>
                        </w:rPr>
                        <w:t>(PUBLICACIÓN)</w:t>
                      </w:r>
                    </w:p>
                    <w:p w:rsidR="008C5D79" w:rsidRDefault="008C5D79" w:rsidP="00997BC5">
                      <w:pPr>
                        <w:spacing w:line="276" w:lineRule="auto"/>
                        <w:rPr>
                          <w:rFonts w:asciiTheme="majorHAnsi" w:hAnsiTheme="majorHAnsi" w:cs="Arial"/>
                          <w:color w:val="0D0D0D" w:themeColor="text1" w:themeTint="F2"/>
                          <w:szCs w:val="22"/>
                          <w:lang w:val="es-ES_tradnl"/>
                        </w:rPr>
                      </w:pPr>
                      <w:bookmarkStart w:id="1" w:name="_ftnref1"/>
                    </w:p>
                    <w:p w:rsidR="008C5D79" w:rsidRPr="0010736F" w:rsidRDefault="008C5D7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VLADIMIRO ROCA ANTUNEZ Y OTROS</w:t>
                      </w:r>
                    </w:p>
                    <w:bookmarkEnd w:id="1"/>
                    <w:p w:rsidR="008C5D79" w:rsidRPr="0010736F" w:rsidRDefault="008C5D7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CUBA</w:t>
                      </w:r>
                    </w:p>
                    <w:p w:rsidR="008C5D79" w:rsidRPr="00E04F82" w:rsidRDefault="008C5D79" w:rsidP="007A5817">
                      <w:pPr>
                        <w:rPr>
                          <w:color w:val="0D0D0D" w:themeColor="text1" w:themeTint="F2"/>
                          <w:lang w:val="es-ES"/>
                        </w:rPr>
                      </w:pPr>
                    </w:p>
                  </w:txbxContent>
                </v:textbox>
              </v:shape>
            </w:pict>
          </mc:Fallback>
        </mc:AlternateContent>
      </w:r>
      <w:r w:rsidR="004E2649" w:rsidRPr="00845503">
        <w:rPr>
          <w:rFonts w:ascii="Cambria" w:hAnsi="Cambria"/>
          <w:noProof/>
          <w:sz w:val="20"/>
          <w:szCs w:val="20"/>
        </w:rPr>
        <mc:AlternateContent>
          <mc:Choice Requires="wps">
            <w:drawing>
              <wp:anchor distT="0" distB="0" distL="114300" distR="114300" simplePos="0" relativeHeight="251671552" behindDoc="0" locked="0" layoutInCell="1" allowOverlap="1" wp14:anchorId="1AEF4B9B" wp14:editId="693428D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D79" w:rsidRPr="007F15B8" w:rsidRDefault="008C5D7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OEA/Ser.L/V/II.167</w:t>
                            </w:r>
                          </w:p>
                          <w:p w:rsidR="008C5D79" w:rsidRPr="007F15B8" w:rsidRDefault="008C5D79" w:rsidP="007A5817">
                            <w:pPr>
                              <w:spacing w:line="276" w:lineRule="auto"/>
                              <w:jc w:val="right"/>
                              <w:rPr>
                                <w:rFonts w:asciiTheme="minorHAnsi" w:hAnsiTheme="minorHAnsi"/>
                                <w:color w:val="FFFFFF" w:themeColor="background1"/>
                                <w:sz w:val="22"/>
                                <w:lang w:val="pt-BR"/>
                              </w:rPr>
                            </w:pPr>
                            <w:r w:rsidRPr="007F15B8">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32</w:t>
                            </w:r>
                          </w:p>
                          <w:p w:rsidR="008C5D79" w:rsidRPr="00B30850" w:rsidRDefault="008C5D79"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24 febrero 2018</w:t>
                            </w:r>
                          </w:p>
                          <w:p w:rsidR="008C5D79" w:rsidRPr="00B30850" w:rsidRDefault="008C5D79" w:rsidP="007A5817">
                            <w:pPr>
                              <w:spacing w:line="276" w:lineRule="auto"/>
                              <w:jc w:val="right"/>
                              <w:rPr>
                                <w:rFonts w:asciiTheme="minorHAnsi" w:hAnsiTheme="minorHAnsi"/>
                                <w:color w:val="FFFFFF" w:themeColor="background1"/>
                                <w:sz w:val="22"/>
                                <w:lang w:val="es-CO"/>
                              </w:rPr>
                            </w:pPr>
                            <w:r w:rsidRPr="00B30850">
                              <w:rPr>
                                <w:rFonts w:asciiTheme="minorHAnsi" w:hAnsiTheme="minorHAnsi"/>
                                <w:color w:val="FFFFFF" w:themeColor="background1"/>
                                <w:sz w:val="22"/>
                                <w:lang w:val="es-C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8C5D79" w:rsidRPr="007F15B8" w:rsidRDefault="008C5D7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OEA/Ser.L/V/II.167</w:t>
                      </w:r>
                    </w:p>
                    <w:p w:rsidR="008C5D79" w:rsidRPr="007F15B8" w:rsidRDefault="008C5D79" w:rsidP="007A5817">
                      <w:pPr>
                        <w:spacing w:line="276" w:lineRule="auto"/>
                        <w:jc w:val="right"/>
                        <w:rPr>
                          <w:rFonts w:asciiTheme="minorHAnsi" w:hAnsiTheme="minorHAnsi"/>
                          <w:color w:val="FFFFFF" w:themeColor="background1"/>
                          <w:sz w:val="22"/>
                          <w:lang w:val="pt-BR"/>
                        </w:rPr>
                      </w:pPr>
                      <w:r w:rsidRPr="007F15B8">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32</w:t>
                      </w:r>
                    </w:p>
                    <w:p w:rsidR="008C5D79" w:rsidRPr="00B30850" w:rsidRDefault="008C5D79" w:rsidP="007A5817">
                      <w:pPr>
                        <w:spacing w:line="276" w:lineRule="auto"/>
                        <w:jc w:val="right"/>
                        <w:rPr>
                          <w:rFonts w:asciiTheme="minorHAnsi" w:hAnsiTheme="minorHAnsi"/>
                          <w:color w:val="FFFFFF" w:themeColor="background1"/>
                          <w:sz w:val="22"/>
                          <w:lang w:val="es-CO"/>
                        </w:rPr>
                      </w:pPr>
                      <w:r>
                        <w:rPr>
                          <w:rFonts w:asciiTheme="minorHAnsi" w:hAnsiTheme="minorHAnsi"/>
                          <w:color w:val="FFFFFF" w:themeColor="background1"/>
                          <w:sz w:val="22"/>
                          <w:lang w:val="es-CO"/>
                        </w:rPr>
                        <w:t>24 febrero 2018</w:t>
                      </w:r>
                    </w:p>
                    <w:p w:rsidR="008C5D79" w:rsidRPr="00B30850" w:rsidRDefault="008C5D79" w:rsidP="007A5817">
                      <w:pPr>
                        <w:spacing w:line="276" w:lineRule="auto"/>
                        <w:jc w:val="right"/>
                        <w:rPr>
                          <w:rFonts w:asciiTheme="minorHAnsi" w:hAnsiTheme="minorHAnsi"/>
                          <w:color w:val="FFFFFF" w:themeColor="background1"/>
                          <w:sz w:val="22"/>
                          <w:lang w:val="es-CO"/>
                        </w:rPr>
                      </w:pPr>
                      <w:r w:rsidRPr="00B30850">
                        <w:rPr>
                          <w:rFonts w:asciiTheme="minorHAnsi" w:hAnsiTheme="minorHAnsi"/>
                          <w:color w:val="FFFFFF" w:themeColor="background1"/>
                          <w:sz w:val="22"/>
                          <w:lang w:val="es-CO"/>
                        </w:rPr>
                        <w:t>Original: español</w:t>
                      </w:r>
                    </w:p>
                  </w:txbxContent>
                </v:textbox>
              </v:shape>
            </w:pict>
          </mc:Fallback>
        </mc:AlternateContent>
      </w:r>
    </w:p>
    <w:p w:rsidR="00040C3A" w:rsidRPr="00845503" w:rsidRDefault="00040C3A" w:rsidP="0046202E">
      <w:pPr>
        <w:tabs>
          <w:tab w:val="center" w:pos="5400"/>
        </w:tabs>
        <w:suppressAutoHyphens/>
        <w:jc w:val="both"/>
        <w:rPr>
          <w:rFonts w:ascii="Cambria" w:hAnsi="Cambria"/>
          <w:sz w:val="20"/>
          <w:szCs w:val="20"/>
          <w:lang w:val="es-ES_tradnl"/>
        </w:rPr>
      </w:pPr>
    </w:p>
    <w:p w:rsidR="00040C3A" w:rsidRPr="00845503" w:rsidRDefault="00040C3A" w:rsidP="0046202E">
      <w:pPr>
        <w:tabs>
          <w:tab w:val="center" w:pos="5400"/>
        </w:tabs>
        <w:suppressAutoHyphens/>
        <w:jc w:val="both"/>
        <w:rPr>
          <w:rFonts w:ascii="Cambria" w:hAnsi="Cambria"/>
          <w:sz w:val="20"/>
          <w:szCs w:val="20"/>
          <w:lang w:val="es-ES_tradnl"/>
        </w:rPr>
      </w:pPr>
    </w:p>
    <w:p w:rsidR="00040C3A" w:rsidRPr="00845503" w:rsidRDefault="00040C3A" w:rsidP="0046202E">
      <w:pPr>
        <w:tabs>
          <w:tab w:val="center" w:pos="5400"/>
        </w:tabs>
        <w:suppressAutoHyphens/>
        <w:jc w:val="both"/>
        <w:rPr>
          <w:rFonts w:ascii="Cambria" w:hAnsi="Cambria" w:cs="Arial"/>
          <w:sz w:val="20"/>
          <w:szCs w:val="20"/>
          <w:lang w:val="es-ES_tradnl"/>
        </w:rPr>
      </w:pPr>
    </w:p>
    <w:p w:rsidR="00040C3A" w:rsidRPr="00845503" w:rsidRDefault="00040C3A" w:rsidP="0046202E">
      <w:pPr>
        <w:tabs>
          <w:tab w:val="center" w:pos="5400"/>
        </w:tabs>
        <w:suppressAutoHyphens/>
        <w:jc w:val="both"/>
        <w:rPr>
          <w:rFonts w:ascii="Cambria" w:hAnsi="Cambria"/>
          <w:sz w:val="20"/>
          <w:szCs w:val="20"/>
          <w:lang w:val="es-ES_tradnl"/>
        </w:rPr>
      </w:pPr>
    </w:p>
    <w:p w:rsidR="00040C3A" w:rsidRPr="00845503" w:rsidRDefault="00040C3A" w:rsidP="0046202E">
      <w:pPr>
        <w:tabs>
          <w:tab w:val="center" w:pos="5400"/>
        </w:tabs>
        <w:suppressAutoHyphens/>
        <w:jc w:val="both"/>
        <w:rPr>
          <w:rFonts w:ascii="Cambria" w:hAnsi="Cambria"/>
          <w:sz w:val="20"/>
          <w:szCs w:val="20"/>
          <w:lang w:val="es-ES_tradnl"/>
        </w:rPr>
      </w:pPr>
    </w:p>
    <w:p w:rsidR="00040C3A" w:rsidRPr="00845503" w:rsidRDefault="00040C3A" w:rsidP="0046202E">
      <w:pPr>
        <w:tabs>
          <w:tab w:val="center" w:pos="5400"/>
        </w:tabs>
        <w:suppressAutoHyphens/>
        <w:jc w:val="both"/>
        <w:rPr>
          <w:rFonts w:ascii="Cambria" w:hAnsi="Cambria"/>
          <w:sz w:val="20"/>
          <w:szCs w:val="20"/>
          <w:lang w:val="es-ES_tradnl"/>
        </w:rPr>
      </w:pPr>
    </w:p>
    <w:p w:rsidR="00040C3A" w:rsidRPr="00845503" w:rsidRDefault="00040C3A" w:rsidP="0046202E">
      <w:pPr>
        <w:tabs>
          <w:tab w:val="center" w:pos="5400"/>
        </w:tabs>
        <w:suppressAutoHyphens/>
        <w:jc w:val="both"/>
        <w:rPr>
          <w:rFonts w:ascii="Cambria" w:hAnsi="Cambria"/>
          <w:sz w:val="20"/>
          <w:szCs w:val="20"/>
          <w:lang w:val="es-ES_tradnl"/>
        </w:rPr>
      </w:pPr>
    </w:p>
    <w:p w:rsidR="005128E4" w:rsidRPr="00845503" w:rsidRDefault="005128E4" w:rsidP="0046202E">
      <w:pPr>
        <w:tabs>
          <w:tab w:val="center" w:pos="5400"/>
        </w:tabs>
        <w:suppressAutoHyphens/>
        <w:jc w:val="both"/>
        <w:rPr>
          <w:rFonts w:ascii="Cambria" w:hAnsi="Cambria"/>
          <w:sz w:val="20"/>
          <w:szCs w:val="20"/>
          <w:lang w:val="es-ES_tradnl"/>
        </w:rPr>
      </w:pPr>
    </w:p>
    <w:p w:rsidR="00040C3A" w:rsidRPr="00845503" w:rsidRDefault="00040C3A" w:rsidP="0046202E">
      <w:pPr>
        <w:tabs>
          <w:tab w:val="center" w:pos="5400"/>
        </w:tabs>
        <w:suppressAutoHyphens/>
        <w:jc w:val="both"/>
        <w:rPr>
          <w:rFonts w:ascii="Cambria" w:hAnsi="Cambria"/>
          <w:sz w:val="20"/>
          <w:szCs w:val="20"/>
          <w:lang w:val="es-ES_tradnl"/>
        </w:rPr>
      </w:pPr>
    </w:p>
    <w:p w:rsidR="005128E4" w:rsidRPr="00845503" w:rsidRDefault="005128E4" w:rsidP="0046202E">
      <w:pPr>
        <w:tabs>
          <w:tab w:val="center" w:pos="5400"/>
        </w:tabs>
        <w:suppressAutoHyphens/>
        <w:jc w:val="both"/>
        <w:rPr>
          <w:rFonts w:ascii="Cambria" w:hAnsi="Cambria"/>
          <w:sz w:val="20"/>
          <w:szCs w:val="20"/>
          <w:lang w:val="es-ES_tradnl"/>
        </w:rPr>
      </w:pPr>
    </w:p>
    <w:p w:rsidR="005128E4" w:rsidRPr="00845503" w:rsidRDefault="005128E4" w:rsidP="0046202E">
      <w:pPr>
        <w:tabs>
          <w:tab w:val="center" w:pos="5400"/>
        </w:tabs>
        <w:suppressAutoHyphens/>
        <w:jc w:val="both"/>
        <w:rPr>
          <w:rFonts w:ascii="Cambria" w:hAnsi="Cambria"/>
          <w:sz w:val="20"/>
          <w:szCs w:val="20"/>
          <w:lang w:val="es-ES_tradnl"/>
        </w:rPr>
      </w:pPr>
    </w:p>
    <w:p w:rsidR="005128E4" w:rsidRPr="00845503" w:rsidRDefault="005128E4" w:rsidP="0046202E">
      <w:pPr>
        <w:tabs>
          <w:tab w:val="center" w:pos="5400"/>
        </w:tabs>
        <w:suppressAutoHyphens/>
        <w:jc w:val="both"/>
        <w:rPr>
          <w:rFonts w:ascii="Cambria" w:hAnsi="Cambria"/>
          <w:sz w:val="20"/>
          <w:szCs w:val="20"/>
          <w:lang w:val="es-ES_tradnl"/>
        </w:rPr>
      </w:pPr>
    </w:p>
    <w:p w:rsidR="00040C3A" w:rsidRPr="00845503" w:rsidRDefault="00040C3A" w:rsidP="0046202E">
      <w:pPr>
        <w:tabs>
          <w:tab w:val="center" w:pos="5400"/>
        </w:tabs>
        <w:suppressAutoHyphens/>
        <w:jc w:val="both"/>
        <w:rPr>
          <w:rFonts w:ascii="Cambria" w:hAnsi="Cambria"/>
          <w:sz w:val="20"/>
          <w:szCs w:val="20"/>
          <w:lang w:val="es-ES_tradnl"/>
        </w:rPr>
      </w:pPr>
    </w:p>
    <w:p w:rsidR="00040C3A" w:rsidRPr="00845503" w:rsidRDefault="00040C3A"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90270B" w:rsidP="0046202E">
      <w:pPr>
        <w:tabs>
          <w:tab w:val="center" w:pos="5400"/>
        </w:tabs>
        <w:suppressAutoHyphens/>
        <w:jc w:val="both"/>
        <w:rPr>
          <w:rFonts w:ascii="Cambria" w:hAnsi="Cambria"/>
          <w:sz w:val="20"/>
          <w:szCs w:val="20"/>
          <w:lang w:val="es-ES_tradnl"/>
        </w:rPr>
      </w:pPr>
      <w:r w:rsidRPr="00845503">
        <w:rPr>
          <w:rFonts w:ascii="Cambria" w:hAnsi="Cambria"/>
          <w:noProof/>
          <w:sz w:val="20"/>
          <w:szCs w:val="20"/>
        </w:rPr>
        <mc:AlternateContent>
          <mc:Choice Requires="wps">
            <w:drawing>
              <wp:anchor distT="0" distB="0" distL="114300" distR="114300" simplePos="0" relativeHeight="251670528" behindDoc="0" locked="0" layoutInCell="1" allowOverlap="1" wp14:anchorId="110E938D" wp14:editId="773F2F7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D79" w:rsidRPr="00890650" w:rsidRDefault="008C5D79"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w:t>
                            </w:r>
                            <w:r>
                              <w:rPr>
                                <w:rFonts w:asciiTheme="majorHAnsi" w:hAnsiTheme="majorHAnsi"/>
                                <w:color w:val="0D0D0D" w:themeColor="text1" w:themeTint="F2"/>
                                <w:sz w:val="18"/>
                                <w:szCs w:val="20"/>
                                <w:lang w:val="es-ES"/>
                              </w:rPr>
                              <w:t xml:space="preserve">o </w:t>
                            </w:r>
                            <w:r w:rsidR="002843BD">
                              <w:rPr>
                                <w:rFonts w:asciiTheme="majorHAnsi" w:hAnsiTheme="majorHAnsi"/>
                                <w:color w:val="0D0D0D" w:themeColor="text1" w:themeTint="F2"/>
                                <w:sz w:val="18"/>
                                <w:szCs w:val="20"/>
                                <w:lang w:val="es-ES"/>
                              </w:rPr>
                              <w:t>por la Comisión en su Sesión Nº</w:t>
                            </w:r>
                            <w:r>
                              <w:rPr>
                                <w:rFonts w:asciiTheme="majorHAnsi" w:hAnsiTheme="majorHAnsi"/>
                                <w:color w:val="0D0D0D" w:themeColor="text1" w:themeTint="F2"/>
                                <w:sz w:val="18"/>
                                <w:szCs w:val="20"/>
                                <w:lang w:val="es-ES"/>
                              </w:rPr>
                              <w:t xml:space="preserve"> 2116</w:t>
                            </w:r>
                            <w:r w:rsidRPr="00890650">
                              <w:rPr>
                                <w:rFonts w:asciiTheme="majorHAnsi" w:hAnsiTheme="majorHAnsi"/>
                                <w:color w:val="0D0D0D" w:themeColor="text1" w:themeTint="F2"/>
                                <w:sz w:val="18"/>
                                <w:szCs w:val="20"/>
                                <w:lang w:val="es-ES"/>
                              </w:rPr>
                              <w:t xml:space="preserve"> celebrada el</w:t>
                            </w:r>
                            <w:r>
                              <w:rPr>
                                <w:rFonts w:asciiTheme="majorHAnsi" w:hAnsiTheme="majorHAnsi"/>
                                <w:color w:val="0D0D0D" w:themeColor="text1" w:themeTint="F2"/>
                                <w:sz w:val="18"/>
                                <w:szCs w:val="20"/>
                                <w:lang w:val="es-ES"/>
                              </w:rPr>
                              <w:t xml:space="preserve"> 24 de febrero de 2018</w:t>
                            </w:r>
                            <w:r w:rsidR="002843BD">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t xml:space="preserve"> </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167º</w:t>
                            </w:r>
                            <w:r w:rsidRPr="00890650">
                              <w:rPr>
                                <w:rFonts w:asciiTheme="majorHAnsi" w:hAnsiTheme="majorHAnsi" w:cs="Univers"/>
                                <w:color w:val="0D0D0D" w:themeColor="text1" w:themeTint="F2"/>
                                <w:sz w:val="18"/>
                                <w:szCs w:val="20"/>
                                <w:lang w:val="es-ES_tradnl"/>
                              </w:rPr>
                              <w:t xml:space="preserve"> </w:t>
                            </w:r>
                            <w:r w:rsidR="0018714B">
                              <w:rPr>
                                <w:rFonts w:asciiTheme="majorHAnsi" w:hAnsiTheme="majorHAnsi" w:cs="Univers"/>
                                <w:color w:val="0D0D0D" w:themeColor="text1" w:themeTint="F2"/>
                                <w:sz w:val="18"/>
                                <w:szCs w:val="20"/>
                                <w:lang w:val="es-ES_tradnl"/>
                              </w:rPr>
                              <w:t>Período Extrao</w:t>
                            </w:r>
                            <w:r>
                              <w:rPr>
                                <w:rFonts w:asciiTheme="majorHAnsi" w:hAnsiTheme="majorHAnsi" w:cs="Univers"/>
                                <w:color w:val="0D0D0D" w:themeColor="text1" w:themeTint="F2"/>
                                <w:sz w:val="18"/>
                                <w:szCs w:val="20"/>
                                <w:lang w:val="es-ES_tradnl"/>
                              </w:rPr>
                              <w:t>rdinario de S</w:t>
                            </w:r>
                            <w:r w:rsidRPr="00890650">
                              <w:rPr>
                                <w:rFonts w:asciiTheme="majorHAnsi" w:hAnsiTheme="majorHAnsi" w:cs="Univers"/>
                                <w:color w:val="0D0D0D" w:themeColor="text1" w:themeTint="F2"/>
                                <w:sz w:val="18"/>
                                <w:szCs w:val="20"/>
                                <w:lang w:val="es-ES_tradnl"/>
                              </w:rPr>
                              <w:t>esiones</w:t>
                            </w:r>
                          </w:p>
                          <w:p w:rsidR="008C5D79" w:rsidRPr="007A5817" w:rsidRDefault="008C5D79" w:rsidP="00247403">
                            <w:pPr>
                              <w:tabs>
                                <w:tab w:val="center" w:pos="5400"/>
                              </w:tabs>
                              <w:suppressAutoHyphens/>
                              <w:spacing w:before="60"/>
                              <w:rPr>
                                <w:rFonts w:asciiTheme="minorHAnsi" w:hAnsiTheme="minorHAnsi" w:cs="Univers"/>
                                <w:color w:val="0D0D0D" w:themeColor="text1" w:themeTint="F2"/>
                                <w:sz w:val="20"/>
                                <w:szCs w:val="20"/>
                                <w:lang w:val="es-ES"/>
                              </w:rPr>
                            </w:pPr>
                          </w:p>
                          <w:p w:rsidR="008C5D79" w:rsidRPr="00167A34" w:rsidRDefault="008C5D7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8C5D79" w:rsidRPr="00890650" w:rsidRDefault="008C5D79"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w:t>
                      </w:r>
                      <w:r>
                        <w:rPr>
                          <w:rFonts w:asciiTheme="majorHAnsi" w:hAnsiTheme="majorHAnsi"/>
                          <w:color w:val="0D0D0D" w:themeColor="text1" w:themeTint="F2"/>
                          <w:sz w:val="18"/>
                          <w:szCs w:val="20"/>
                          <w:lang w:val="es-ES"/>
                        </w:rPr>
                        <w:t xml:space="preserve">o </w:t>
                      </w:r>
                      <w:r w:rsidR="002843BD">
                        <w:rPr>
                          <w:rFonts w:asciiTheme="majorHAnsi" w:hAnsiTheme="majorHAnsi"/>
                          <w:color w:val="0D0D0D" w:themeColor="text1" w:themeTint="F2"/>
                          <w:sz w:val="18"/>
                          <w:szCs w:val="20"/>
                          <w:lang w:val="es-ES"/>
                        </w:rPr>
                        <w:t>por la Comisión en su Sesión Nº</w:t>
                      </w:r>
                      <w:r>
                        <w:rPr>
                          <w:rFonts w:asciiTheme="majorHAnsi" w:hAnsiTheme="majorHAnsi"/>
                          <w:color w:val="0D0D0D" w:themeColor="text1" w:themeTint="F2"/>
                          <w:sz w:val="18"/>
                          <w:szCs w:val="20"/>
                          <w:lang w:val="es-ES"/>
                        </w:rPr>
                        <w:t xml:space="preserve"> 2116</w:t>
                      </w:r>
                      <w:r w:rsidRPr="00890650">
                        <w:rPr>
                          <w:rFonts w:asciiTheme="majorHAnsi" w:hAnsiTheme="majorHAnsi"/>
                          <w:color w:val="0D0D0D" w:themeColor="text1" w:themeTint="F2"/>
                          <w:sz w:val="18"/>
                          <w:szCs w:val="20"/>
                          <w:lang w:val="es-ES"/>
                        </w:rPr>
                        <w:t xml:space="preserve"> celebrada el</w:t>
                      </w:r>
                      <w:r>
                        <w:rPr>
                          <w:rFonts w:asciiTheme="majorHAnsi" w:hAnsiTheme="majorHAnsi"/>
                          <w:color w:val="0D0D0D" w:themeColor="text1" w:themeTint="F2"/>
                          <w:sz w:val="18"/>
                          <w:szCs w:val="20"/>
                          <w:lang w:val="es-ES"/>
                        </w:rPr>
                        <w:t xml:space="preserve"> 24 de febrero de 2018</w:t>
                      </w:r>
                      <w:r w:rsidR="002843BD">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t xml:space="preserve"> </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167º</w:t>
                      </w:r>
                      <w:r w:rsidRPr="00890650">
                        <w:rPr>
                          <w:rFonts w:asciiTheme="majorHAnsi" w:hAnsiTheme="majorHAnsi" w:cs="Univers"/>
                          <w:color w:val="0D0D0D" w:themeColor="text1" w:themeTint="F2"/>
                          <w:sz w:val="18"/>
                          <w:szCs w:val="20"/>
                          <w:lang w:val="es-ES_tradnl"/>
                        </w:rPr>
                        <w:t xml:space="preserve"> </w:t>
                      </w:r>
                      <w:r w:rsidR="0018714B">
                        <w:rPr>
                          <w:rFonts w:asciiTheme="majorHAnsi" w:hAnsiTheme="majorHAnsi" w:cs="Univers"/>
                          <w:color w:val="0D0D0D" w:themeColor="text1" w:themeTint="F2"/>
                          <w:sz w:val="18"/>
                          <w:szCs w:val="20"/>
                          <w:lang w:val="es-ES_tradnl"/>
                        </w:rPr>
                        <w:t>Período Extrao</w:t>
                      </w:r>
                      <w:r>
                        <w:rPr>
                          <w:rFonts w:asciiTheme="majorHAnsi" w:hAnsiTheme="majorHAnsi" w:cs="Univers"/>
                          <w:color w:val="0D0D0D" w:themeColor="text1" w:themeTint="F2"/>
                          <w:sz w:val="18"/>
                          <w:szCs w:val="20"/>
                          <w:lang w:val="es-ES_tradnl"/>
                        </w:rPr>
                        <w:t>rdinario de S</w:t>
                      </w:r>
                      <w:r w:rsidRPr="00890650">
                        <w:rPr>
                          <w:rFonts w:asciiTheme="majorHAnsi" w:hAnsiTheme="majorHAnsi" w:cs="Univers"/>
                          <w:color w:val="0D0D0D" w:themeColor="text1" w:themeTint="F2"/>
                          <w:sz w:val="18"/>
                          <w:szCs w:val="20"/>
                          <w:lang w:val="es-ES_tradnl"/>
                        </w:rPr>
                        <w:t>esiones</w:t>
                      </w:r>
                    </w:p>
                    <w:p w:rsidR="008C5D79" w:rsidRPr="007A5817" w:rsidRDefault="008C5D79" w:rsidP="00247403">
                      <w:pPr>
                        <w:tabs>
                          <w:tab w:val="center" w:pos="5400"/>
                        </w:tabs>
                        <w:suppressAutoHyphens/>
                        <w:spacing w:before="60"/>
                        <w:rPr>
                          <w:rFonts w:asciiTheme="minorHAnsi" w:hAnsiTheme="minorHAnsi" w:cs="Univers"/>
                          <w:color w:val="0D0D0D" w:themeColor="text1" w:themeTint="F2"/>
                          <w:sz w:val="20"/>
                          <w:szCs w:val="20"/>
                          <w:lang w:val="es-ES"/>
                        </w:rPr>
                      </w:pPr>
                    </w:p>
                    <w:p w:rsidR="008C5D79" w:rsidRPr="00167A34" w:rsidRDefault="008C5D7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A50FCF" w:rsidP="0046202E">
      <w:pPr>
        <w:tabs>
          <w:tab w:val="center" w:pos="5400"/>
        </w:tabs>
        <w:suppressAutoHyphens/>
        <w:jc w:val="both"/>
        <w:rPr>
          <w:rFonts w:ascii="Cambria" w:hAnsi="Cambria"/>
          <w:sz w:val="20"/>
          <w:szCs w:val="20"/>
          <w:lang w:val="es-ES_tradnl"/>
        </w:rPr>
      </w:pPr>
    </w:p>
    <w:p w:rsidR="00A50FCF" w:rsidRPr="00845503" w:rsidRDefault="0090270B" w:rsidP="0046202E">
      <w:pPr>
        <w:tabs>
          <w:tab w:val="center" w:pos="5400"/>
        </w:tabs>
        <w:suppressAutoHyphens/>
        <w:jc w:val="both"/>
        <w:rPr>
          <w:rFonts w:ascii="Cambria" w:hAnsi="Cambria"/>
          <w:sz w:val="20"/>
          <w:szCs w:val="20"/>
          <w:lang w:val="es-ES_tradnl"/>
        </w:rPr>
      </w:pPr>
      <w:r w:rsidRPr="00845503">
        <w:rPr>
          <w:rFonts w:ascii="Cambria" w:hAnsi="Cambria"/>
          <w:noProof/>
          <w:sz w:val="20"/>
          <w:szCs w:val="20"/>
        </w:rPr>
        <mc:AlternateContent>
          <mc:Choice Requires="wps">
            <w:drawing>
              <wp:anchor distT="0" distB="0" distL="114300" distR="114300" simplePos="0" relativeHeight="251678720" behindDoc="0" locked="0" layoutInCell="1" allowOverlap="1" wp14:anchorId="4E0D88C7" wp14:editId="7845274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D79" w:rsidRPr="00CC6B77" w:rsidRDefault="008C5D79" w:rsidP="00113F73">
                            <w:pPr>
                              <w:spacing w:line="276" w:lineRule="auto"/>
                              <w:rPr>
                                <w:rFonts w:ascii="MingLiU-ExtB" w:eastAsia="MingLiU-ExtB" w:hAnsi="MingLiU-ExtB" w:cs="MingLiU-ExtB"/>
                                <w:color w:val="595959" w:themeColor="text1" w:themeTint="A6"/>
                                <w:sz w:val="18"/>
                                <w:szCs w:val="18"/>
                                <w:lang w:val="es-PE"/>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Nº 27/18, Caso Nº 12.127. </w:t>
                            </w:r>
                            <w:r w:rsidRPr="00CC6B77">
                              <w:rPr>
                                <w:rFonts w:asciiTheme="majorHAnsi" w:hAnsiTheme="majorHAnsi"/>
                                <w:color w:val="595959" w:themeColor="text1" w:themeTint="A6"/>
                                <w:sz w:val="18"/>
                                <w:szCs w:val="18"/>
                                <w:lang w:val="es-PE"/>
                              </w:rPr>
                              <w:t xml:space="preserve">Fondo (Publicación). Vladimiro Roca Antunez y Otros. </w:t>
                            </w:r>
                            <w:r>
                              <w:rPr>
                                <w:rFonts w:asciiTheme="majorHAnsi" w:hAnsiTheme="majorHAnsi"/>
                                <w:color w:val="595959" w:themeColor="text1" w:themeTint="A6"/>
                                <w:sz w:val="18"/>
                                <w:szCs w:val="18"/>
                                <w:lang w:val="es-PE"/>
                              </w:rPr>
                              <w:t>Cuba. 24 de febrero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8C5D79" w:rsidRPr="00CC6B77" w:rsidRDefault="008C5D79" w:rsidP="00113F73">
                      <w:pPr>
                        <w:spacing w:line="276" w:lineRule="auto"/>
                        <w:rPr>
                          <w:rFonts w:ascii="MingLiU-ExtB" w:eastAsia="MingLiU-ExtB" w:hAnsi="MingLiU-ExtB" w:cs="MingLiU-ExtB"/>
                          <w:color w:val="595959" w:themeColor="text1" w:themeTint="A6"/>
                          <w:sz w:val="18"/>
                          <w:szCs w:val="18"/>
                          <w:lang w:val="es-PE"/>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Nº 27/18, Caso Nº 12.127. </w:t>
                      </w:r>
                      <w:r w:rsidRPr="00CC6B77">
                        <w:rPr>
                          <w:rFonts w:asciiTheme="majorHAnsi" w:hAnsiTheme="majorHAnsi"/>
                          <w:color w:val="595959" w:themeColor="text1" w:themeTint="A6"/>
                          <w:sz w:val="18"/>
                          <w:szCs w:val="18"/>
                          <w:lang w:val="es-PE"/>
                        </w:rPr>
                        <w:t xml:space="preserve">Fondo (Publicación). Vladimiro Roca </w:t>
                      </w:r>
                      <w:proofErr w:type="spellStart"/>
                      <w:r w:rsidRPr="00CC6B77">
                        <w:rPr>
                          <w:rFonts w:asciiTheme="majorHAnsi" w:hAnsiTheme="majorHAnsi"/>
                          <w:color w:val="595959" w:themeColor="text1" w:themeTint="A6"/>
                          <w:sz w:val="18"/>
                          <w:szCs w:val="18"/>
                          <w:lang w:val="es-PE"/>
                        </w:rPr>
                        <w:t>Antunez</w:t>
                      </w:r>
                      <w:proofErr w:type="spellEnd"/>
                      <w:r w:rsidRPr="00CC6B77">
                        <w:rPr>
                          <w:rFonts w:asciiTheme="majorHAnsi" w:hAnsiTheme="majorHAnsi"/>
                          <w:color w:val="595959" w:themeColor="text1" w:themeTint="A6"/>
                          <w:sz w:val="18"/>
                          <w:szCs w:val="18"/>
                          <w:lang w:val="es-PE"/>
                        </w:rPr>
                        <w:t xml:space="preserve"> y Otros. </w:t>
                      </w:r>
                      <w:r>
                        <w:rPr>
                          <w:rFonts w:asciiTheme="majorHAnsi" w:hAnsiTheme="majorHAnsi"/>
                          <w:color w:val="595959" w:themeColor="text1" w:themeTint="A6"/>
                          <w:sz w:val="18"/>
                          <w:szCs w:val="18"/>
                          <w:lang w:val="es-PE"/>
                        </w:rPr>
                        <w:t>Cuba. 24 de febrero de 2018.</w:t>
                      </w:r>
                    </w:p>
                  </w:txbxContent>
                </v:textbox>
              </v:shape>
            </w:pict>
          </mc:Fallback>
        </mc:AlternateContent>
      </w:r>
    </w:p>
    <w:p w:rsidR="00A50FCF" w:rsidRPr="00845503" w:rsidRDefault="00A50FCF" w:rsidP="0046202E">
      <w:pPr>
        <w:tabs>
          <w:tab w:val="center" w:pos="5400"/>
        </w:tabs>
        <w:suppressAutoHyphens/>
        <w:jc w:val="both"/>
        <w:rPr>
          <w:rFonts w:ascii="Cambria" w:hAnsi="Cambria"/>
          <w:sz w:val="20"/>
          <w:szCs w:val="20"/>
          <w:lang w:val="es-ES_tradnl"/>
        </w:rPr>
      </w:pPr>
    </w:p>
    <w:p w:rsidR="0090270B" w:rsidRPr="00845503" w:rsidRDefault="00D306D1" w:rsidP="0046202E">
      <w:pPr>
        <w:tabs>
          <w:tab w:val="center" w:pos="5400"/>
        </w:tabs>
        <w:suppressAutoHyphens/>
        <w:jc w:val="both"/>
        <w:rPr>
          <w:rFonts w:ascii="Cambria" w:hAnsi="Cambria"/>
          <w:b/>
          <w:sz w:val="20"/>
          <w:szCs w:val="20"/>
          <w:lang w:val="es-ES_tradnl"/>
        </w:rPr>
      </w:pPr>
      <w:r w:rsidRPr="00845503">
        <w:rPr>
          <w:rFonts w:ascii="Cambria" w:hAnsi="Cambria"/>
          <w:noProof/>
          <w:sz w:val="20"/>
          <w:szCs w:val="20"/>
        </w:rPr>
        <mc:AlternateContent>
          <mc:Choice Requires="wps">
            <w:drawing>
              <wp:anchor distT="0" distB="0" distL="114300" distR="114300" simplePos="0" relativeHeight="251680768" behindDoc="0" locked="0" layoutInCell="1" allowOverlap="1" wp14:anchorId="10020CEB" wp14:editId="39B659B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5D79" w:rsidRPr="00D72DC6" w:rsidRDefault="008C5D7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DDF6C7E" wp14:editId="3F51E07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8C5D79" w:rsidRPr="00D72DC6" w:rsidRDefault="008C5D7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DDF6C7E" wp14:editId="3F51E07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45503">
        <w:rPr>
          <w:rFonts w:ascii="Cambria" w:hAnsi="Cambria"/>
          <w:noProof/>
          <w:sz w:val="20"/>
          <w:szCs w:val="20"/>
        </w:rPr>
        <mc:AlternateContent>
          <mc:Choice Requires="wps">
            <w:drawing>
              <wp:anchor distT="0" distB="0" distL="114300" distR="114300" simplePos="0" relativeHeight="251682816" behindDoc="0" locked="0" layoutInCell="1" allowOverlap="1" wp14:anchorId="239D23EA" wp14:editId="5E779EB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D79" w:rsidRPr="004B7EB6" w:rsidRDefault="008C5D7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8C5D79" w:rsidRPr="004B7EB6" w:rsidRDefault="008C5D7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845503" w:rsidRDefault="0070697F" w:rsidP="0046202E">
      <w:pPr>
        <w:tabs>
          <w:tab w:val="center" w:pos="5400"/>
        </w:tabs>
        <w:suppressAutoHyphens/>
        <w:jc w:val="both"/>
        <w:rPr>
          <w:rFonts w:ascii="Cambria" w:hAnsi="Cambria"/>
          <w:b/>
          <w:sz w:val="20"/>
          <w:szCs w:val="20"/>
          <w:lang w:val="es-ES_tradnl"/>
        </w:rPr>
        <w:sectPr w:rsidR="0070697F" w:rsidRPr="00845503"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DF1EC4" w:rsidRPr="00845503" w:rsidRDefault="00DF1EC4" w:rsidP="0046202E">
      <w:pPr>
        <w:tabs>
          <w:tab w:val="center" w:pos="4680"/>
          <w:tab w:val="left" w:pos="6511"/>
        </w:tabs>
        <w:jc w:val="both"/>
        <w:rPr>
          <w:rFonts w:ascii="Cambria" w:hAnsi="Cambria" w:cs="Calibri"/>
          <w:sz w:val="20"/>
          <w:szCs w:val="20"/>
          <w:lang w:val="es-ES_tradnl"/>
        </w:rPr>
      </w:pPr>
    </w:p>
    <w:p w:rsidR="008C5D79" w:rsidRPr="00CC6B77" w:rsidRDefault="008C5D79" w:rsidP="008C5D79">
      <w:pPr>
        <w:pStyle w:val="Title"/>
        <w:tabs>
          <w:tab w:val="left" w:pos="3481"/>
          <w:tab w:val="center" w:pos="4680"/>
        </w:tabs>
        <w:jc w:val="left"/>
        <w:rPr>
          <w:rFonts w:ascii="Cambria" w:hAnsi="Cambria"/>
          <w:sz w:val="18"/>
          <w:szCs w:val="20"/>
          <w:lang w:val="es-CO"/>
        </w:rPr>
      </w:pPr>
      <w:r>
        <w:rPr>
          <w:rFonts w:ascii="Cambria" w:hAnsi="Cambria"/>
          <w:sz w:val="18"/>
          <w:szCs w:val="20"/>
          <w:lang w:val="es-CO"/>
        </w:rPr>
        <w:tab/>
      </w:r>
      <w:r>
        <w:rPr>
          <w:rFonts w:ascii="Cambria" w:hAnsi="Cambria"/>
          <w:sz w:val="18"/>
          <w:szCs w:val="20"/>
          <w:lang w:val="es-CO"/>
        </w:rPr>
        <w:tab/>
      </w:r>
      <w:r w:rsidRPr="00CC6B77">
        <w:rPr>
          <w:rFonts w:ascii="Cambria" w:hAnsi="Cambria"/>
          <w:sz w:val="18"/>
          <w:szCs w:val="20"/>
          <w:lang w:val="es-CO"/>
        </w:rPr>
        <w:t xml:space="preserve">INFORME No. </w:t>
      </w:r>
      <w:r>
        <w:rPr>
          <w:rFonts w:ascii="Cambria" w:hAnsi="Cambria"/>
          <w:sz w:val="18"/>
          <w:szCs w:val="20"/>
          <w:lang w:val="es-CO"/>
        </w:rPr>
        <w:t>27</w:t>
      </w:r>
      <w:r w:rsidRPr="00CC6B77">
        <w:rPr>
          <w:rFonts w:ascii="Cambria" w:hAnsi="Cambria"/>
          <w:sz w:val="18"/>
          <w:szCs w:val="20"/>
          <w:lang w:val="es-CO"/>
        </w:rPr>
        <w:t>/18</w:t>
      </w:r>
    </w:p>
    <w:p w:rsidR="008C5D79" w:rsidRPr="00CC6B77" w:rsidRDefault="008C5D79" w:rsidP="008C5D79">
      <w:pPr>
        <w:jc w:val="center"/>
        <w:rPr>
          <w:rFonts w:ascii="Cambria" w:hAnsi="Cambria"/>
          <w:sz w:val="18"/>
          <w:szCs w:val="20"/>
          <w:lang w:val="es-ES_tradnl"/>
        </w:rPr>
      </w:pPr>
      <w:r w:rsidRPr="00CC6B77">
        <w:rPr>
          <w:rFonts w:ascii="Cambria" w:hAnsi="Cambria"/>
          <w:sz w:val="18"/>
          <w:szCs w:val="20"/>
          <w:lang w:val="es-ES_tradnl"/>
        </w:rPr>
        <w:t>CASO 12.127</w:t>
      </w:r>
    </w:p>
    <w:p w:rsidR="008C5D79" w:rsidRPr="009C22C5" w:rsidRDefault="008C5D79" w:rsidP="008C5D79">
      <w:pPr>
        <w:jc w:val="center"/>
        <w:rPr>
          <w:rFonts w:ascii="Cambria" w:hAnsi="Cambria" w:cs="Arial"/>
          <w:bCs/>
          <w:sz w:val="18"/>
          <w:szCs w:val="20"/>
          <w:lang w:val="es-CO"/>
        </w:rPr>
      </w:pPr>
      <w:r w:rsidRPr="00CC6B77">
        <w:rPr>
          <w:rFonts w:ascii="Cambria" w:hAnsi="Cambria" w:cs="Arial"/>
          <w:bCs/>
          <w:sz w:val="18"/>
          <w:szCs w:val="20"/>
          <w:lang w:val="es-CO"/>
        </w:rPr>
        <w:t>FONDO (PUBLICACIÓN)</w:t>
      </w:r>
    </w:p>
    <w:p w:rsidR="008C5D79" w:rsidRPr="009C22C5" w:rsidRDefault="008C5D79" w:rsidP="008C5D79">
      <w:pPr>
        <w:tabs>
          <w:tab w:val="center" w:pos="4680"/>
          <w:tab w:val="right" w:pos="9360"/>
        </w:tabs>
        <w:jc w:val="center"/>
        <w:rPr>
          <w:rFonts w:ascii="Cambria" w:hAnsi="Cambria" w:cs="Arial"/>
          <w:bCs/>
          <w:sz w:val="18"/>
          <w:szCs w:val="20"/>
          <w:lang w:val="es-CO"/>
        </w:rPr>
      </w:pPr>
      <w:r w:rsidRPr="009C22C5">
        <w:rPr>
          <w:rFonts w:ascii="Cambria" w:hAnsi="Cambria" w:cs="Arial"/>
          <w:bCs/>
          <w:sz w:val="18"/>
          <w:szCs w:val="20"/>
          <w:lang w:val="es-CO"/>
        </w:rPr>
        <w:t>VLADIMIRO ROCA ANTUNEZ Y OTROS</w:t>
      </w:r>
    </w:p>
    <w:p w:rsidR="008C5D79" w:rsidRPr="009C22C5" w:rsidRDefault="008C5D79" w:rsidP="008C5D79">
      <w:pPr>
        <w:jc w:val="center"/>
        <w:rPr>
          <w:rFonts w:ascii="Cambria" w:hAnsi="Cambria" w:cs="Arial"/>
          <w:bCs/>
          <w:sz w:val="18"/>
          <w:szCs w:val="20"/>
          <w:lang w:val="es-CO"/>
        </w:rPr>
      </w:pPr>
      <w:r w:rsidRPr="009C22C5">
        <w:rPr>
          <w:rFonts w:ascii="Cambria" w:hAnsi="Cambria" w:cs="Arial"/>
          <w:bCs/>
          <w:sz w:val="18"/>
          <w:szCs w:val="20"/>
          <w:lang w:val="es-CO"/>
        </w:rPr>
        <w:t>CUBA</w:t>
      </w:r>
      <w:bookmarkStart w:id="1" w:name="_GoBack"/>
      <w:bookmarkEnd w:id="1"/>
    </w:p>
    <w:p w:rsidR="008C5D79" w:rsidRPr="009C22C5" w:rsidRDefault="008C5D79" w:rsidP="008C5D79">
      <w:pPr>
        <w:jc w:val="center"/>
        <w:rPr>
          <w:rFonts w:ascii="Cambria" w:hAnsi="Cambria" w:cs="Arial"/>
          <w:bCs/>
          <w:sz w:val="18"/>
          <w:szCs w:val="20"/>
          <w:lang w:val="es-CO"/>
        </w:rPr>
      </w:pPr>
      <w:r w:rsidRPr="00CC6B77">
        <w:rPr>
          <w:rFonts w:ascii="Cambria" w:hAnsi="Cambria" w:cs="Arial"/>
          <w:bCs/>
          <w:sz w:val="18"/>
          <w:szCs w:val="20"/>
          <w:lang w:val="es-CO"/>
        </w:rPr>
        <w:t>24 DE FEBRERO DE 2018</w:t>
      </w:r>
    </w:p>
    <w:p w:rsidR="008C5D79" w:rsidRPr="00845503" w:rsidRDefault="008C5D79" w:rsidP="008C5D79">
      <w:pPr>
        <w:jc w:val="both"/>
        <w:rPr>
          <w:rFonts w:ascii="Cambria" w:hAnsi="Cambria" w:cs="Arial"/>
          <w:sz w:val="20"/>
          <w:szCs w:val="20"/>
          <w:lang w:val="es-CO"/>
        </w:rPr>
      </w:pPr>
    </w:p>
    <w:sdt>
      <w:sdtPr>
        <w:rPr>
          <w:rFonts w:ascii="Cambria" w:hAnsi="Cambria"/>
          <w:sz w:val="20"/>
          <w:szCs w:val="20"/>
        </w:rPr>
        <w:id w:val="-1796202878"/>
        <w:docPartObj>
          <w:docPartGallery w:val="Table of Contents"/>
          <w:docPartUnique/>
        </w:docPartObj>
      </w:sdtPr>
      <w:sdtEndPr>
        <w:rPr>
          <w:b/>
          <w:bCs/>
          <w:noProof/>
        </w:rPr>
      </w:sdtEndPr>
      <w:sdtContent>
        <w:p w:rsidR="007F15B8" w:rsidRPr="003D0CAE" w:rsidRDefault="007F15B8" w:rsidP="007F15B8">
          <w:pPr>
            <w:jc w:val="center"/>
            <w:rPr>
              <w:rFonts w:ascii="Cambria" w:hAnsi="Cambria"/>
              <w:b/>
              <w:sz w:val="20"/>
              <w:szCs w:val="20"/>
            </w:rPr>
          </w:pPr>
          <w:r w:rsidRPr="003D0CAE">
            <w:rPr>
              <w:rFonts w:ascii="Cambria" w:hAnsi="Cambria"/>
              <w:b/>
              <w:sz w:val="20"/>
              <w:szCs w:val="20"/>
            </w:rPr>
            <w:t>ÍNDICE</w:t>
          </w:r>
        </w:p>
        <w:p w:rsidR="007F15B8" w:rsidRPr="003D0CAE" w:rsidRDefault="007F15B8" w:rsidP="007F15B8">
          <w:pPr>
            <w:rPr>
              <w:rFonts w:ascii="Cambria" w:hAnsi="Cambria"/>
              <w:sz w:val="20"/>
              <w:szCs w:val="20"/>
              <w:lang w:eastAsia="ja-JP"/>
            </w:rPr>
          </w:pPr>
        </w:p>
        <w:p w:rsidR="007F15B8" w:rsidRPr="003D0CAE" w:rsidRDefault="007F15B8" w:rsidP="007F15B8">
          <w:pPr>
            <w:rPr>
              <w:rFonts w:ascii="Cambria" w:hAnsi="Cambria"/>
              <w:sz w:val="20"/>
              <w:szCs w:val="20"/>
              <w:lang w:eastAsia="ja-JP"/>
            </w:rPr>
          </w:pPr>
        </w:p>
        <w:p w:rsidR="003D0CAE" w:rsidRPr="00CC6B77" w:rsidRDefault="007F15B8">
          <w:pPr>
            <w:pStyle w:val="TOC2"/>
            <w:rPr>
              <w:rFonts w:asciiTheme="minorHAnsi" w:eastAsiaTheme="minorEastAsia" w:hAnsiTheme="minorHAnsi" w:cstheme="minorBidi"/>
              <w:b w:val="0"/>
              <w:bdr w:val="none" w:sz="0" w:space="0" w:color="auto"/>
              <w:lang w:val="en-US"/>
            </w:rPr>
          </w:pPr>
          <w:r w:rsidRPr="003D0CAE">
            <w:fldChar w:fldCharType="begin"/>
          </w:r>
          <w:r w:rsidRPr="003D0CAE">
            <w:instrText xml:space="preserve"> TOC \o "1-3" \h \z \u </w:instrText>
          </w:r>
          <w:r w:rsidRPr="003D0CAE">
            <w:fldChar w:fldCharType="separate"/>
          </w:r>
          <w:hyperlink w:anchor="_Toc505951335" w:history="1">
            <w:r w:rsidR="003D0CAE" w:rsidRPr="00CC6B77">
              <w:rPr>
                <w:rStyle w:val="Hyperlink"/>
              </w:rPr>
              <w:t>I.</w:t>
            </w:r>
            <w:r w:rsidR="003D0CAE" w:rsidRPr="00CC6B77">
              <w:rPr>
                <w:rFonts w:asciiTheme="minorHAnsi" w:eastAsiaTheme="minorEastAsia" w:hAnsiTheme="minorHAnsi" w:cstheme="minorBidi"/>
                <w:b w:val="0"/>
                <w:bdr w:val="none" w:sz="0" w:space="0" w:color="auto"/>
                <w:lang w:val="en-US"/>
              </w:rPr>
              <w:tab/>
            </w:r>
            <w:r w:rsidR="003D0CAE" w:rsidRPr="00CC6B77">
              <w:rPr>
                <w:rStyle w:val="Hyperlink"/>
              </w:rPr>
              <w:t>RESUMEN</w:t>
            </w:r>
            <w:r w:rsidR="003D0CAE" w:rsidRPr="00CC6B77">
              <w:rPr>
                <w:webHidden/>
              </w:rPr>
              <w:tab/>
            </w:r>
            <w:r w:rsidR="003D0CAE" w:rsidRPr="00CC6B77">
              <w:rPr>
                <w:webHidden/>
              </w:rPr>
              <w:fldChar w:fldCharType="begin"/>
            </w:r>
            <w:r w:rsidR="003D0CAE" w:rsidRPr="00CC6B77">
              <w:rPr>
                <w:webHidden/>
              </w:rPr>
              <w:instrText xml:space="preserve"> PAGEREF _Toc505951335 \h </w:instrText>
            </w:r>
            <w:r w:rsidR="003D0CAE" w:rsidRPr="00CC6B77">
              <w:rPr>
                <w:webHidden/>
              </w:rPr>
            </w:r>
            <w:r w:rsidR="003D0CAE" w:rsidRPr="00CC6B77">
              <w:rPr>
                <w:webHidden/>
              </w:rPr>
              <w:fldChar w:fldCharType="separate"/>
            </w:r>
            <w:r w:rsidR="00187EC4">
              <w:rPr>
                <w:webHidden/>
              </w:rPr>
              <w:t>2</w:t>
            </w:r>
            <w:r w:rsidR="003D0CAE" w:rsidRPr="00CC6B77">
              <w:rPr>
                <w:webHidden/>
              </w:rPr>
              <w:fldChar w:fldCharType="end"/>
            </w:r>
          </w:hyperlink>
        </w:p>
        <w:p w:rsidR="003D0CAE" w:rsidRPr="00CC6B77" w:rsidRDefault="00DE07C8">
          <w:pPr>
            <w:pStyle w:val="TOC2"/>
            <w:rPr>
              <w:rFonts w:asciiTheme="minorHAnsi" w:eastAsiaTheme="minorEastAsia" w:hAnsiTheme="minorHAnsi" w:cstheme="minorBidi"/>
              <w:b w:val="0"/>
              <w:bdr w:val="none" w:sz="0" w:space="0" w:color="auto"/>
              <w:lang w:val="en-US"/>
            </w:rPr>
          </w:pPr>
          <w:hyperlink w:anchor="_Toc505951336" w:history="1">
            <w:r w:rsidR="003D0CAE" w:rsidRPr="00CC6B77">
              <w:rPr>
                <w:rStyle w:val="Hyperlink"/>
              </w:rPr>
              <w:t>II.</w:t>
            </w:r>
            <w:r w:rsidR="003D0CAE" w:rsidRPr="00CC6B77">
              <w:rPr>
                <w:rFonts w:asciiTheme="minorHAnsi" w:eastAsiaTheme="minorEastAsia" w:hAnsiTheme="minorHAnsi" w:cstheme="minorBidi"/>
                <w:b w:val="0"/>
                <w:bdr w:val="none" w:sz="0" w:space="0" w:color="auto"/>
                <w:lang w:val="en-US"/>
              </w:rPr>
              <w:tab/>
            </w:r>
            <w:r w:rsidR="003D0CAE" w:rsidRPr="00CC6B77">
              <w:rPr>
                <w:rStyle w:val="Hyperlink"/>
                <w:lang w:val="es-ES"/>
              </w:rPr>
              <w:t>TRÁMITE ANTE LA COMISIÓN POSTERIOR AL INFORME DE ADMISIBILIDAD</w:t>
            </w:r>
            <w:r w:rsidR="003D0CAE" w:rsidRPr="00CC6B77">
              <w:rPr>
                <w:webHidden/>
              </w:rPr>
              <w:tab/>
            </w:r>
            <w:r w:rsidR="003D0CAE" w:rsidRPr="00CC6B77">
              <w:rPr>
                <w:webHidden/>
              </w:rPr>
              <w:fldChar w:fldCharType="begin"/>
            </w:r>
            <w:r w:rsidR="003D0CAE" w:rsidRPr="00CC6B77">
              <w:rPr>
                <w:webHidden/>
              </w:rPr>
              <w:instrText xml:space="preserve"> PAGEREF _Toc505951336 \h </w:instrText>
            </w:r>
            <w:r w:rsidR="003D0CAE" w:rsidRPr="00CC6B77">
              <w:rPr>
                <w:webHidden/>
              </w:rPr>
            </w:r>
            <w:r w:rsidR="003D0CAE" w:rsidRPr="00CC6B77">
              <w:rPr>
                <w:webHidden/>
              </w:rPr>
              <w:fldChar w:fldCharType="separate"/>
            </w:r>
            <w:r w:rsidR="00187EC4">
              <w:rPr>
                <w:webHidden/>
              </w:rPr>
              <w:t>2</w:t>
            </w:r>
            <w:r w:rsidR="003D0CAE" w:rsidRPr="00CC6B77">
              <w:rPr>
                <w:webHidden/>
              </w:rPr>
              <w:fldChar w:fldCharType="end"/>
            </w:r>
          </w:hyperlink>
        </w:p>
        <w:p w:rsidR="003D0CAE" w:rsidRPr="00CC6B77" w:rsidRDefault="00DE07C8">
          <w:pPr>
            <w:pStyle w:val="TOC2"/>
            <w:rPr>
              <w:rFonts w:asciiTheme="minorHAnsi" w:eastAsiaTheme="minorEastAsia" w:hAnsiTheme="minorHAnsi" w:cstheme="minorBidi"/>
              <w:b w:val="0"/>
              <w:bdr w:val="none" w:sz="0" w:space="0" w:color="auto"/>
              <w:lang w:val="en-US"/>
            </w:rPr>
          </w:pPr>
          <w:hyperlink w:anchor="_Toc505951337" w:history="1">
            <w:r w:rsidR="003D0CAE" w:rsidRPr="00CC6B77">
              <w:rPr>
                <w:rStyle w:val="Hyperlink"/>
              </w:rPr>
              <w:t>III.</w:t>
            </w:r>
            <w:r w:rsidR="003D0CAE" w:rsidRPr="00CC6B77">
              <w:rPr>
                <w:rFonts w:asciiTheme="minorHAnsi" w:eastAsiaTheme="minorEastAsia" w:hAnsiTheme="minorHAnsi" w:cstheme="minorBidi"/>
                <w:b w:val="0"/>
                <w:bdr w:val="none" w:sz="0" w:space="0" w:color="auto"/>
                <w:lang w:val="en-US"/>
              </w:rPr>
              <w:tab/>
            </w:r>
            <w:r w:rsidR="003D0CAE" w:rsidRPr="00CC6B77">
              <w:rPr>
                <w:rStyle w:val="Hyperlink"/>
              </w:rPr>
              <w:t>POSICIONES DE LAS PARTES</w:t>
            </w:r>
            <w:r w:rsidR="003D0CAE" w:rsidRPr="00CC6B77">
              <w:rPr>
                <w:webHidden/>
              </w:rPr>
              <w:tab/>
            </w:r>
            <w:r w:rsidR="003D0CAE" w:rsidRPr="00CC6B77">
              <w:rPr>
                <w:webHidden/>
              </w:rPr>
              <w:fldChar w:fldCharType="begin"/>
            </w:r>
            <w:r w:rsidR="003D0CAE" w:rsidRPr="00CC6B77">
              <w:rPr>
                <w:webHidden/>
              </w:rPr>
              <w:instrText xml:space="preserve"> PAGEREF _Toc505951337 \h </w:instrText>
            </w:r>
            <w:r w:rsidR="003D0CAE" w:rsidRPr="00CC6B77">
              <w:rPr>
                <w:webHidden/>
              </w:rPr>
            </w:r>
            <w:r w:rsidR="003D0CAE" w:rsidRPr="00CC6B77">
              <w:rPr>
                <w:webHidden/>
              </w:rPr>
              <w:fldChar w:fldCharType="separate"/>
            </w:r>
            <w:r w:rsidR="00187EC4">
              <w:rPr>
                <w:webHidden/>
              </w:rPr>
              <w:t>3</w:t>
            </w:r>
            <w:r w:rsidR="003D0CAE" w:rsidRPr="00CC6B77">
              <w:rPr>
                <w:webHidden/>
              </w:rPr>
              <w:fldChar w:fldCharType="end"/>
            </w:r>
          </w:hyperlink>
        </w:p>
        <w:p w:rsidR="003D0CAE" w:rsidRPr="00CC6B77" w:rsidRDefault="00DE07C8">
          <w:pPr>
            <w:pStyle w:val="TOC3"/>
            <w:tabs>
              <w:tab w:val="left" w:pos="2160"/>
            </w:tabs>
            <w:rPr>
              <w:rFonts w:asciiTheme="minorHAnsi" w:eastAsiaTheme="minorEastAsia" w:hAnsiTheme="minorHAnsi" w:cstheme="minorBidi"/>
              <w:noProof/>
              <w:sz w:val="20"/>
              <w:szCs w:val="20"/>
              <w:bdr w:val="none" w:sz="0" w:space="0" w:color="auto"/>
            </w:rPr>
          </w:pPr>
          <w:hyperlink w:anchor="_Toc505951338" w:history="1">
            <w:r w:rsidR="003D0CAE" w:rsidRPr="00CC6B77">
              <w:rPr>
                <w:rStyle w:val="Hyperlink"/>
                <w:rFonts w:ascii="Cambria" w:hAnsi="Cambria"/>
                <w:noProof/>
                <w:sz w:val="20"/>
                <w:szCs w:val="20"/>
                <w:lang w:val="es-CO"/>
              </w:rPr>
              <w:t>A.</w:t>
            </w:r>
            <w:r w:rsidR="003D0CAE" w:rsidRPr="00CC6B77">
              <w:rPr>
                <w:rFonts w:asciiTheme="minorHAnsi" w:eastAsiaTheme="minorEastAsia" w:hAnsiTheme="minorHAnsi" w:cstheme="minorBidi"/>
                <w:noProof/>
                <w:sz w:val="20"/>
                <w:szCs w:val="20"/>
                <w:bdr w:val="none" w:sz="0" w:space="0" w:color="auto"/>
              </w:rPr>
              <w:tab/>
            </w:r>
            <w:r w:rsidR="003D0CAE" w:rsidRPr="00CC6B77">
              <w:rPr>
                <w:rStyle w:val="Hyperlink"/>
                <w:rFonts w:ascii="Cambria" w:hAnsi="Cambria"/>
                <w:noProof/>
                <w:sz w:val="20"/>
                <w:szCs w:val="20"/>
                <w:lang w:val="es-CO"/>
              </w:rPr>
              <w:t>Posición de los peticionarios</w:t>
            </w:r>
            <w:r w:rsidR="003D0CAE" w:rsidRPr="00CC6B77">
              <w:rPr>
                <w:noProof/>
                <w:webHidden/>
                <w:sz w:val="20"/>
                <w:szCs w:val="20"/>
              </w:rPr>
              <w:tab/>
            </w:r>
            <w:r w:rsidR="003D0CAE" w:rsidRPr="00CC6B77">
              <w:rPr>
                <w:noProof/>
                <w:webHidden/>
                <w:sz w:val="20"/>
                <w:szCs w:val="20"/>
              </w:rPr>
              <w:fldChar w:fldCharType="begin"/>
            </w:r>
            <w:r w:rsidR="003D0CAE" w:rsidRPr="00CC6B77">
              <w:rPr>
                <w:noProof/>
                <w:webHidden/>
                <w:sz w:val="20"/>
                <w:szCs w:val="20"/>
              </w:rPr>
              <w:instrText xml:space="preserve"> PAGEREF _Toc505951338 \h </w:instrText>
            </w:r>
            <w:r w:rsidR="003D0CAE" w:rsidRPr="00CC6B77">
              <w:rPr>
                <w:noProof/>
                <w:webHidden/>
                <w:sz w:val="20"/>
                <w:szCs w:val="20"/>
              </w:rPr>
            </w:r>
            <w:r w:rsidR="003D0CAE" w:rsidRPr="00CC6B77">
              <w:rPr>
                <w:noProof/>
                <w:webHidden/>
                <w:sz w:val="20"/>
                <w:szCs w:val="20"/>
              </w:rPr>
              <w:fldChar w:fldCharType="separate"/>
            </w:r>
            <w:r w:rsidR="00187EC4">
              <w:rPr>
                <w:noProof/>
                <w:webHidden/>
                <w:sz w:val="20"/>
                <w:szCs w:val="20"/>
              </w:rPr>
              <w:t>3</w:t>
            </w:r>
            <w:r w:rsidR="003D0CAE" w:rsidRPr="00CC6B77">
              <w:rPr>
                <w:noProof/>
                <w:webHidden/>
                <w:sz w:val="20"/>
                <w:szCs w:val="20"/>
              </w:rPr>
              <w:fldChar w:fldCharType="end"/>
            </w:r>
          </w:hyperlink>
        </w:p>
        <w:p w:rsidR="003D0CAE" w:rsidRPr="00CC6B77" w:rsidRDefault="00DE07C8">
          <w:pPr>
            <w:pStyle w:val="TOC3"/>
            <w:tabs>
              <w:tab w:val="left" w:pos="2160"/>
            </w:tabs>
            <w:rPr>
              <w:rFonts w:asciiTheme="minorHAnsi" w:eastAsiaTheme="minorEastAsia" w:hAnsiTheme="minorHAnsi" w:cstheme="minorBidi"/>
              <w:noProof/>
              <w:sz w:val="20"/>
              <w:szCs w:val="20"/>
              <w:bdr w:val="none" w:sz="0" w:space="0" w:color="auto"/>
            </w:rPr>
          </w:pPr>
          <w:hyperlink w:anchor="_Toc505951339" w:history="1">
            <w:r w:rsidR="003D0CAE" w:rsidRPr="00CC6B77">
              <w:rPr>
                <w:rStyle w:val="Hyperlink"/>
                <w:rFonts w:ascii="Cambria" w:hAnsi="Cambria"/>
                <w:noProof/>
                <w:sz w:val="20"/>
                <w:szCs w:val="20"/>
                <w:lang w:val="es-CO"/>
              </w:rPr>
              <w:t>B.</w:t>
            </w:r>
            <w:r w:rsidR="003D0CAE" w:rsidRPr="00CC6B77">
              <w:rPr>
                <w:rFonts w:asciiTheme="minorHAnsi" w:eastAsiaTheme="minorEastAsia" w:hAnsiTheme="minorHAnsi" w:cstheme="minorBidi"/>
                <w:noProof/>
                <w:sz w:val="20"/>
                <w:szCs w:val="20"/>
                <w:bdr w:val="none" w:sz="0" w:space="0" w:color="auto"/>
              </w:rPr>
              <w:tab/>
            </w:r>
            <w:r w:rsidR="003D0CAE" w:rsidRPr="00CC6B77">
              <w:rPr>
                <w:rStyle w:val="Hyperlink"/>
                <w:rFonts w:ascii="Cambria" w:hAnsi="Cambria"/>
                <w:noProof/>
                <w:sz w:val="20"/>
                <w:szCs w:val="20"/>
                <w:lang w:val="es-CO"/>
              </w:rPr>
              <w:t>Posición del Estado</w:t>
            </w:r>
            <w:r w:rsidR="003D0CAE" w:rsidRPr="00CC6B77">
              <w:rPr>
                <w:noProof/>
                <w:webHidden/>
                <w:sz w:val="20"/>
                <w:szCs w:val="20"/>
              </w:rPr>
              <w:tab/>
            </w:r>
            <w:r w:rsidR="003D0CAE" w:rsidRPr="00CC6B77">
              <w:rPr>
                <w:noProof/>
                <w:webHidden/>
                <w:sz w:val="20"/>
                <w:szCs w:val="20"/>
              </w:rPr>
              <w:fldChar w:fldCharType="begin"/>
            </w:r>
            <w:r w:rsidR="003D0CAE" w:rsidRPr="00CC6B77">
              <w:rPr>
                <w:noProof/>
                <w:webHidden/>
                <w:sz w:val="20"/>
                <w:szCs w:val="20"/>
              </w:rPr>
              <w:instrText xml:space="preserve"> PAGEREF _Toc505951339 \h </w:instrText>
            </w:r>
            <w:r w:rsidR="003D0CAE" w:rsidRPr="00CC6B77">
              <w:rPr>
                <w:noProof/>
                <w:webHidden/>
                <w:sz w:val="20"/>
                <w:szCs w:val="20"/>
              </w:rPr>
            </w:r>
            <w:r w:rsidR="003D0CAE" w:rsidRPr="00CC6B77">
              <w:rPr>
                <w:noProof/>
                <w:webHidden/>
                <w:sz w:val="20"/>
                <w:szCs w:val="20"/>
              </w:rPr>
              <w:fldChar w:fldCharType="separate"/>
            </w:r>
            <w:r w:rsidR="00187EC4">
              <w:rPr>
                <w:noProof/>
                <w:webHidden/>
                <w:sz w:val="20"/>
                <w:szCs w:val="20"/>
              </w:rPr>
              <w:t>4</w:t>
            </w:r>
            <w:r w:rsidR="003D0CAE" w:rsidRPr="00CC6B77">
              <w:rPr>
                <w:noProof/>
                <w:webHidden/>
                <w:sz w:val="20"/>
                <w:szCs w:val="20"/>
              </w:rPr>
              <w:fldChar w:fldCharType="end"/>
            </w:r>
          </w:hyperlink>
        </w:p>
        <w:p w:rsidR="003D0CAE" w:rsidRPr="00CC6B77" w:rsidRDefault="00DE07C8">
          <w:pPr>
            <w:pStyle w:val="TOC2"/>
            <w:rPr>
              <w:rFonts w:asciiTheme="minorHAnsi" w:eastAsiaTheme="minorEastAsia" w:hAnsiTheme="minorHAnsi" w:cstheme="minorBidi"/>
              <w:b w:val="0"/>
              <w:bdr w:val="none" w:sz="0" w:space="0" w:color="auto"/>
              <w:lang w:val="en-US"/>
            </w:rPr>
          </w:pPr>
          <w:hyperlink w:anchor="_Toc505951340" w:history="1">
            <w:r w:rsidR="003D0CAE" w:rsidRPr="00CC6B77">
              <w:rPr>
                <w:rStyle w:val="Hyperlink"/>
              </w:rPr>
              <w:t>IV.</w:t>
            </w:r>
            <w:r w:rsidR="003D0CAE" w:rsidRPr="00CC6B77">
              <w:rPr>
                <w:rFonts w:asciiTheme="minorHAnsi" w:eastAsiaTheme="minorEastAsia" w:hAnsiTheme="minorHAnsi" w:cstheme="minorBidi"/>
                <w:b w:val="0"/>
                <w:bdr w:val="none" w:sz="0" w:space="0" w:color="auto"/>
                <w:lang w:val="en-US"/>
              </w:rPr>
              <w:tab/>
            </w:r>
            <w:r w:rsidR="003D0CAE" w:rsidRPr="00CC6B77">
              <w:rPr>
                <w:rStyle w:val="Hyperlink"/>
              </w:rPr>
              <w:t>ANÁLISIS DE LOS HECHOS</w:t>
            </w:r>
            <w:r w:rsidR="003D0CAE" w:rsidRPr="00CC6B77">
              <w:rPr>
                <w:webHidden/>
              </w:rPr>
              <w:tab/>
            </w:r>
            <w:r w:rsidR="003D0CAE" w:rsidRPr="00CC6B77">
              <w:rPr>
                <w:webHidden/>
              </w:rPr>
              <w:fldChar w:fldCharType="begin"/>
            </w:r>
            <w:r w:rsidR="003D0CAE" w:rsidRPr="00CC6B77">
              <w:rPr>
                <w:webHidden/>
              </w:rPr>
              <w:instrText xml:space="preserve"> PAGEREF _Toc505951340 \h </w:instrText>
            </w:r>
            <w:r w:rsidR="003D0CAE" w:rsidRPr="00CC6B77">
              <w:rPr>
                <w:webHidden/>
              </w:rPr>
            </w:r>
            <w:r w:rsidR="003D0CAE" w:rsidRPr="00CC6B77">
              <w:rPr>
                <w:webHidden/>
              </w:rPr>
              <w:fldChar w:fldCharType="separate"/>
            </w:r>
            <w:r w:rsidR="00187EC4">
              <w:rPr>
                <w:webHidden/>
              </w:rPr>
              <w:t>5</w:t>
            </w:r>
            <w:r w:rsidR="003D0CAE" w:rsidRPr="00CC6B77">
              <w:rPr>
                <w:webHidden/>
              </w:rPr>
              <w:fldChar w:fldCharType="end"/>
            </w:r>
          </w:hyperlink>
        </w:p>
        <w:p w:rsidR="003D0CAE" w:rsidRPr="00CC6B77" w:rsidRDefault="00DE07C8">
          <w:pPr>
            <w:pStyle w:val="TOC3"/>
            <w:tabs>
              <w:tab w:val="left" w:pos="2160"/>
            </w:tabs>
            <w:rPr>
              <w:rFonts w:asciiTheme="minorHAnsi" w:eastAsiaTheme="minorEastAsia" w:hAnsiTheme="minorHAnsi" w:cstheme="minorBidi"/>
              <w:noProof/>
              <w:sz w:val="20"/>
              <w:szCs w:val="20"/>
              <w:bdr w:val="none" w:sz="0" w:space="0" w:color="auto"/>
            </w:rPr>
          </w:pPr>
          <w:hyperlink w:anchor="_Toc505951341" w:history="1">
            <w:r w:rsidR="003D0CAE" w:rsidRPr="00CC6B77">
              <w:rPr>
                <w:rStyle w:val="Hyperlink"/>
                <w:rFonts w:ascii="Cambria" w:hAnsi="Cambria"/>
                <w:noProof/>
                <w:sz w:val="20"/>
                <w:szCs w:val="20"/>
                <w:lang w:val="es-CO"/>
              </w:rPr>
              <w:t>A.</w:t>
            </w:r>
            <w:r w:rsidR="003D0CAE" w:rsidRPr="00CC6B77">
              <w:rPr>
                <w:rFonts w:asciiTheme="minorHAnsi" w:eastAsiaTheme="minorEastAsia" w:hAnsiTheme="minorHAnsi" w:cstheme="minorBidi"/>
                <w:noProof/>
                <w:sz w:val="20"/>
                <w:szCs w:val="20"/>
                <w:bdr w:val="none" w:sz="0" w:space="0" w:color="auto"/>
              </w:rPr>
              <w:tab/>
            </w:r>
            <w:r w:rsidR="003D0CAE" w:rsidRPr="00CC6B77">
              <w:rPr>
                <w:rStyle w:val="Hyperlink"/>
                <w:rFonts w:ascii="Cambria" w:hAnsi="Cambria"/>
                <w:iCs/>
                <w:noProof/>
                <w:sz w:val="20"/>
                <w:szCs w:val="20"/>
                <w:lang w:val="es-ES"/>
              </w:rPr>
              <w:t>Sobre el Grupo de Trabajo de la Disidencia Interna</w:t>
            </w:r>
            <w:r w:rsidR="003D0CAE" w:rsidRPr="00CC6B77">
              <w:rPr>
                <w:noProof/>
                <w:webHidden/>
                <w:sz w:val="20"/>
                <w:szCs w:val="20"/>
              </w:rPr>
              <w:tab/>
            </w:r>
            <w:r w:rsidR="003D0CAE" w:rsidRPr="00CC6B77">
              <w:rPr>
                <w:noProof/>
                <w:webHidden/>
                <w:sz w:val="20"/>
                <w:szCs w:val="20"/>
              </w:rPr>
              <w:fldChar w:fldCharType="begin"/>
            </w:r>
            <w:r w:rsidR="003D0CAE" w:rsidRPr="00CC6B77">
              <w:rPr>
                <w:noProof/>
                <w:webHidden/>
                <w:sz w:val="20"/>
                <w:szCs w:val="20"/>
              </w:rPr>
              <w:instrText xml:space="preserve"> PAGEREF _Toc505951341 \h </w:instrText>
            </w:r>
            <w:r w:rsidR="003D0CAE" w:rsidRPr="00CC6B77">
              <w:rPr>
                <w:noProof/>
                <w:webHidden/>
                <w:sz w:val="20"/>
                <w:szCs w:val="20"/>
              </w:rPr>
            </w:r>
            <w:r w:rsidR="003D0CAE" w:rsidRPr="00CC6B77">
              <w:rPr>
                <w:noProof/>
                <w:webHidden/>
                <w:sz w:val="20"/>
                <w:szCs w:val="20"/>
              </w:rPr>
              <w:fldChar w:fldCharType="separate"/>
            </w:r>
            <w:r w:rsidR="00187EC4">
              <w:rPr>
                <w:noProof/>
                <w:webHidden/>
                <w:sz w:val="20"/>
                <w:szCs w:val="20"/>
              </w:rPr>
              <w:t>5</w:t>
            </w:r>
            <w:r w:rsidR="003D0CAE" w:rsidRPr="00CC6B77">
              <w:rPr>
                <w:noProof/>
                <w:webHidden/>
                <w:sz w:val="20"/>
                <w:szCs w:val="20"/>
              </w:rPr>
              <w:fldChar w:fldCharType="end"/>
            </w:r>
          </w:hyperlink>
        </w:p>
        <w:p w:rsidR="003D0CAE" w:rsidRPr="00CC6B77" w:rsidRDefault="00DE07C8">
          <w:pPr>
            <w:pStyle w:val="TOC3"/>
            <w:tabs>
              <w:tab w:val="left" w:pos="2160"/>
            </w:tabs>
            <w:rPr>
              <w:rFonts w:asciiTheme="minorHAnsi" w:eastAsiaTheme="minorEastAsia" w:hAnsiTheme="minorHAnsi" w:cstheme="minorBidi"/>
              <w:noProof/>
              <w:sz w:val="20"/>
              <w:szCs w:val="20"/>
              <w:bdr w:val="none" w:sz="0" w:space="0" w:color="auto"/>
            </w:rPr>
          </w:pPr>
          <w:hyperlink w:anchor="_Toc505951342" w:history="1">
            <w:r w:rsidR="003D0CAE" w:rsidRPr="00CC6B77">
              <w:rPr>
                <w:rStyle w:val="Hyperlink"/>
                <w:rFonts w:ascii="Cambria" w:hAnsi="Cambria"/>
                <w:noProof/>
                <w:sz w:val="20"/>
                <w:szCs w:val="20"/>
                <w:lang w:val="es-ES"/>
              </w:rPr>
              <w:t>B.</w:t>
            </w:r>
            <w:r w:rsidR="003D0CAE" w:rsidRPr="00CC6B77">
              <w:rPr>
                <w:rFonts w:asciiTheme="minorHAnsi" w:eastAsiaTheme="minorEastAsia" w:hAnsiTheme="minorHAnsi" w:cstheme="minorBidi"/>
                <w:noProof/>
                <w:sz w:val="20"/>
                <w:szCs w:val="20"/>
                <w:bdr w:val="none" w:sz="0" w:space="0" w:color="auto"/>
              </w:rPr>
              <w:tab/>
            </w:r>
            <w:r w:rsidR="003D0CAE" w:rsidRPr="00CC6B77">
              <w:rPr>
                <w:rStyle w:val="Hyperlink"/>
                <w:rFonts w:ascii="Cambria" w:hAnsi="Cambria"/>
                <w:noProof/>
                <w:sz w:val="20"/>
                <w:szCs w:val="20"/>
                <w:lang w:val="es-ES"/>
              </w:rPr>
              <w:t>Sobre la detención y proceso penal contra los integrantes del Grupo de Trabajo de la Disidencia Interna, Vladimiro Roca Antúnez, René Gómez Manzano, Martha Beatriz Roque Cabello y Félix Bonne Carcassés</w:t>
            </w:r>
            <w:r w:rsidR="003D0CAE" w:rsidRPr="00CC6B77">
              <w:rPr>
                <w:noProof/>
                <w:webHidden/>
                <w:sz w:val="20"/>
                <w:szCs w:val="20"/>
              </w:rPr>
              <w:tab/>
            </w:r>
            <w:r w:rsidR="003D0CAE" w:rsidRPr="00CC6B77">
              <w:rPr>
                <w:noProof/>
                <w:webHidden/>
                <w:sz w:val="20"/>
                <w:szCs w:val="20"/>
              </w:rPr>
              <w:fldChar w:fldCharType="begin"/>
            </w:r>
            <w:r w:rsidR="003D0CAE" w:rsidRPr="00CC6B77">
              <w:rPr>
                <w:noProof/>
                <w:webHidden/>
                <w:sz w:val="20"/>
                <w:szCs w:val="20"/>
              </w:rPr>
              <w:instrText xml:space="preserve"> PAGEREF _Toc505951342 \h </w:instrText>
            </w:r>
            <w:r w:rsidR="003D0CAE" w:rsidRPr="00CC6B77">
              <w:rPr>
                <w:noProof/>
                <w:webHidden/>
                <w:sz w:val="20"/>
                <w:szCs w:val="20"/>
              </w:rPr>
            </w:r>
            <w:r w:rsidR="003D0CAE" w:rsidRPr="00CC6B77">
              <w:rPr>
                <w:noProof/>
                <w:webHidden/>
                <w:sz w:val="20"/>
                <w:szCs w:val="20"/>
              </w:rPr>
              <w:fldChar w:fldCharType="separate"/>
            </w:r>
            <w:r w:rsidR="00187EC4">
              <w:rPr>
                <w:noProof/>
                <w:webHidden/>
                <w:sz w:val="20"/>
                <w:szCs w:val="20"/>
              </w:rPr>
              <w:t>9</w:t>
            </w:r>
            <w:r w:rsidR="003D0CAE" w:rsidRPr="00CC6B77">
              <w:rPr>
                <w:noProof/>
                <w:webHidden/>
                <w:sz w:val="20"/>
                <w:szCs w:val="20"/>
              </w:rPr>
              <w:fldChar w:fldCharType="end"/>
            </w:r>
          </w:hyperlink>
        </w:p>
        <w:p w:rsidR="003D0CAE" w:rsidRPr="00CC6B77" w:rsidRDefault="00DE07C8">
          <w:pPr>
            <w:pStyle w:val="TOC3"/>
            <w:tabs>
              <w:tab w:val="left" w:pos="2160"/>
            </w:tabs>
            <w:rPr>
              <w:rFonts w:asciiTheme="minorHAnsi" w:eastAsiaTheme="minorEastAsia" w:hAnsiTheme="minorHAnsi" w:cstheme="minorBidi"/>
              <w:noProof/>
              <w:sz w:val="20"/>
              <w:szCs w:val="20"/>
              <w:bdr w:val="none" w:sz="0" w:space="0" w:color="auto"/>
            </w:rPr>
          </w:pPr>
          <w:hyperlink w:anchor="_Toc505951343" w:history="1">
            <w:r w:rsidR="003D0CAE" w:rsidRPr="00CC6B77">
              <w:rPr>
                <w:rStyle w:val="Hyperlink"/>
                <w:rFonts w:ascii="Cambria" w:hAnsi="Cambria"/>
                <w:noProof/>
                <w:sz w:val="20"/>
                <w:szCs w:val="20"/>
                <w:lang w:val="es-CO"/>
              </w:rPr>
              <w:t>C.</w:t>
            </w:r>
            <w:r w:rsidR="003D0CAE" w:rsidRPr="00CC6B77">
              <w:rPr>
                <w:rFonts w:asciiTheme="minorHAnsi" w:eastAsiaTheme="minorEastAsia" w:hAnsiTheme="minorHAnsi" w:cstheme="minorBidi"/>
                <w:noProof/>
                <w:sz w:val="20"/>
                <w:szCs w:val="20"/>
                <w:bdr w:val="none" w:sz="0" w:space="0" w:color="auto"/>
              </w:rPr>
              <w:tab/>
            </w:r>
            <w:r w:rsidR="003D0CAE" w:rsidRPr="00CC6B77">
              <w:rPr>
                <w:rStyle w:val="Hyperlink"/>
                <w:rFonts w:ascii="Cambria" w:hAnsi="Cambria"/>
                <w:noProof/>
                <w:sz w:val="20"/>
                <w:szCs w:val="20"/>
                <w:lang w:val="es-CO"/>
              </w:rPr>
              <w:t>Sobre las condiciones de detención</w:t>
            </w:r>
            <w:r w:rsidR="003D0CAE" w:rsidRPr="00CC6B77">
              <w:rPr>
                <w:noProof/>
                <w:webHidden/>
                <w:sz w:val="20"/>
                <w:szCs w:val="20"/>
              </w:rPr>
              <w:tab/>
            </w:r>
            <w:r w:rsidR="003D0CAE" w:rsidRPr="00CC6B77">
              <w:rPr>
                <w:noProof/>
                <w:webHidden/>
                <w:sz w:val="20"/>
                <w:szCs w:val="20"/>
              </w:rPr>
              <w:fldChar w:fldCharType="begin"/>
            </w:r>
            <w:r w:rsidR="003D0CAE" w:rsidRPr="00CC6B77">
              <w:rPr>
                <w:noProof/>
                <w:webHidden/>
                <w:sz w:val="20"/>
                <w:szCs w:val="20"/>
              </w:rPr>
              <w:instrText xml:space="preserve"> PAGEREF _Toc505951343 \h </w:instrText>
            </w:r>
            <w:r w:rsidR="003D0CAE" w:rsidRPr="00CC6B77">
              <w:rPr>
                <w:noProof/>
                <w:webHidden/>
                <w:sz w:val="20"/>
                <w:szCs w:val="20"/>
              </w:rPr>
            </w:r>
            <w:r w:rsidR="003D0CAE" w:rsidRPr="00CC6B77">
              <w:rPr>
                <w:noProof/>
                <w:webHidden/>
                <w:sz w:val="20"/>
                <w:szCs w:val="20"/>
              </w:rPr>
              <w:fldChar w:fldCharType="separate"/>
            </w:r>
            <w:r w:rsidR="00187EC4">
              <w:rPr>
                <w:noProof/>
                <w:webHidden/>
                <w:sz w:val="20"/>
                <w:szCs w:val="20"/>
              </w:rPr>
              <w:t>15</w:t>
            </w:r>
            <w:r w:rsidR="003D0CAE" w:rsidRPr="00CC6B77">
              <w:rPr>
                <w:noProof/>
                <w:webHidden/>
                <w:sz w:val="20"/>
                <w:szCs w:val="20"/>
              </w:rPr>
              <w:fldChar w:fldCharType="end"/>
            </w:r>
          </w:hyperlink>
        </w:p>
        <w:p w:rsidR="003D0CAE" w:rsidRPr="00CC6B77" w:rsidRDefault="00DE07C8">
          <w:pPr>
            <w:pStyle w:val="TOC3"/>
            <w:tabs>
              <w:tab w:val="left" w:pos="2160"/>
            </w:tabs>
            <w:rPr>
              <w:rFonts w:asciiTheme="minorHAnsi" w:eastAsiaTheme="minorEastAsia" w:hAnsiTheme="minorHAnsi" w:cstheme="minorBidi"/>
              <w:noProof/>
              <w:sz w:val="20"/>
              <w:szCs w:val="20"/>
              <w:bdr w:val="none" w:sz="0" w:space="0" w:color="auto"/>
            </w:rPr>
          </w:pPr>
          <w:hyperlink w:anchor="_Toc505951344" w:history="1">
            <w:r w:rsidR="003D0CAE" w:rsidRPr="00CC6B77">
              <w:rPr>
                <w:rStyle w:val="Hyperlink"/>
                <w:rFonts w:ascii="Cambria" w:hAnsi="Cambria"/>
                <w:noProof/>
                <w:sz w:val="20"/>
                <w:szCs w:val="20"/>
                <w:lang w:val="es-CO"/>
              </w:rPr>
              <w:t>D.</w:t>
            </w:r>
            <w:r w:rsidR="003D0CAE" w:rsidRPr="00CC6B77">
              <w:rPr>
                <w:rFonts w:asciiTheme="minorHAnsi" w:eastAsiaTheme="minorEastAsia" w:hAnsiTheme="minorHAnsi" w:cstheme="minorBidi"/>
                <w:noProof/>
                <w:sz w:val="20"/>
                <w:szCs w:val="20"/>
                <w:bdr w:val="none" w:sz="0" w:space="0" w:color="auto"/>
              </w:rPr>
              <w:tab/>
            </w:r>
            <w:r w:rsidR="003D0CAE" w:rsidRPr="00CC6B77">
              <w:rPr>
                <w:rStyle w:val="Hyperlink"/>
                <w:rFonts w:ascii="Cambria" w:hAnsi="Cambria"/>
                <w:noProof/>
                <w:sz w:val="20"/>
                <w:szCs w:val="20"/>
                <w:lang w:val="es-CO"/>
              </w:rPr>
              <w:t>Sobre el contexto de discriminación por motivos políticos, en relación con la falta de libertad de expresión, asociación y reunión en Cuba</w:t>
            </w:r>
            <w:r w:rsidR="003D0CAE" w:rsidRPr="00CC6B77">
              <w:rPr>
                <w:noProof/>
                <w:webHidden/>
                <w:sz w:val="20"/>
                <w:szCs w:val="20"/>
              </w:rPr>
              <w:tab/>
            </w:r>
            <w:r w:rsidR="003D0CAE" w:rsidRPr="00CC6B77">
              <w:rPr>
                <w:noProof/>
                <w:webHidden/>
                <w:sz w:val="20"/>
                <w:szCs w:val="20"/>
              </w:rPr>
              <w:fldChar w:fldCharType="begin"/>
            </w:r>
            <w:r w:rsidR="003D0CAE" w:rsidRPr="00CC6B77">
              <w:rPr>
                <w:noProof/>
                <w:webHidden/>
                <w:sz w:val="20"/>
                <w:szCs w:val="20"/>
              </w:rPr>
              <w:instrText xml:space="preserve"> PAGEREF _Toc505951344 \h </w:instrText>
            </w:r>
            <w:r w:rsidR="003D0CAE" w:rsidRPr="00CC6B77">
              <w:rPr>
                <w:noProof/>
                <w:webHidden/>
                <w:sz w:val="20"/>
                <w:szCs w:val="20"/>
              </w:rPr>
            </w:r>
            <w:r w:rsidR="003D0CAE" w:rsidRPr="00CC6B77">
              <w:rPr>
                <w:noProof/>
                <w:webHidden/>
                <w:sz w:val="20"/>
                <w:szCs w:val="20"/>
              </w:rPr>
              <w:fldChar w:fldCharType="separate"/>
            </w:r>
            <w:r w:rsidR="00187EC4">
              <w:rPr>
                <w:noProof/>
                <w:webHidden/>
                <w:sz w:val="20"/>
                <w:szCs w:val="20"/>
              </w:rPr>
              <w:t>15</w:t>
            </w:r>
            <w:r w:rsidR="003D0CAE" w:rsidRPr="00CC6B77">
              <w:rPr>
                <w:noProof/>
                <w:webHidden/>
                <w:sz w:val="20"/>
                <w:szCs w:val="20"/>
              </w:rPr>
              <w:fldChar w:fldCharType="end"/>
            </w:r>
          </w:hyperlink>
        </w:p>
        <w:p w:rsidR="003D0CAE" w:rsidRPr="00CC6B77" w:rsidRDefault="00DE07C8">
          <w:pPr>
            <w:pStyle w:val="TOC2"/>
            <w:rPr>
              <w:rFonts w:asciiTheme="minorHAnsi" w:eastAsiaTheme="minorEastAsia" w:hAnsiTheme="minorHAnsi" w:cstheme="minorBidi"/>
              <w:b w:val="0"/>
              <w:bdr w:val="none" w:sz="0" w:space="0" w:color="auto"/>
              <w:lang w:val="en-US"/>
            </w:rPr>
          </w:pPr>
          <w:hyperlink w:anchor="_Toc505951345" w:history="1">
            <w:r w:rsidR="003D0CAE" w:rsidRPr="00CC6B77">
              <w:rPr>
                <w:rStyle w:val="Hyperlink"/>
              </w:rPr>
              <w:t>V.</w:t>
            </w:r>
            <w:r w:rsidR="003D0CAE" w:rsidRPr="00CC6B77">
              <w:rPr>
                <w:rFonts w:asciiTheme="minorHAnsi" w:eastAsiaTheme="minorEastAsia" w:hAnsiTheme="minorHAnsi" w:cstheme="minorBidi"/>
                <w:b w:val="0"/>
                <w:bdr w:val="none" w:sz="0" w:space="0" w:color="auto"/>
                <w:lang w:val="en-US"/>
              </w:rPr>
              <w:tab/>
            </w:r>
            <w:r w:rsidR="003D0CAE" w:rsidRPr="00CC6B77">
              <w:rPr>
                <w:rStyle w:val="Hyperlink"/>
              </w:rPr>
              <w:t>ANÁLISIS DE DERECHO</w:t>
            </w:r>
            <w:r w:rsidR="003D0CAE" w:rsidRPr="00CC6B77">
              <w:rPr>
                <w:webHidden/>
              </w:rPr>
              <w:tab/>
            </w:r>
            <w:r w:rsidR="003D0CAE" w:rsidRPr="00CC6B77">
              <w:rPr>
                <w:webHidden/>
              </w:rPr>
              <w:fldChar w:fldCharType="begin"/>
            </w:r>
            <w:r w:rsidR="003D0CAE" w:rsidRPr="00CC6B77">
              <w:rPr>
                <w:webHidden/>
              </w:rPr>
              <w:instrText xml:space="preserve"> PAGEREF _Toc505951345 \h </w:instrText>
            </w:r>
            <w:r w:rsidR="003D0CAE" w:rsidRPr="00CC6B77">
              <w:rPr>
                <w:webHidden/>
              </w:rPr>
            </w:r>
            <w:r w:rsidR="003D0CAE" w:rsidRPr="00CC6B77">
              <w:rPr>
                <w:webHidden/>
              </w:rPr>
              <w:fldChar w:fldCharType="separate"/>
            </w:r>
            <w:r w:rsidR="00187EC4">
              <w:rPr>
                <w:webHidden/>
              </w:rPr>
              <w:t>17</w:t>
            </w:r>
            <w:r w:rsidR="003D0CAE" w:rsidRPr="00CC6B77">
              <w:rPr>
                <w:webHidden/>
              </w:rPr>
              <w:fldChar w:fldCharType="end"/>
            </w:r>
          </w:hyperlink>
        </w:p>
        <w:p w:rsidR="003D0CAE" w:rsidRPr="00CC6B77" w:rsidRDefault="00DE07C8">
          <w:pPr>
            <w:pStyle w:val="TOC3"/>
            <w:tabs>
              <w:tab w:val="left" w:pos="2160"/>
            </w:tabs>
            <w:rPr>
              <w:rFonts w:asciiTheme="minorHAnsi" w:eastAsiaTheme="minorEastAsia" w:hAnsiTheme="minorHAnsi" w:cstheme="minorBidi"/>
              <w:noProof/>
              <w:sz w:val="20"/>
              <w:szCs w:val="20"/>
              <w:bdr w:val="none" w:sz="0" w:space="0" w:color="auto"/>
            </w:rPr>
          </w:pPr>
          <w:hyperlink w:anchor="_Toc505951346" w:history="1">
            <w:r w:rsidR="003D0CAE" w:rsidRPr="00CC6B77">
              <w:rPr>
                <w:rStyle w:val="Hyperlink"/>
                <w:rFonts w:ascii="Cambria" w:hAnsi="Cambria"/>
                <w:noProof/>
                <w:sz w:val="20"/>
                <w:szCs w:val="20"/>
                <w:lang w:val="es-CO"/>
              </w:rPr>
              <w:t>A.</w:t>
            </w:r>
            <w:r w:rsidR="003D0CAE" w:rsidRPr="00CC6B77">
              <w:rPr>
                <w:rFonts w:asciiTheme="minorHAnsi" w:eastAsiaTheme="minorEastAsia" w:hAnsiTheme="minorHAnsi" w:cstheme="minorBidi"/>
                <w:noProof/>
                <w:sz w:val="20"/>
                <w:szCs w:val="20"/>
                <w:bdr w:val="none" w:sz="0" w:space="0" w:color="auto"/>
              </w:rPr>
              <w:tab/>
            </w:r>
            <w:r w:rsidR="003D0CAE" w:rsidRPr="00CC6B77">
              <w:rPr>
                <w:rStyle w:val="Hyperlink"/>
                <w:rFonts w:ascii="Cambria" w:hAnsi="Cambria"/>
                <w:noProof/>
                <w:sz w:val="20"/>
                <w:szCs w:val="20"/>
                <w:lang w:val="es-CO"/>
              </w:rPr>
              <w:t>Cuestión Preliminar: aplicación e interpretación de la Declaración Americana de los Derechos y Deberes del Hombre</w:t>
            </w:r>
            <w:r w:rsidR="003D0CAE" w:rsidRPr="00CC6B77">
              <w:rPr>
                <w:noProof/>
                <w:webHidden/>
                <w:sz w:val="20"/>
                <w:szCs w:val="20"/>
              </w:rPr>
              <w:tab/>
            </w:r>
            <w:r w:rsidR="003D0CAE" w:rsidRPr="00CC6B77">
              <w:rPr>
                <w:noProof/>
                <w:webHidden/>
                <w:sz w:val="20"/>
                <w:szCs w:val="20"/>
              </w:rPr>
              <w:fldChar w:fldCharType="begin"/>
            </w:r>
            <w:r w:rsidR="003D0CAE" w:rsidRPr="00CC6B77">
              <w:rPr>
                <w:noProof/>
                <w:webHidden/>
                <w:sz w:val="20"/>
                <w:szCs w:val="20"/>
              </w:rPr>
              <w:instrText xml:space="preserve"> PAGEREF _Toc505951346 \h </w:instrText>
            </w:r>
            <w:r w:rsidR="003D0CAE" w:rsidRPr="00CC6B77">
              <w:rPr>
                <w:noProof/>
                <w:webHidden/>
                <w:sz w:val="20"/>
                <w:szCs w:val="20"/>
              </w:rPr>
            </w:r>
            <w:r w:rsidR="003D0CAE" w:rsidRPr="00CC6B77">
              <w:rPr>
                <w:noProof/>
                <w:webHidden/>
                <w:sz w:val="20"/>
                <w:szCs w:val="20"/>
              </w:rPr>
              <w:fldChar w:fldCharType="separate"/>
            </w:r>
            <w:r w:rsidR="00187EC4">
              <w:rPr>
                <w:noProof/>
                <w:webHidden/>
                <w:sz w:val="20"/>
                <w:szCs w:val="20"/>
              </w:rPr>
              <w:t>17</w:t>
            </w:r>
            <w:r w:rsidR="003D0CAE" w:rsidRPr="00CC6B77">
              <w:rPr>
                <w:noProof/>
                <w:webHidden/>
                <w:sz w:val="20"/>
                <w:szCs w:val="20"/>
              </w:rPr>
              <w:fldChar w:fldCharType="end"/>
            </w:r>
          </w:hyperlink>
        </w:p>
        <w:p w:rsidR="003D0CAE" w:rsidRPr="00CC6B77" w:rsidRDefault="00DE07C8">
          <w:pPr>
            <w:pStyle w:val="TOC3"/>
            <w:tabs>
              <w:tab w:val="left" w:pos="2160"/>
            </w:tabs>
            <w:rPr>
              <w:rFonts w:asciiTheme="minorHAnsi" w:eastAsiaTheme="minorEastAsia" w:hAnsiTheme="minorHAnsi" w:cstheme="minorBidi"/>
              <w:noProof/>
              <w:sz w:val="20"/>
              <w:szCs w:val="20"/>
              <w:bdr w:val="none" w:sz="0" w:space="0" w:color="auto"/>
            </w:rPr>
          </w:pPr>
          <w:hyperlink w:anchor="_Toc505951347" w:history="1">
            <w:r w:rsidR="003D0CAE" w:rsidRPr="00CC6B77">
              <w:rPr>
                <w:rStyle w:val="Hyperlink"/>
                <w:rFonts w:ascii="Cambria" w:hAnsi="Cambria"/>
                <w:noProof/>
                <w:sz w:val="20"/>
                <w:szCs w:val="20"/>
                <w:lang w:val="es-CO"/>
              </w:rPr>
              <w:t>B.</w:t>
            </w:r>
            <w:r w:rsidR="003D0CAE" w:rsidRPr="00CC6B77">
              <w:rPr>
                <w:rFonts w:asciiTheme="minorHAnsi" w:eastAsiaTheme="minorEastAsia" w:hAnsiTheme="minorHAnsi" w:cstheme="minorBidi"/>
                <w:noProof/>
                <w:sz w:val="20"/>
                <w:szCs w:val="20"/>
                <w:bdr w:val="none" w:sz="0" w:space="0" w:color="auto"/>
              </w:rPr>
              <w:tab/>
            </w:r>
            <w:r w:rsidR="003D0CAE" w:rsidRPr="00CC6B77">
              <w:rPr>
                <w:rStyle w:val="Hyperlink"/>
                <w:rFonts w:ascii="Cambria" w:hAnsi="Cambria"/>
                <w:noProof/>
                <w:sz w:val="20"/>
                <w:szCs w:val="20"/>
                <w:lang w:val="es-CO"/>
              </w:rPr>
              <w:t xml:space="preserve">Derecho de libertad de investigación, opinión, expresión y difusión (Artículo IV) </w:t>
            </w:r>
            <w:r w:rsidR="003D0CAE" w:rsidRPr="00CC6B77">
              <w:rPr>
                <w:rStyle w:val="Hyperlink"/>
                <w:rFonts w:ascii="Cambria" w:hAnsi="Cambria"/>
                <w:noProof/>
                <w:sz w:val="20"/>
                <w:szCs w:val="20"/>
                <w:lang w:val="es-AR"/>
              </w:rPr>
              <w:t>y derecho de asociación (artículo XXII)</w:t>
            </w:r>
            <w:r w:rsidR="003D0CAE" w:rsidRPr="00CC6B77">
              <w:rPr>
                <w:rStyle w:val="Hyperlink"/>
                <w:rFonts w:ascii="Cambria" w:hAnsi="Cambria"/>
                <w:noProof/>
                <w:sz w:val="20"/>
                <w:szCs w:val="20"/>
                <w:lang w:val="es-CO"/>
              </w:rPr>
              <w:t xml:space="preserve"> de la Declaración Americana</w:t>
            </w:r>
            <w:r w:rsidR="003D0CAE" w:rsidRPr="00CC6B77">
              <w:rPr>
                <w:noProof/>
                <w:webHidden/>
                <w:sz w:val="20"/>
                <w:szCs w:val="20"/>
              </w:rPr>
              <w:tab/>
            </w:r>
            <w:r w:rsidR="003D0CAE" w:rsidRPr="00CC6B77">
              <w:rPr>
                <w:noProof/>
                <w:webHidden/>
                <w:sz w:val="20"/>
                <w:szCs w:val="20"/>
              </w:rPr>
              <w:fldChar w:fldCharType="begin"/>
            </w:r>
            <w:r w:rsidR="003D0CAE" w:rsidRPr="00CC6B77">
              <w:rPr>
                <w:noProof/>
                <w:webHidden/>
                <w:sz w:val="20"/>
                <w:szCs w:val="20"/>
              </w:rPr>
              <w:instrText xml:space="preserve"> PAGEREF _Toc505951347 \h </w:instrText>
            </w:r>
            <w:r w:rsidR="003D0CAE" w:rsidRPr="00CC6B77">
              <w:rPr>
                <w:noProof/>
                <w:webHidden/>
                <w:sz w:val="20"/>
                <w:szCs w:val="20"/>
              </w:rPr>
            </w:r>
            <w:r w:rsidR="003D0CAE" w:rsidRPr="00CC6B77">
              <w:rPr>
                <w:noProof/>
                <w:webHidden/>
                <w:sz w:val="20"/>
                <w:szCs w:val="20"/>
              </w:rPr>
              <w:fldChar w:fldCharType="separate"/>
            </w:r>
            <w:r w:rsidR="00187EC4">
              <w:rPr>
                <w:noProof/>
                <w:webHidden/>
                <w:sz w:val="20"/>
                <w:szCs w:val="20"/>
              </w:rPr>
              <w:t>18</w:t>
            </w:r>
            <w:r w:rsidR="003D0CAE" w:rsidRPr="00CC6B77">
              <w:rPr>
                <w:noProof/>
                <w:webHidden/>
                <w:sz w:val="20"/>
                <w:szCs w:val="20"/>
              </w:rPr>
              <w:fldChar w:fldCharType="end"/>
            </w:r>
          </w:hyperlink>
        </w:p>
        <w:p w:rsidR="003D0CAE" w:rsidRPr="00CC6B77" w:rsidRDefault="00DE07C8">
          <w:pPr>
            <w:pStyle w:val="TOC3"/>
            <w:tabs>
              <w:tab w:val="left" w:pos="2160"/>
            </w:tabs>
            <w:rPr>
              <w:rFonts w:asciiTheme="minorHAnsi" w:eastAsiaTheme="minorEastAsia" w:hAnsiTheme="minorHAnsi" w:cstheme="minorBidi"/>
              <w:noProof/>
              <w:sz w:val="20"/>
              <w:szCs w:val="20"/>
              <w:bdr w:val="none" w:sz="0" w:space="0" w:color="auto"/>
            </w:rPr>
          </w:pPr>
          <w:hyperlink w:anchor="_Toc505951348" w:history="1">
            <w:r w:rsidR="003D0CAE" w:rsidRPr="00CC6B77">
              <w:rPr>
                <w:rStyle w:val="Hyperlink"/>
                <w:rFonts w:ascii="Cambria" w:hAnsi="Cambria"/>
                <w:noProof/>
                <w:sz w:val="20"/>
                <w:szCs w:val="20"/>
                <w:lang w:val="es-CO"/>
              </w:rPr>
              <w:t>C.</w:t>
            </w:r>
            <w:r w:rsidR="003D0CAE" w:rsidRPr="00CC6B77">
              <w:rPr>
                <w:rFonts w:asciiTheme="minorHAnsi" w:eastAsiaTheme="minorEastAsia" w:hAnsiTheme="minorHAnsi" w:cstheme="minorBidi"/>
                <w:noProof/>
                <w:sz w:val="20"/>
                <w:szCs w:val="20"/>
                <w:bdr w:val="none" w:sz="0" w:space="0" w:color="auto"/>
              </w:rPr>
              <w:tab/>
            </w:r>
            <w:r w:rsidR="003D0CAE" w:rsidRPr="00CC6B77">
              <w:rPr>
                <w:rStyle w:val="Hyperlink"/>
                <w:rFonts w:ascii="Cambria" w:hAnsi="Cambria"/>
                <w:noProof/>
                <w:sz w:val="20"/>
                <w:szCs w:val="20"/>
                <w:lang w:val="es-CO"/>
              </w:rPr>
              <w:t>Derechos consagrados en los artículos I (Derecho a la vida, a la libertad, a la seguridad e integridad de la persona), XXV (Derecho de protección contra la detención arbitraria) y XXVI (Derecho a proceso regular) de la Declaración Americana.</w:t>
            </w:r>
            <w:r w:rsidR="003D0CAE" w:rsidRPr="00CC6B77">
              <w:rPr>
                <w:noProof/>
                <w:webHidden/>
                <w:sz w:val="20"/>
                <w:szCs w:val="20"/>
              </w:rPr>
              <w:tab/>
            </w:r>
            <w:r w:rsidR="003D0CAE" w:rsidRPr="00CC6B77">
              <w:rPr>
                <w:noProof/>
                <w:webHidden/>
                <w:sz w:val="20"/>
                <w:szCs w:val="20"/>
              </w:rPr>
              <w:fldChar w:fldCharType="begin"/>
            </w:r>
            <w:r w:rsidR="003D0CAE" w:rsidRPr="00CC6B77">
              <w:rPr>
                <w:noProof/>
                <w:webHidden/>
                <w:sz w:val="20"/>
                <w:szCs w:val="20"/>
              </w:rPr>
              <w:instrText xml:space="preserve"> PAGEREF _Toc505951348 \h </w:instrText>
            </w:r>
            <w:r w:rsidR="003D0CAE" w:rsidRPr="00CC6B77">
              <w:rPr>
                <w:noProof/>
                <w:webHidden/>
                <w:sz w:val="20"/>
                <w:szCs w:val="20"/>
              </w:rPr>
            </w:r>
            <w:r w:rsidR="003D0CAE" w:rsidRPr="00CC6B77">
              <w:rPr>
                <w:noProof/>
                <w:webHidden/>
                <w:sz w:val="20"/>
                <w:szCs w:val="20"/>
              </w:rPr>
              <w:fldChar w:fldCharType="separate"/>
            </w:r>
            <w:r w:rsidR="00187EC4">
              <w:rPr>
                <w:noProof/>
                <w:webHidden/>
                <w:sz w:val="20"/>
                <w:szCs w:val="20"/>
              </w:rPr>
              <w:t>29</w:t>
            </w:r>
            <w:r w:rsidR="003D0CAE" w:rsidRPr="00CC6B77">
              <w:rPr>
                <w:noProof/>
                <w:webHidden/>
                <w:sz w:val="20"/>
                <w:szCs w:val="20"/>
              </w:rPr>
              <w:fldChar w:fldCharType="end"/>
            </w:r>
          </w:hyperlink>
        </w:p>
        <w:p w:rsidR="003D0CAE" w:rsidRPr="00CC6B77" w:rsidRDefault="00DE07C8">
          <w:pPr>
            <w:pStyle w:val="TOC2"/>
            <w:rPr>
              <w:rFonts w:asciiTheme="minorHAnsi" w:eastAsiaTheme="minorEastAsia" w:hAnsiTheme="minorHAnsi" w:cstheme="minorBidi"/>
              <w:b w:val="0"/>
              <w:bdr w:val="none" w:sz="0" w:space="0" w:color="auto"/>
              <w:lang w:val="en-US"/>
            </w:rPr>
          </w:pPr>
          <w:hyperlink w:anchor="_Toc505951349" w:history="1">
            <w:r w:rsidR="003D0CAE" w:rsidRPr="00CC6B77">
              <w:rPr>
                <w:rStyle w:val="Hyperlink"/>
              </w:rPr>
              <w:t>VI.</w:t>
            </w:r>
            <w:r w:rsidR="003D0CAE" w:rsidRPr="00CC6B77">
              <w:rPr>
                <w:rFonts w:asciiTheme="minorHAnsi" w:eastAsiaTheme="minorEastAsia" w:hAnsiTheme="minorHAnsi" w:cstheme="minorBidi"/>
                <w:b w:val="0"/>
                <w:bdr w:val="none" w:sz="0" w:space="0" w:color="auto"/>
                <w:lang w:val="en-US"/>
              </w:rPr>
              <w:tab/>
            </w:r>
            <w:r w:rsidR="003D0CAE" w:rsidRPr="00CC6B77">
              <w:rPr>
                <w:rStyle w:val="Hyperlink"/>
              </w:rPr>
              <w:t xml:space="preserve">ACTUACIONES POSTERIORES AL INFORME No. </w:t>
            </w:r>
            <w:r w:rsidR="003D0CAE" w:rsidRPr="00CC6B77">
              <w:rPr>
                <w:rStyle w:val="Hyperlink"/>
                <w:lang w:val="es-ES_tradnl"/>
              </w:rPr>
              <w:t>75/17</w:t>
            </w:r>
            <w:r w:rsidR="003D0CAE" w:rsidRPr="00CC6B77">
              <w:rPr>
                <w:webHidden/>
              </w:rPr>
              <w:tab/>
            </w:r>
            <w:r w:rsidR="003D0CAE" w:rsidRPr="00CC6B77">
              <w:rPr>
                <w:webHidden/>
              </w:rPr>
              <w:fldChar w:fldCharType="begin"/>
            </w:r>
            <w:r w:rsidR="003D0CAE" w:rsidRPr="00CC6B77">
              <w:rPr>
                <w:webHidden/>
              </w:rPr>
              <w:instrText xml:space="preserve"> PAGEREF _Toc505951349 \h </w:instrText>
            </w:r>
            <w:r w:rsidR="003D0CAE" w:rsidRPr="00CC6B77">
              <w:rPr>
                <w:webHidden/>
              </w:rPr>
            </w:r>
            <w:r w:rsidR="003D0CAE" w:rsidRPr="00CC6B77">
              <w:rPr>
                <w:webHidden/>
              </w:rPr>
              <w:fldChar w:fldCharType="separate"/>
            </w:r>
            <w:r w:rsidR="00187EC4">
              <w:rPr>
                <w:webHidden/>
              </w:rPr>
              <w:t>34</w:t>
            </w:r>
            <w:r w:rsidR="003D0CAE" w:rsidRPr="00CC6B77">
              <w:rPr>
                <w:webHidden/>
              </w:rPr>
              <w:fldChar w:fldCharType="end"/>
            </w:r>
          </w:hyperlink>
        </w:p>
        <w:p w:rsidR="003D0CAE" w:rsidRPr="00CC6B77" w:rsidRDefault="00DE07C8">
          <w:pPr>
            <w:pStyle w:val="TOC2"/>
            <w:rPr>
              <w:rFonts w:asciiTheme="minorHAnsi" w:eastAsiaTheme="minorEastAsia" w:hAnsiTheme="minorHAnsi" w:cstheme="minorBidi"/>
              <w:b w:val="0"/>
              <w:bdr w:val="none" w:sz="0" w:space="0" w:color="auto"/>
              <w:lang w:val="en-US"/>
            </w:rPr>
          </w:pPr>
          <w:hyperlink w:anchor="_Toc505951350" w:history="1">
            <w:r w:rsidR="003D0CAE" w:rsidRPr="00CC6B77">
              <w:rPr>
                <w:rStyle w:val="Hyperlink"/>
                <w:lang w:val="es-ES"/>
              </w:rPr>
              <w:t>VII.</w:t>
            </w:r>
            <w:r w:rsidR="003D0CAE" w:rsidRPr="00CC6B77">
              <w:rPr>
                <w:rFonts w:asciiTheme="minorHAnsi" w:eastAsiaTheme="minorEastAsia" w:hAnsiTheme="minorHAnsi" w:cstheme="minorBidi"/>
                <w:b w:val="0"/>
                <w:bdr w:val="none" w:sz="0" w:space="0" w:color="auto"/>
                <w:lang w:val="en-US"/>
              </w:rPr>
              <w:tab/>
            </w:r>
            <w:r w:rsidR="003D0CAE" w:rsidRPr="00CC6B77">
              <w:rPr>
                <w:rStyle w:val="Hyperlink"/>
                <w:lang w:val="es-ES"/>
              </w:rPr>
              <w:t>ACTUACIONES POSTERIORES AL INFORME No. 134/17</w:t>
            </w:r>
            <w:r w:rsidR="003D0CAE" w:rsidRPr="00CC6B77">
              <w:rPr>
                <w:webHidden/>
              </w:rPr>
              <w:tab/>
            </w:r>
            <w:r w:rsidR="003D0CAE" w:rsidRPr="00CC6B77">
              <w:rPr>
                <w:webHidden/>
              </w:rPr>
              <w:fldChar w:fldCharType="begin"/>
            </w:r>
            <w:r w:rsidR="003D0CAE" w:rsidRPr="00CC6B77">
              <w:rPr>
                <w:webHidden/>
              </w:rPr>
              <w:instrText xml:space="preserve"> PAGEREF _Toc505951350 \h </w:instrText>
            </w:r>
            <w:r w:rsidR="003D0CAE" w:rsidRPr="00CC6B77">
              <w:rPr>
                <w:webHidden/>
              </w:rPr>
            </w:r>
            <w:r w:rsidR="003D0CAE" w:rsidRPr="00CC6B77">
              <w:rPr>
                <w:webHidden/>
              </w:rPr>
              <w:fldChar w:fldCharType="separate"/>
            </w:r>
            <w:r w:rsidR="00187EC4">
              <w:rPr>
                <w:webHidden/>
              </w:rPr>
              <w:t>35</w:t>
            </w:r>
            <w:r w:rsidR="003D0CAE" w:rsidRPr="00CC6B77">
              <w:rPr>
                <w:webHidden/>
              </w:rPr>
              <w:fldChar w:fldCharType="end"/>
            </w:r>
          </w:hyperlink>
        </w:p>
        <w:p w:rsidR="003D0CAE" w:rsidRPr="00CC6B77" w:rsidRDefault="00DE07C8">
          <w:pPr>
            <w:pStyle w:val="TOC2"/>
            <w:rPr>
              <w:rFonts w:asciiTheme="minorHAnsi" w:eastAsiaTheme="minorEastAsia" w:hAnsiTheme="minorHAnsi" w:cstheme="minorBidi"/>
              <w:b w:val="0"/>
              <w:bdr w:val="none" w:sz="0" w:space="0" w:color="auto"/>
              <w:lang w:val="en-US"/>
            </w:rPr>
          </w:pPr>
          <w:hyperlink w:anchor="_Toc505951351" w:history="1">
            <w:r w:rsidR="003D0CAE" w:rsidRPr="00CC6B77">
              <w:rPr>
                <w:rStyle w:val="Hyperlink"/>
                <w:lang w:val="es-ES"/>
              </w:rPr>
              <w:t>VIII.</w:t>
            </w:r>
            <w:r w:rsidR="003D0CAE" w:rsidRPr="00CC6B77">
              <w:rPr>
                <w:rFonts w:asciiTheme="minorHAnsi" w:eastAsiaTheme="minorEastAsia" w:hAnsiTheme="minorHAnsi" w:cstheme="minorBidi"/>
                <w:b w:val="0"/>
                <w:bdr w:val="none" w:sz="0" w:space="0" w:color="auto"/>
                <w:lang w:val="en-US"/>
              </w:rPr>
              <w:tab/>
            </w:r>
            <w:r w:rsidR="003D0CAE" w:rsidRPr="00CC6B77">
              <w:rPr>
                <w:rStyle w:val="Hyperlink"/>
                <w:lang w:val="es-ES"/>
              </w:rPr>
              <w:t>CONCLUSIONES FINALES Y RECOMENDACIONES</w:t>
            </w:r>
            <w:r w:rsidR="003D0CAE" w:rsidRPr="00CC6B77">
              <w:rPr>
                <w:webHidden/>
              </w:rPr>
              <w:tab/>
            </w:r>
            <w:r w:rsidR="003D0CAE" w:rsidRPr="00CC6B77">
              <w:rPr>
                <w:webHidden/>
              </w:rPr>
              <w:fldChar w:fldCharType="begin"/>
            </w:r>
            <w:r w:rsidR="003D0CAE" w:rsidRPr="00CC6B77">
              <w:rPr>
                <w:webHidden/>
              </w:rPr>
              <w:instrText xml:space="preserve"> PAGEREF _Toc505951351 \h </w:instrText>
            </w:r>
            <w:r w:rsidR="003D0CAE" w:rsidRPr="00CC6B77">
              <w:rPr>
                <w:webHidden/>
              </w:rPr>
            </w:r>
            <w:r w:rsidR="003D0CAE" w:rsidRPr="00CC6B77">
              <w:rPr>
                <w:webHidden/>
              </w:rPr>
              <w:fldChar w:fldCharType="separate"/>
            </w:r>
            <w:r w:rsidR="00187EC4">
              <w:rPr>
                <w:webHidden/>
              </w:rPr>
              <w:t>35</w:t>
            </w:r>
            <w:r w:rsidR="003D0CAE" w:rsidRPr="00CC6B77">
              <w:rPr>
                <w:webHidden/>
              </w:rPr>
              <w:fldChar w:fldCharType="end"/>
            </w:r>
          </w:hyperlink>
        </w:p>
        <w:p w:rsidR="003D0CAE" w:rsidRPr="003D0CAE" w:rsidRDefault="00DE07C8">
          <w:pPr>
            <w:pStyle w:val="TOC2"/>
            <w:rPr>
              <w:rFonts w:asciiTheme="minorHAnsi" w:eastAsiaTheme="minorEastAsia" w:hAnsiTheme="minorHAnsi" w:cstheme="minorBidi"/>
              <w:b w:val="0"/>
              <w:bdr w:val="none" w:sz="0" w:space="0" w:color="auto"/>
              <w:lang w:val="en-US"/>
            </w:rPr>
          </w:pPr>
          <w:hyperlink w:anchor="_Toc505951352" w:history="1">
            <w:r w:rsidR="003D0CAE" w:rsidRPr="00CC6B77">
              <w:rPr>
                <w:rStyle w:val="Hyperlink"/>
                <w:lang w:val="es-ES"/>
              </w:rPr>
              <w:t>IX.</w:t>
            </w:r>
            <w:r w:rsidR="003D0CAE" w:rsidRPr="00CC6B77">
              <w:rPr>
                <w:rFonts w:asciiTheme="minorHAnsi" w:eastAsiaTheme="minorEastAsia" w:hAnsiTheme="minorHAnsi" w:cstheme="minorBidi"/>
                <w:b w:val="0"/>
                <w:bdr w:val="none" w:sz="0" w:space="0" w:color="auto"/>
                <w:lang w:val="en-US"/>
              </w:rPr>
              <w:tab/>
            </w:r>
            <w:r w:rsidR="003D0CAE" w:rsidRPr="00CC6B77">
              <w:rPr>
                <w:rStyle w:val="Hyperlink"/>
                <w:lang w:val="es-ES"/>
              </w:rPr>
              <w:t>PUBLICACIÓN</w:t>
            </w:r>
            <w:r w:rsidR="003D0CAE" w:rsidRPr="00CC6B77">
              <w:rPr>
                <w:webHidden/>
              </w:rPr>
              <w:tab/>
            </w:r>
            <w:r w:rsidR="003D0CAE" w:rsidRPr="00CC6B77">
              <w:rPr>
                <w:webHidden/>
              </w:rPr>
              <w:fldChar w:fldCharType="begin"/>
            </w:r>
            <w:r w:rsidR="003D0CAE" w:rsidRPr="00CC6B77">
              <w:rPr>
                <w:webHidden/>
              </w:rPr>
              <w:instrText xml:space="preserve"> PAGEREF _Toc505951352 \h </w:instrText>
            </w:r>
            <w:r w:rsidR="003D0CAE" w:rsidRPr="00CC6B77">
              <w:rPr>
                <w:webHidden/>
              </w:rPr>
            </w:r>
            <w:r w:rsidR="003D0CAE" w:rsidRPr="00CC6B77">
              <w:rPr>
                <w:webHidden/>
              </w:rPr>
              <w:fldChar w:fldCharType="separate"/>
            </w:r>
            <w:r w:rsidR="00187EC4">
              <w:rPr>
                <w:webHidden/>
              </w:rPr>
              <w:t>36</w:t>
            </w:r>
            <w:r w:rsidR="003D0CAE" w:rsidRPr="00CC6B77">
              <w:rPr>
                <w:webHidden/>
              </w:rPr>
              <w:fldChar w:fldCharType="end"/>
            </w:r>
          </w:hyperlink>
        </w:p>
        <w:p w:rsidR="007F15B8" w:rsidRPr="00845503" w:rsidRDefault="007F15B8">
          <w:pPr>
            <w:rPr>
              <w:rFonts w:ascii="Cambria" w:hAnsi="Cambria"/>
              <w:sz w:val="20"/>
              <w:szCs w:val="20"/>
            </w:rPr>
          </w:pPr>
          <w:r w:rsidRPr="003D0CAE">
            <w:rPr>
              <w:rFonts w:ascii="Cambria" w:hAnsi="Cambria"/>
              <w:b/>
              <w:bCs/>
              <w:noProof/>
              <w:sz w:val="20"/>
              <w:szCs w:val="20"/>
            </w:rPr>
            <w:fldChar w:fldCharType="end"/>
          </w:r>
        </w:p>
      </w:sdtContent>
    </w:sdt>
    <w:p w:rsidR="007F15B8" w:rsidRPr="00845503" w:rsidRDefault="007F15B8">
      <w:pPr>
        <w:rPr>
          <w:rFonts w:ascii="Cambria" w:eastAsia="Batang" w:hAnsi="Cambria" w:cs="Arial"/>
          <w:b/>
          <w:sz w:val="20"/>
          <w:szCs w:val="20"/>
          <w:bdr w:val="none" w:sz="0" w:space="0" w:color="auto"/>
          <w:lang w:val="es-CO"/>
        </w:rPr>
      </w:pPr>
    </w:p>
    <w:p w:rsidR="007F15B8" w:rsidRPr="00845503" w:rsidRDefault="007F15B8">
      <w:pPr>
        <w:rPr>
          <w:rFonts w:ascii="Cambria" w:eastAsia="Batang" w:hAnsi="Cambria" w:cs="Arial"/>
          <w:b/>
          <w:sz w:val="20"/>
          <w:szCs w:val="20"/>
          <w:bdr w:val="none" w:sz="0" w:space="0" w:color="auto"/>
          <w:lang w:val="es-CO"/>
        </w:rPr>
      </w:pPr>
      <w:r w:rsidRPr="00845503">
        <w:rPr>
          <w:rFonts w:ascii="Cambria" w:hAnsi="Cambria"/>
          <w:sz w:val="20"/>
          <w:szCs w:val="20"/>
          <w:lang w:val="es-CO"/>
        </w:rPr>
        <w:br w:type="page"/>
      </w:r>
    </w:p>
    <w:p w:rsidR="00576EB4" w:rsidRPr="00CC6B77" w:rsidRDefault="008C5D79" w:rsidP="008C5D79">
      <w:pPr>
        <w:pStyle w:val="Title"/>
        <w:tabs>
          <w:tab w:val="left" w:pos="3481"/>
          <w:tab w:val="center" w:pos="4680"/>
        </w:tabs>
        <w:jc w:val="left"/>
        <w:rPr>
          <w:rFonts w:ascii="Cambria" w:hAnsi="Cambria"/>
          <w:sz w:val="18"/>
          <w:szCs w:val="20"/>
          <w:lang w:val="es-CO"/>
        </w:rPr>
      </w:pPr>
      <w:r>
        <w:rPr>
          <w:rFonts w:ascii="Cambria" w:hAnsi="Cambria"/>
          <w:sz w:val="18"/>
          <w:szCs w:val="20"/>
          <w:lang w:val="es-CO"/>
        </w:rPr>
        <w:lastRenderedPageBreak/>
        <w:tab/>
      </w:r>
      <w:r>
        <w:rPr>
          <w:rFonts w:ascii="Cambria" w:hAnsi="Cambria"/>
          <w:sz w:val="18"/>
          <w:szCs w:val="20"/>
          <w:lang w:val="es-CO"/>
        </w:rPr>
        <w:tab/>
      </w:r>
      <w:r w:rsidR="00711965" w:rsidRPr="00CC6B77">
        <w:rPr>
          <w:rFonts w:ascii="Cambria" w:hAnsi="Cambria"/>
          <w:sz w:val="18"/>
          <w:szCs w:val="20"/>
          <w:lang w:val="es-CO"/>
        </w:rPr>
        <w:t xml:space="preserve">INFORME No. </w:t>
      </w:r>
      <w:r w:rsidR="00CC6B77">
        <w:rPr>
          <w:rFonts w:ascii="Cambria" w:hAnsi="Cambria"/>
          <w:sz w:val="18"/>
          <w:szCs w:val="20"/>
          <w:lang w:val="es-CO"/>
        </w:rPr>
        <w:t>27</w:t>
      </w:r>
      <w:r w:rsidR="00576EB4" w:rsidRPr="00CC6B77">
        <w:rPr>
          <w:rFonts w:ascii="Cambria" w:hAnsi="Cambria"/>
          <w:sz w:val="18"/>
          <w:szCs w:val="20"/>
          <w:lang w:val="es-CO"/>
        </w:rPr>
        <w:t>/1</w:t>
      </w:r>
      <w:r w:rsidR="006114AF" w:rsidRPr="00CC6B77">
        <w:rPr>
          <w:rFonts w:ascii="Cambria" w:hAnsi="Cambria"/>
          <w:sz w:val="18"/>
          <w:szCs w:val="20"/>
          <w:lang w:val="es-CO"/>
        </w:rPr>
        <w:t>8</w:t>
      </w:r>
    </w:p>
    <w:p w:rsidR="00576EB4" w:rsidRPr="00CC6B77" w:rsidRDefault="00154113" w:rsidP="00F16186">
      <w:pPr>
        <w:jc w:val="center"/>
        <w:rPr>
          <w:rFonts w:ascii="Cambria" w:hAnsi="Cambria"/>
          <w:sz w:val="18"/>
          <w:szCs w:val="20"/>
          <w:lang w:val="es-ES_tradnl"/>
        </w:rPr>
      </w:pPr>
      <w:r w:rsidRPr="00CC6B77">
        <w:rPr>
          <w:rFonts w:ascii="Cambria" w:hAnsi="Cambria"/>
          <w:sz w:val="18"/>
          <w:szCs w:val="20"/>
          <w:lang w:val="es-ES_tradnl"/>
        </w:rPr>
        <w:t>CASO 12.127</w:t>
      </w:r>
    </w:p>
    <w:p w:rsidR="00576EB4" w:rsidRPr="009C22C5" w:rsidRDefault="00576EB4" w:rsidP="00F16186">
      <w:pPr>
        <w:jc w:val="center"/>
        <w:rPr>
          <w:rFonts w:ascii="Cambria" w:hAnsi="Cambria" w:cs="Arial"/>
          <w:bCs/>
          <w:sz w:val="18"/>
          <w:szCs w:val="20"/>
          <w:lang w:val="es-CO"/>
        </w:rPr>
      </w:pPr>
      <w:r w:rsidRPr="00CC6B77">
        <w:rPr>
          <w:rFonts w:ascii="Cambria" w:hAnsi="Cambria" w:cs="Arial"/>
          <w:bCs/>
          <w:sz w:val="18"/>
          <w:szCs w:val="20"/>
          <w:lang w:val="es-CO"/>
        </w:rPr>
        <w:t>FONDO</w:t>
      </w:r>
      <w:r w:rsidR="00A14219" w:rsidRPr="00CC6B77">
        <w:rPr>
          <w:rFonts w:ascii="Cambria" w:hAnsi="Cambria" w:cs="Arial"/>
          <w:bCs/>
          <w:sz w:val="18"/>
          <w:szCs w:val="20"/>
          <w:lang w:val="es-CO"/>
        </w:rPr>
        <w:t xml:space="preserve"> (</w:t>
      </w:r>
      <w:r w:rsidR="006114AF" w:rsidRPr="00CC6B77">
        <w:rPr>
          <w:rFonts w:ascii="Cambria" w:hAnsi="Cambria" w:cs="Arial"/>
          <w:bCs/>
          <w:sz w:val="18"/>
          <w:szCs w:val="20"/>
          <w:lang w:val="es-CO"/>
        </w:rPr>
        <w:t>PUBLICACIÓN</w:t>
      </w:r>
      <w:r w:rsidR="00A14219" w:rsidRPr="00CC6B77">
        <w:rPr>
          <w:rFonts w:ascii="Cambria" w:hAnsi="Cambria" w:cs="Arial"/>
          <w:bCs/>
          <w:sz w:val="18"/>
          <w:szCs w:val="20"/>
          <w:lang w:val="es-CO"/>
        </w:rPr>
        <w:t>)</w:t>
      </w:r>
    </w:p>
    <w:p w:rsidR="00576EB4" w:rsidRPr="009C22C5" w:rsidRDefault="00154113" w:rsidP="00F16186">
      <w:pPr>
        <w:tabs>
          <w:tab w:val="center" w:pos="4680"/>
          <w:tab w:val="right" w:pos="9360"/>
        </w:tabs>
        <w:jc w:val="center"/>
        <w:rPr>
          <w:rFonts w:ascii="Cambria" w:hAnsi="Cambria" w:cs="Arial"/>
          <w:bCs/>
          <w:sz w:val="18"/>
          <w:szCs w:val="20"/>
          <w:lang w:val="es-CO"/>
        </w:rPr>
      </w:pPr>
      <w:r w:rsidRPr="009C22C5">
        <w:rPr>
          <w:rFonts w:ascii="Cambria" w:hAnsi="Cambria" w:cs="Arial"/>
          <w:bCs/>
          <w:sz w:val="18"/>
          <w:szCs w:val="20"/>
          <w:lang w:val="es-CO"/>
        </w:rPr>
        <w:t>VLADIMIRO ROCA ANTUNEZ Y OTROS</w:t>
      </w:r>
    </w:p>
    <w:p w:rsidR="00576EB4" w:rsidRPr="009C22C5" w:rsidRDefault="00154113" w:rsidP="00F16186">
      <w:pPr>
        <w:jc w:val="center"/>
        <w:rPr>
          <w:rFonts w:ascii="Cambria" w:hAnsi="Cambria" w:cs="Arial"/>
          <w:bCs/>
          <w:sz w:val="18"/>
          <w:szCs w:val="20"/>
          <w:lang w:val="es-CO"/>
        </w:rPr>
      </w:pPr>
      <w:r w:rsidRPr="009C22C5">
        <w:rPr>
          <w:rFonts w:ascii="Cambria" w:hAnsi="Cambria" w:cs="Arial"/>
          <w:bCs/>
          <w:sz w:val="18"/>
          <w:szCs w:val="20"/>
          <w:lang w:val="es-CO"/>
        </w:rPr>
        <w:t>CUBA</w:t>
      </w:r>
    </w:p>
    <w:p w:rsidR="00576EB4" w:rsidRPr="009C22C5" w:rsidRDefault="00CC6B77" w:rsidP="00F16186">
      <w:pPr>
        <w:jc w:val="center"/>
        <w:rPr>
          <w:rFonts w:ascii="Cambria" w:hAnsi="Cambria" w:cs="Arial"/>
          <w:bCs/>
          <w:sz w:val="18"/>
          <w:szCs w:val="20"/>
          <w:lang w:val="es-CO"/>
        </w:rPr>
      </w:pPr>
      <w:r w:rsidRPr="00CC6B77">
        <w:rPr>
          <w:rFonts w:ascii="Cambria" w:hAnsi="Cambria" w:cs="Arial"/>
          <w:bCs/>
          <w:sz w:val="18"/>
          <w:szCs w:val="20"/>
          <w:lang w:val="es-CO"/>
        </w:rPr>
        <w:t>24 DE FEBRERO DE</w:t>
      </w:r>
      <w:r w:rsidR="00096F6B" w:rsidRPr="00CC6B77">
        <w:rPr>
          <w:rFonts w:ascii="Cambria" w:hAnsi="Cambria" w:cs="Arial"/>
          <w:bCs/>
          <w:sz w:val="18"/>
          <w:szCs w:val="20"/>
          <w:lang w:val="es-CO"/>
        </w:rPr>
        <w:t xml:space="preserve"> 2018</w:t>
      </w:r>
    </w:p>
    <w:p w:rsidR="00576EB4" w:rsidRPr="00845503" w:rsidRDefault="00576EB4" w:rsidP="0046202E">
      <w:pPr>
        <w:jc w:val="both"/>
        <w:rPr>
          <w:rFonts w:ascii="Cambria" w:hAnsi="Cambria" w:cs="Arial"/>
          <w:sz w:val="20"/>
          <w:szCs w:val="20"/>
          <w:lang w:val="es-CO"/>
        </w:rPr>
      </w:pPr>
    </w:p>
    <w:p w:rsidR="00576EB4" w:rsidRPr="00845503" w:rsidRDefault="00576EB4" w:rsidP="009C22C5">
      <w:pPr>
        <w:pStyle w:val="Heading2"/>
        <w:numPr>
          <w:ilvl w:val="0"/>
          <w:numId w:val="55"/>
        </w:numPr>
        <w:tabs>
          <w:tab w:val="clear" w:pos="1440"/>
        </w:tabs>
        <w:spacing w:before="0" w:after="0"/>
        <w:ind w:left="0" w:firstLine="720"/>
        <w:jc w:val="both"/>
        <w:rPr>
          <w:rFonts w:ascii="Cambria" w:hAnsi="Cambria"/>
          <w:i w:val="0"/>
          <w:sz w:val="20"/>
          <w:szCs w:val="20"/>
          <w:lang w:val="es-CO"/>
        </w:rPr>
      </w:pPr>
      <w:bookmarkStart w:id="2" w:name="_Toc505951335"/>
      <w:r w:rsidRPr="00845503">
        <w:rPr>
          <w:rFonts w:ascii="Cambria" w:hAnsi="Cambria"/>
          <w:i w:val="0"/>
          <w:sz w:val="20"/>
          <w:szCs w:val="20"/>
          <w:lang w:val="es-CO"/>
        </w:rPr>
        <w:t>RESUMEN</w:t>
      </w:r>
      <w:bookmarkEnd w:id="2"/>
    </w:p>
    <w:p w:rsidR="00576EB4" w:rsidRPr="00845503" w:rsidRDefault="00576EB4" w:rsidP="0046202E">
      <w:pPr>
        <w:jc w:val="both"/>
        <w:rPr>
          <w:rFonts w:ascii="Cambria" w:hAnsi="Cambria" w:cs="Arial"/>
          <w:sz w:val="20"/>
          <w:szCs w:val="20"/>
          <w:lang w:val="es-CO"/>
        </w:rPr>
      </w:pPr>
    </w:p>
    <w:p w:rsidR="00576EB4" w:rsidRPr="00845503" w:rsidRDefault="00410955"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cs="Arial"/>
          <w:sz w:val="20"/>
          <w:szCs w:val="20"/>
          <w:lang w:val="es-CO"/>
        </w:rPr>
        <w:t>El 25 de marzo de 1999</w:t>
      </w:r>
      <w:r w:rsidR="000B185A" w:rsidRPr="00845503">
        <w:rPr>
          <w:rFonts w:ascii="Cambria" w:hAnsi="Cambria" w:cs="Arial"/>
          <w:sz w:val="20"/>
          <w:szCs w:val="20"/>
          <w:lang w:val="es-CO"/>
        </w:rPr>
        <w:t>,</w:t>
      </w:r>
      <w:r w:rsidRPr="00845503">
        <w:rPr>
          <w:rFonts w:ascii="Cambria" w:hAnsi="Cambria" w:cs="Arial"/>
          <w:sz w:val="20"/>
          <w:szCs w:val="20"/>
          <w:lang w:val="es-CO"/>
        </w:rPr>
        <w:t xml:space="preserve"> la Comisión Interamericana de Derechos Humanos (en adelante “la</w:t>
      </w:r>
      <w:r w:rsidRPr="00845503">
        <w:rPr>
          <w:rFonts w:ascii="Cambria" w:hAnsi="Cambria"/>
          <w:sz w:val="20"/>
          <w:szCs w:val="20"/>
          <w:lang w:val="es-ES"/>
        </w:rPr>
        <w:t xml:space="preserve"> Comisión Interamericana” o “la CIDH”)  recibió una denuncia presentada  por el Comité Cubano Pro Derechos Humanos y el Grupo de Trabajo de </w:t>
      </w:r>
      <w:r w:rsidR="000736A7" w:rsidRPr="00845503">
        <w:rPr>
          <w:rFonts w:ascii="Cambria" w:hAnsi="Cambria"/>
          <w:sz w:val="20"/>
          <w:szCs w:val="20"/>
          <w:lang w:val="es-ES"/>
        </w:rPr>
        <w:t xml:space="preserve">la </w:t>
      </w:r>
      <w:r w:rsidRPr="00845503">
        <w:rPr>
          <w:rFonts w:ascii="Cambria" w:hAnsi="Cambria"/>
          <w:sz w:val="20"/>
          <w:szCs w:val="20"/>
          <w:lang w:val="es-ES"/>
        </w:rPr>
        <w:t>Disidencia Interna (en adelante ”los pet</w:t>
      </w:r>
      <w:r w:rsidR="00B13A87" w:rsidRPr="00845503">
        <w:rPr>
          <w:rFonts w:ascii="Cambria" w:hAnsi="Cambria"/>
          <w:sz w:val="20"/>
          <w:szCs w:val="20"/>
          <w:lang w:val="es-ES"/>
        </w:rPr>
        <w:t xml:space="preserve">icionarios”) en la cual se alegó </w:t>
      </w:r>
      <w:r w:rsidRPr="00845503">
        <w:rPr>
          <w:rFonts w:ascii="Cambria" w:hAnsi="Cambria"/>
          <w:sz w:val="20"/>
          <w:szCs w:val="20"/>
          <w:lang w:val="es-ES"/>
        </w:rPr>
        <w:t>la responsabilidad internacional de</w:t>
      </w:r>
      <w:r w:rsidR="00B13A87" w:rsidRPr="00845503">
        <w:rPr>
          <w:rFonts w:ascii="Cambria" w:hAnsi="Cambria"/>
          <w:sz w:val="20"/>
          <w:szCs w:val="20"/>
          <w:lang w:val="es-ES"/>
        </w:rPr>
        <w:t>l Estado de</w:t>
      </w:r>
      <w:r w:rsidRPr="00845503">
        <w:rPr>
          <w:rFonts w:ascii="Cambria" w:hAnsi="Cambria"/>
          <w:sz w:val="20"/>
          <w:szCs w:val="20"/>
          <w:lang w:val="es-ES"/>
        </w:rPr>
        <w:t xml:space="preserve"> Cuba (en adelante “el Estado” o el “Estado Cubano”) por la </w:t>
      </w:r>
      <w:r w:rsidR="00F5700C" w:rsidRPr="00845503">
        <w:rPr>
          <w:rFonts w:ascii="Cambria" w:hAnsi="Cambria"/>
          <w:sz w:val="20"/>
          <w:szCs w:val="20"/>
          <w:lang w:val="es-ES"/>
        </w:rPr>
        <w:t>violación de los artículos I</w:t>
      </w:r>
      <w:r w:rsidR="00342B09" w:rsidRPr="00845503">
        <w:rPr>
          <w:rFonts w:ascii="Cambria" w:hAnsi="Cambria"/>
          <w:sz w:val="20"/>
          <w:szCs w:val="20"/>
          <w:lang w:val="es-ES"/>
        </w:rPr>
        <w:t xml:space="preserve"> (Derecho a la vida, a la libertad, a la seguridad e integridad de la persona)</w:t>
      </w:r>
      <w:r w:rsidR="00F5700C" w:rsidRPr="00845503">
        <w:rPr>
          <w:rFonts w:ascii="Cambria" w:hAnsi="Cambria"/>
          <w:sz w:val="20"/>
          <w:szCs w:val="20"/>
          <w:lang w:val="es-ES"/>
        </w:rPr>
        <w:t>, IV</w:t>
      </w:r>
      <w:r w:rsidR="00342B09" w:rsidRPr="00845503">
        <w:rPr>
          <w:rFonts w:ascii="Cambria" w:hAnsi="Cambria"/>
          <w:sz w:val="20"/>
          <w:szCs w:val="20"/>
          <w:lang w:val="es-ES"/>
        </w:rPr>
        <w:t xml:space="preserve"> (Derecho de libertad de investigación, opinión, expresión y difusión)</w:t>
      </w:r>
      <w:r w:rsidR="00F5700C" w:rsidRPr="00845503">
        <w:rPr>
          <w:rFonts w:ascii="Cambria" w:hAnsi="Cambria"/>
          <w:sz w:val="20"/>
          <w:szCs w:val="20"/>
          <w:lang w:val="es-ES"/>
        </w:rPr>
        <w:t>, XXV</w:t>
      </w:r>
      <w:r w:rsidR="00342B09" w:rsidRPr="00845503">
        <w:rPr>
          <w:rFonts w:ascii="Cambria" w:hAnsi="Cambria"/>
          <w:sz w:val="20"/>
          <w:szCs w:val="20"/>
          <w:lang w:val="es-ES"/>
        </w:rPr>
        <w:t xml:space="preserve"> (Derecho de protección contra la detención arbitraria)</w:t>
      </w:r>
      <w:r w:rsidR="00F5700C" w:rsidRPr="00845503">
        <w:rPr>
          <w:rFonts w:ascii="Cambria" w:hAnsi="Cambria"/>
          <w:sz w:val="20"/>
          <w:szCs w:val="20"/>
          <w:lang w:val="es-ES"/>
        </w:rPr>
        <w:t xml:space="preserve"> y XXVI </w:t>
      </w:r>
      <w:r w:rsidR="00342B09" w:rsidRPr="00845503">
        <w:rPr>
          <w:rFonts w:ascii="Cambria" w:hAnsi="Cambria"/>
          <w:sz w:val="20"/>
          <w:szCs w:val="20"/>
          <w:lang w:val="es-ES"/>
        </w:rPr>
        <w:t xml:space="preserve">(Derecho a proceso regular) </w:t>
      </w:r>
      <w:r w:rsidR="00F5700C" w:rsidRPr="00845503">
        <w:rPr>
          <w:rFonts w:ascii="Cambria" w:hAnsi="Cambria"/>
          <w:sz w:val="20"/>
          <w:szCs w:val="20"/>
          <w:lang w:val="es-ES"/>
        </w:rPr>
        <w:t xml:space="preserve">de la Declaración Americana </w:t>
      </w:r>
      <w:r w:rsidR="00746097" w:rsidRPr="00845503">
        <w:rPr>
          <w:rFonts w:ascii="Cambria" w:hAnsi="Cambria"/>
          <w:sz w:val="20"/>
          <w:szCs w:val="20"/>
          <w:lang w:val="es-ES"/>
        </w:rPr>
        <w:t xml:space="preserve"> de los</w:t>
      </w:r>
      <w:r w:rsidR="00F5700C" w:rsidRPr="00845503">
        <w:rPr>
          <w:rFonts w:ascii="Cambria" w:hAnsi="Cambria"/>
          <w:sz w:val="20"/>
          <w:szCs w:val="20"/>
          <w:lang w:val="es-ES"/>
        </w:rPr>
        <w:t xml:space="preserve"> Derechos y Deberes del Hombre (en adelante la “Declaración Americana” o la “Declaración”), en perjuicio</w:t>
      </w:r>
      <w:r w:rsidRPr="00845503">
        <w:rPr>
          <w:rFonts w:ascii="Cambria" w:hAnsi="Cambria"/>
          <w:sz w:val="20"/>
          <w:szCs w:val="20"/>
          <w:lang w:val="es-ES"/>
        </w:rPr>
        <w:t xml:space="preserve"> de Vladimiro Roca Antúnez, </w:t>
      </w:r>
      <w:r w:rsidR="007364FC" w:rsidRPr="00845503">
        <w:rPr>
          <w:rFonts w:ascii="Cambria" w:hAnsi="Cambria"/>
          <w:sz w:val="20"/>
          <w:szCs w:val="20"/>
          <w:lang w:val="es-ES"/>
        </w:rPr>
        <w:t>René</w:t>
      </w:r>
      <w:r w:rsidRPr="00845503">
        <w:rPr>
          <w:rFonts w:ascii="Cambria" w:hAnsi="Cambria"/>
          <w:sz w:val="20"/>
          <w:szCs w:val="20"/>
          <w:lang w:val="es-ES"/>
        </w:rPr>
        <w:t xml:space="preserve"> Gómez Manzano, Mart</w:t>
      </w:r>
      <w:r w:rsidR="00967821" w:rsidRPr="00845503">
        <w:rPr>
          <w:rFonts w:ascii="Cambria" w:hAnsi="Cambria"/>
          <w:sz w:val="20"/>
          <w:szCs w:val="20"/>
          <w:lang w:val="es-ES"/>
        </w:rPr>
        <w:t>h</w:t>
      </w:r>
      <w:r w:rsidRPr="00845503">
        <w:rPr>
          <w:rFonts w:ascii="Cambria" w:hAnsi="Cambria"/>
          <w:sz w:val="20"/>
          <w:szCs w:val="20"/>
          <w:lang w:val="es-ES"/>
        </w:rPr>
        <w:t xml:space="preserve">a Beatriz Roque Cabello y Félix Bonne Carcassés (en adelante “las presuntas víctimas”). </w:t>
      </w:r>
    </w:p>
    <w:p w:rsidR="00576EB4" w:rsidRPr="00845503" w:rsidRDefault="00576EB4" w:rsidP="0046202E">
      <w:pPr>
        <w:pStyle w:val="BodyTextIndent"/>
        <w:ind w:left="0" w:firstLine="0"/>
        <w:jc w:val="both"/>
        <w:rPr>
          <w:rFonts w:ascii="Cambria" w:hAnsi="Cambria"/>
          <w:color w:val="auto"/>
          <w:sz w:val="20"/>
          <w:szCs w:val="20"/>
          <w:lang w:val="es-CO"/>
        </w:rPr>
      </w:pPr>
    </w:p>
    <w:p w:rsidR="00576EB4" w:rsidRPr="00845503" w:rsidRDefault="00410955"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Lo</w:t>
      </w:r>
      <w:r w:rsidR="00B13A87" w:rsidRPr="00845503">
        <w:rPr>
          <w:rFonts w:ascii="Cambria" w:hAnsi="Cambria" w:cs="Arial"/>
          <w:sz w:val="20"/>
          <w:szCs w:val="20"/>
          <w:lang w:val="es-ES"/>
        </w:rPr>
        <w:t>s peticionarios denunciaron</w:t>
      </w:r>
      <w:r w:rsidRPr="00845503">
        <w:rPr>
          <w:rFonts w:ascii="Cambria" w:hAnsi="Cambria" w:cs="Arial"/>
          <w:sz w:val="20"/>
          <w:szCs w:val="20"/>
          <w:lang w:val="es-ES"/>
        </w:rPr>
        <w:t xml:space="preserve"> que las presuntas víctimas fueron </w:t>
      </w:r>
      <w:r w:rsidR="00B13A87" w:rsidRPr="00845503">
        <w:rPr>
          <w:rFonts w:ascii="Cambria" w:hAnsi="Cambria" w:cs="Arial"/>
          <w:sz w:val="20"/>
          <w:szCs w:val="20"/>
          <w:lang w:val="es-ES"/>
        </w:rPr>
        <w:t xml:space="preserve">privadas arbitrariamente de la libertad y condenadas a largas penas de prisión </w:t>
      </w:r>
      <w:r w:rsidR="00BF16AB" w:rsidRPr="00845503">
        <w:rPr>
          <w:rFonts w:ascii="Cambria" w:hAnsi="Cambria" w:cs="Arial"/>
          <w:sz w:val="20"/>
          <w:szCs w:val="20"/>
          <w:lang w:val="es-ES"/>
        </w:rPr>
        <w:t>bajo cargos de</w:t>
      </w:r>
      <w:r w:rsidR="00E74E96" w:rsidRPr="00845503">
        <w:rPr>
          <w:rFonts w:ascii="Cambria" w:hAnsi="Cambria" w:cs="Arial"/>
          <w:sz w:val="20"/>
          <w:szCs w:val="20"/>
          <w:lang w:val="es-ES"/>
        </w:rPr>
        <w:t xml:space="preserve"> sedición, por </w:t>
      </w:r>
      <w:r w:rsidR="00BF16AB" w:rsidRPr="00845503">
        <w:rPr>
          <w:rFonts w:ascii="Cambria" w:hAnsi="Cambria" w:cs="Arial"/>
          <w:sz w:val="20"/>
          <w:szCs w:val="20"/>
          <w:lang w:val="es-ES"/>
        </w:rPr>
        <w:t>el solo hecho de haber creado</w:t>
      </w:r>
      <w:r w:rsidR="002E6096" w:rsidRPr="00845503">
        <w:rPr>
          <w:rFonts w:ascii="Cambria" w:hAnsi="Cambria" w:cs="Arial"/>
          <w:sz w:val="20"/>
          <w:szCs w:val="20"/>
          <w:lang w:val="es-ES"/>
        </w:rPr>
        <w:t xml:space="preserve"> una organización llamada </w:t>
      </w:r>
      <w:r w:rsidR="00E74E96" w:rsidRPr="00845503">
        <w:rPr>
          <w:rFonts w:ascii="Cambria" w:hAnsi="Cambria" w:cs="Arial"/>
          <w:sz w:val="20"/>
          <w:szCs w:val="20"/>
          <w:lang w:val="es-ES"/>
        </w:rPr>
        <w:t>“</w:t>
      </w:r>
      <w:r w:rsidR="00B13A87" w:rsidRPr="00845503">
        <w:rPr>
          <w:rFonts w:ascii="Cambria" w:hAnsi="Cambria" w:cs="Arial"/>
          <w:sz w:val="20"/>
          <w:szCs w:val="20"/>
          <w:lang w:val="es-ES"/>
        </w:rPr>
        <w:t>Grupo de Trabajo</w:t>
      </w:r>
      <w:r w:rsidR="00746097" w:rsidRPr="00845503">
        <w:rPr>
          <w:rFonts w:ascii="Cambria" w:hAnsi="Cambria" w:cs="Arial"/>
          <w:sz w:val="20"/>
          <w:szCs w:val="20"/>
          <w:lang w:val="es-ES"/>
        </w:rPr>
        <w:t xml:space="preserve"> de</w:t>
      </w:r>
      <w:r w:rsidR="000736A7" w:rsidRPr="00845503">
        <w:rPr>
          <w:rFonts w:ascii="Cambria" w:hAnsi="Cambria" w:cs="Arial"/>
          <w:sz w:val="20"/>
          <w:szCs w:val="20"/>
          <w:lang w:val="es-ES"/>
        </w:rPr>
        <w:t xml:space="preserve"> la</w:t>
      </w:r>
      <w:r w:rsidR="00B13A87" w:rsidRPr="00845503">
        <w:rPr>
          <w:rFonts w:ascii="Cambria" w:hAnsi="Cambria" w:cs="Arial"/>
          <w:sz w:val="20"/>
          <w:szCs w:val="20"/>
          <w:lang w:val="es-ES"/>
        </w:rPr>
        <w:t xml:space="preserve"> Disidencia Interna</w:t>
      </w:r>
      <w:r w:rsidR="00E74E96" w:rsidRPr="00845503">
        <w:rPr>
          <w:rFonts w:ascii="Cambria" w:hAnsi="Cambria" w:cs="Arial"/>
          <w:sz w:val="20"/>
          <w:szCs w:val="20"/>
          <w:lang w:val="es-ES"/>
        </w:rPr>
        <w:t xml:space="preserve">”, </w:t>
      </w:r>
      <w:r w:rsidR="002E6096" w:rsidRPr="00845503">
        <w:rPr>
          <w:rFonts w:ascii="Cambria" w:hAnsi="Cambria" w:cs="Arial"/>
          <w:sz w:val="20"/>
          <w:szCs w:val="20"/>
          <w:lang w:val="es-ES"/>
        </w:rPr>
        <w:t>dedicada</w:t>
      </w:r>
      <w:r w:rsidR="00E74E96" w:rsidRPr="00845503">
        <w:rPr>
          <w:rFonts w:ascii="Cambria" w:hAnsi="Cambria" w:cs="Arial"/>
          <w:sz w:val="20"/>
          <w:szCs w:val="20"/>
          <w:lang w:val="es-ES"/>
        </w:rPr>
        <w:t xml:space="preserve"> al estudio de los problemas socioeconómicos de Cuba, y</w:t>
      </w:r>
      <w:r w:rsidR="00BF16AB" w:rsidRPr="00845503">
        <w:rPr>
          <w:rFonts w:ascii="Cambria" w:hAnsi="Cambria" w:cs="Arial"/>
          <w:sz w:val="20"/>
          <w:szCs w:val="20"/>
          <w:lang w:val="es-ES"/>
        </w:rPr>
        <w:t xml:space="preserve"> a</w:t>
      </w:r>
      <w:r w:rsidR="00E74E96" w:rsidRPr="00845503">
        <w:rPr>
          <w:rFonts w:ascii="Cambria" w:hAnsi="Cambria" w:cs="Arial"/>
          <w:sz w:val="20"/>
          <w:szCs w:val="20"/>
          <w:lang w:val="es-ES"/>
        </w:rPr>
        <w:t xml:space="preserve"> </w:t>
      </w:r>
      <w:r w:rsidR="00B13A87" w:rsidRPr="00845503">
        <w:rPr>
          <w:rFonts w:ascii="Cambria" w:hAnsi="Cambria" w:cs="Arial"/>
          <w:sz w:val="20"/>
          <w:szCs w:val="20"/>
          <w:lang w:val="es-ES"/>
        </w:rPr>
        <w:t xml:space="preserve">la difusión de documentos y boletines críticos del Estado. </w:t>
      </w:r>
      <w:r w:rsidR="002E6096" w:rsidRPr="00845503">
        <w:rPr>
          <w:rFonts w:ascii="Cambria" w:hAnsi="Cambria" w:cs="Arial"/>
          <w:sz w:val="20"/>
          <w:szCs w:val="20"/>
          <w:lang w:val="es-ES"/>
        </w:rPr>
        <w:t xml:space="preserve">Los peticionarios indicaron que las presuntas víctimas fueron </w:t>
      </w:r>
      <w:r w:rsidR="00BF16AB" w:rsidRPr="00845503">
        <w:rPr>
          <w:rFonts w:ascii="Cambria" w:hAnsi="Cambria" w:cs="Arial"/>
          <w:sz w:val="20"/>
          <w:szCs w:val="20"/>
          <w:lang w:val="es-ES"/>
        </w:rPr>
        <w:t>detenidas por la policía</w:t>
      </w:r>
      <w:r w:rsidRPr="00845503">
        <w:rPr>
          <w:rFonts w:ascii="Cambria" w:hAnsi="Cambria" w:cs="Arial"/>
          <w:sz w:val="20"/>
          <w:szCs w:val="20"/>
          <w:lang w:val="es-ES"/>
        </w:rPr>
        <w:t xml:space="preserve"> el 16 de julio de 1997</w:t>
      </w:r>
      <w:r w:rsidR="002E6096" w:rsidRPr="00845503">
        <w:rPr>
          <w:rFonts w:ascii="Cambria" w:hAnsi="Cambria" w:cs="Arial"/>
          <w:sz w:val="20"/>
          <w:szCs w:val="20"/>
          <w:lang w:val="es-ES"/>
        </w:rPr>
        <w:t>,</w:t>
      </w:r>
      <w:r w:rsidRPr="00845503">
        <w:rPr>
          <w:rFonts w:ascii="Cambria" w:hAnsi="Cambria" w:cs="Arial"/>
          <w:sz w:val="20"/>
          <w:szCs w:val="20"/>
          <w:lang w:val="es-ES"/>
        </w:rPr>
        <w:t xml:space="preserve"> y que </w:t>
      </w:r>
      <w:r w:rsidR="002E6096" w:rsidRPr="00845503">
        <w:rPr>
          <w:rFonts w:ascii="Cambria" w:hAnsi="Cambria" w:cs="Arial"/>
          <w:sz w:val="20"/>
          <w:szCs w:val="20"/>
          <w:lang w:val="es-ES"/>
        </w:rPr>
        <w:t xml:space="preserve">permanecieron en detención preventiva por </w:t>
      </w:r>
      <w:r w:rsidR="001C68BC" w:rsidRPr="00845503">
        <w:rPr>
          <w:rFonts w:ascii="Cambria" w:hAnsi="Cambria" w:cs="Arial"/>
          <w:sz w:val="20"/>
          <w:szCs w:val="20"/>
          <w:lang w:val="es-ES"/>
        </w:rPr>
        <w:t>un año y cinco meses</w:t>
      </w:r>
      <w:r w:rsidR="002E6096" w:rsidRPr="00845503">
        <w:rPr>
          <w:rFonts w:ascii="Cambria" w:hAnsi="Cambria" w:cs="Arial"/>
          <w:sz w:val="20"/>
          <w:szCs w:val="20"/>
          <w:lang w:val="es-ES"/>
        </w:rPr>
        <w:t xml:space="preserve"> </w:t>
      </w:r>
      <w:r w:rsidR="00BF16AB" w:rsidRPr="00845503">
        <w:rPr>
          <w:rFonts w:ascii="Cambria" w:hAnsi="Cambria" w:cs="Arial"/>
          <w:sz w:val="20"/>
          <w:szCs w:val="20"/>
          <w:lang w:val="es-ES"/>
        </w:rPr>
        <w:t>sin control judicial</w:t>
      </w:r>
      <w:r w:rsidR="002E6096" w:rsidRPr="00845503">
        <w:rPr>
          <w:rFonts w:ascii="Cambria" w:hAnsi="Cambria" w:cs="Arial"/>
          <w:sz w:val="20"/>
          <w:szCs w:val="20"/>
          <w:lang w:val="es-ES"/>
        </w:rPr>
        <w:t xml:space="preserve"> efectivo. Afirmaron que el 4 de marzo de 1999 </w:t>
      </w:r>
      <w:r w:rsidRPr="00845503">
        <w:rPr>
          <w:rFonts w:ascii="Cambria" w:hAnsi="Cambria" w:cs="Arial"/>
          <w:sz w:val="20"/>
          <w:szCs w:val="20"/>
          <w:lang w:val="es-ES"/>
        </w:rPr>
        <w:t>la Sala de los Delitos Contra la Seguridad del Estado del Tribunal Provincial P</w:t>
      </w:r>
      <w:r w:rsidR="002E6096" w:rsidRPr="00845503">
        <w:rPr>
          <w:rFonts w:ascii="Cambria" w:hAnsi="Cambria" w:cs="Arial"/>
          <w:sz w:val="20"/>
          <w:szCs w:val="20"/>
          <w:lang w:val="es-ES"/>
        </w:rPr>
        <w:t>opular de La Habana los declar</w:t>
      </w:r>
      <w:r w:rsidRPr="00845503">
        <w:rPr>
          <w:rFonts w:ascii="Cambria" w:hAnsi="Cambria" w:cs="Arial"/>
          <w:sz w:val="20"/>
          <w:szCs w:val="20"/>
          <w:lang w:val="es-ES"/>
        </w:rPr>
        <w:t xml:space="preserve">ó culpables </w:t>
      </w:r>
      <w:r w:rsidR="002E6096" w:rsidRPr="00845503">
        <w:rPr>
          <w:rFonts w:ascii="Cambria" w:hAnsi="Cambria" w:cs="Arial"/>
          <w:sz w:val="20"/>
          <w:szCs w:val="20"/>
          <w:lang w:val="es-ES"/>
        </w:rPr>
        <w:t>d</w:t>
      </w:r>
      <w:r w:rsidRPr="00845503">
        <w:rPr>
          <w:rFonts w:ascii="Cambria" w:hAnsi="Cambria" w:cs="Arial"/>
          <w:sz w:val="20"/>
          <w:szCs w:val="20"/>
          <w:lang w:val="es-ES"/>
        </w:rPr>
        <w:t>el delito de sedición</w:t>
      </w:r>
      <w:r w:rsidR="00474FE0" w:rsidRPr="00845503">
        <w:rPr>
          <w:rFonts w:ascii="Cambria" w:hAnsi="Cambria" w:cs="Arial"/>
          <w:sz w:val="20"/>
          <w:szCs w:val="20"/>
          <w:lang w:val="es-ES"/>
        </w:rPr>
        <w:t xml:space="preserve">, sobre la base de argumentos que vulneran </w:t>
      </w:r>
      <w:r w:rsidR="00746097" w:rsidRPr="00845503">
        <w:rPr>
          <w:rFonts w:ascii="Cambria" w:hAnsi="Cambria" w:cs="Arial"/>
          <w:sz w:val="20"/>
          <w:szCs w:val="20"/>
          <w:lang w:val="es-ES"/>
        </w:rPr>
        <w:t xml:space="preserve">los </w:t>
      </w:r>
      <w:r w:rsidR="00474FE0" w:rsidRPr="00845503">
        <w:rPr>
          <w:rFonts w:ascii="Cambria" w:hAnsi="Cambria" w:cs="Arial"/>
          <w:sz w:val="20"/>
          <w:szCs w:val="20"/>
          <w:lang w:val="es-ES"/>
        </w:rPr>
        <w:t>derechos a la libertad de expresión y principios democráticos</w:t>
      </w:r>
      <w:r w:rsidRPr="00845503">
        <w:rPr>
          <w:rFonts w:ascii="Cambria" w:hAnsi="Cambria" w:cs="Arial"/>
          <w:sz w:val="20"/>
          <w:szCs w:val="20"/>
          <w:lang w:val="es-ES"/>
        </w:rPr>
        <w:t xml:space="preserve">. </w:t>
      </w:r>
      <w:r w:rsidR="00967821" w:rsidRPr="00845503">
        <w:rPr>
          <w:rFonts w:ascii="Cambria" w:hAnsi="Cambria" w:cs="Arial"/>
          <w:sz w:val="20"/>
          <w:szCs w:val="20"/>
          <w:lang w:val="es-ES"/>
        </w:rPr>
        <w:t>Martha</w:t>
      </w:r>
      <w:r w:rsidRPr="00845503">
        <w:rPr>
          <w:rFonts w:ascii="Cambria" w:hAnsi="Cambria" w:cs="Arial"/>
          <w:sz w:val="20"/>
          <w:szCs w:val="20"/>
          <w:lang w:val="es-ES"/>
        </w:rPr>
        <w:t xml:space="preserve"> Beatriz Roque Cabello fue condenada a tres años y medio de privación de libertad, René Gómez Manzano y Félix Bonne Carcassés a cuatro años y Vladimiro Roca Antúnez a cinco años. </w:t>
      </w:r>
      <w:r w:rsidR="002E6096" w:rsidRPr="00845503">
        <w:rPr>
          <w:rFonts w:ascii="Cambria" w:hAnsi="Cambria" w:cs="Arial"/>
          <w:sz w:val="20"/>
          <w:szCs w:val="20"/>
          <w:lang w:val="es-ES"/>
        </w:rPr>
        <w:t>Los peticionarios alegaron</w:t>
      </w:r>
      <w:r w:rsidRPr="00845503">
        <w:rPr>
          <w:rFonts w:ascii="Cambria" w:hAnsi="Cambria" w:cs="Arial"/>
          <w:sz w:val="20"/>
          <w:szCs w:val="20"/>
          <w:lang w:val="es-ES"/>
        </w:rPr>
        <w:t xml:space="preserve"> que </w:t>
      </w:r>
      <w:r w:rsidR="00E70ECD" w:rsidRPr="00845503">
        <w:rPr>
          <w:rFonts w:ascii="Cambria" w:hAnsi="Cambria" w:cs="Arial"/>
          <w:sz w:val="20"/>
          <w:szCs w:val="20"/>
          <w:lang w:val="es-ES"/>
        </w:rPr>
        <w:t xml:space="preserve">durante estos años </w:t>
      </w:r>
      <w:r w:rsidRPr="00845503">
        <w:rPr>
          <w:rFonts w:ascii="Cambria" w:hAnsi="Cambria" w:cs="Arial"/>
          <w:sz w:val="20"/>
          <w:szCs w:val="20"/>
          <w:lang w:val="es-ES"/>
        </w:rPr>
        <w:t xml:space="preserve">las presuntas víctimas </w:t>
      </w:r>
      <w:r w:rsidR="002E6096" w:rsidRPr="00845503">
        <w:rPr>
          <w:rFonts w:ascii="Cambria" w:hAnsi="Cambria" w:cs="Arial"/>
          <w:sz w:val="20"/>
          <w:szCs w:val="20"/>
          <w:lang w:val="es-ES"/>
        </w:rPr>
        <w:t>sufrieron condiciones de detención</w:t>
      </w:r>
      <w:r w:rsidR="00BF16AB" w:rsidRPr="00845503">
        <w:rPr>
          <w:rFonts w:ascii="Cambria" w:hAnsi="Cambria" w:cs="Arial"/>
          <w:sz w:val="20"/>
          <w:szCs w:val="20"/>
          <w:lang w:val="es-ES"/>
        </w:rPr>
        <w:t xml:space="preserve"> inhumanas</w:t>
      </w:r>
      <w:r w:rsidRPr="00845503">
        <w:rPr>
          <w:rFonts w:ascii="Cambria" w:hAnsi="Cambria" w:cs="Arial"/>
          <w:sz w:val="20"/>
          <w:szCs w:val="20"/>
          <w:lang w:val="es-ES"/>
        </w:rPr>
        <w:t>.</w:t>
      </w:r>
      <w:r w:rsidR="002E6096" w:rsidRPr="00845503">
        <w:rPr>
          <w:rFonts w:ascii="Cambria" w:hAnsi="Cambria" w:cs="Arial"/>
          <w:sz w:val="20"/>
          <w:szCs w:val="20"/>
          <w:lang w:val="es-ES"/>
        </w:rPr>
        <w:t xml:space="preserve"> </w:t>
      </w:r>
    </w:p>
    <w:p w:rsidR="00576EB4" w:rsidRPr="00845503" w:rsidRDefault="00576EB4" w:rsidP="0046202E">
      <w:pPr>
        <w:pStyle w:val="ListParagraph"/>
        <w:ind w:left="0"/>
        <w:jc w:val="both"/>
        <w:rPr>
          <w:rFonts w:eastAsia="Times New Roman"/>
          <w:color w:val="auto"/>
          <w:sz w:val="20"/>
          <w:szCs w:val="20"/>
          <w:lang w:val="es-ES_tradnl"/>
        </w:rPr>
      </w:pPr>
    </w:p>
    <w:p w:rsidR="00576EB4" w:rsidRPr="00845503" w:rsidRDefault="00E70ECD"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ES"/>
        </w:rPr>
        <w:t>E</w:t>
      </w:r>
      <w:r w:rsidR="004550D4" w:rsidRPr="00845503">
        <w:rPr>
          <w:rFonts w:ascii="Cambria" w:hAnsi="Cambria"/>
          <w:sz w:val="20"/>
          <w:szCs w:val="20"/>
          <w:lang w:val="es-ES"/>
        </w:rPr>
        <w:t xml:space="preserve">l Estado no </w:t>
      </w:r>
      <w:r w:rsidRPr="00845503">
        <w:rPr>
          <w:rFonts w:ascii="Cambria" w:hAnsi="Cambria"/>
          <w:sz w:val="20"/>
          <w:szCs w:val="20"/>
          <w:lang w:val="es-ES"/>
        </w:rPr>
        <w:t xml:space="preserve">presentó observaciones ni </w:t>
      </w:r>
      <w:r w:rsidR="004550D4" w:rsidRPr="00845503">
        <w:rPr>
          <w:rFonts w:ascii="Cambria" w:hAnsi="Cambria"/>
          <w:sz w:val="20"/>
          <w:szCs w:val="20"/>
          <w:lang w:val="es-ES"/>
        </w:rPr>
        <w:t>respondió a</w:t>
      </w:r>
      <w:r w:rsidR="00474FE0" w:rsidRPr="00845503">
        <w:rPr>
          <w:rFonts w:ascii="Cambria" w:hAnsi="Cambria"/>
          <w:sz w:val="20"/>
          <w:szCs w:val="20"/>
          <w:lang w:val="es-ES"/>
        </w:rPr>
        <w:t xml:space="preserve"> las solicitudes</w:t>
      </w:r>
      <w:r w:rsidR="004550D4" w:rsidRPr="00845503">
        <w:rPr>
          <w:rFonts w:ascii="Cambria" w:hAnsi="Cambria"/>
          <w:sz w:val="20"/>
          <w:szCs w:val="20"/>
          <w:lang w:val="es-ES"/>
        </w:rPr>
        <w:t xml:space="preserve"> de información </w:t>
      </w:r>
      <w:r w:rsidR="00474FE0" w:rsidRPr="00845503">
        <w:rPr>
          <w:rFonts w:ascii="Cambria" w:hAnsi="Cambria"/>
          <w:sz w:val="20"/>
          <w:szCs w:val="20"/>
          <w:lang w:val="es-ES"/>
        </w:rPr>
        <w:t>realizadas</w:t>
      </w:r>
      <w:r w:rsidR="004550D4" w:rsidRPr="00845503">
        <w:rPr>
          <w:rFonts w:ascii="Cambria" w:hAnsi="Cambria"/>
          <w:sz w:val="20"/>
          <w:szCs w:val="20"/>
          <w:lang w:val="es-ES"/>
        </w:rPr>
        <w:t xml:space="preserve"> por la Comisión</w:t>
      </w:r>
      <w:r w:rsidR="00474FE0" w:rsidRPr="00845503">
        <w:rPr>
          <w:rFonts w:ascii="Cambria" w:hAnsi="Cambria"/>
          <w:sz w:val="20"/>
          <w:szCs w:val="20"/>
          <w:lang w:val="es-ES"/>
        </w:rPr>
        <w:t xml:space="preserve"> Interamericana</w:t>
      </w:r>
      <w:r w:rsidR="004550D4" w:rsidRPr="00845503">
        <w:rPr>
          <w:rFonts w:ascii="Cambria" w:hAnsi="Cambria"/>
          <w:sz w:val="20"/>
          <w:szCs w:val="20"/>
          <w:lang w:val="es-ES"/>
        </w:rPr>
        <w:t>.</w:t>
      </w:r>
    </w:p>
    <w:p w:rsidR="00576EB4" w:rsidRPr="00845503" w:rsidRDefault="00576EB4" w:rsidP="0046202E">
      <w:pPr>
        <w:pStyle w:val="BodyTextIndent"/>
        <w:ind w:left="0" w:firstLine="0"/>
        <w:jc w:val="both"/>
        <w:rPr>
          <w:rFonts w:ascii="Cambria" w:hAnsi="Cambria"/>
          <w:color w:val="auto"/>
          <w:sz w:val="20"/>
          <w:szCs w:val="20"/>
          <w:lang w:val="es-CO"/>
        </w:rPr>
      </w:pPr>
    </w:p>
    <w:p w:rsidR="00576EB4" w:rsidRPr="00845503" w:rsidRDefault="00F137B8"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El 1</w:t>
      </w:r>
      <w:r w:rsidR="00576EB4" w:rsidRPr="00845503">
        <w:rPr>
          <w:rFonts w:ascii="Cambria" w:hAnsi="Cambria" w:cs="Arial"/>
          <w:sz w:val="20"/>
          <w:szCs w:val="20"/>
          <w:lang w:val="es-CO"/>
        </w:rPr>
        <w:t xml:space="preserve">4 de </w:t>
      </w:r>
      <w:r w:rsidRPr="00845503">
        <w:rPr>
          <w:rFonts w:ascii="Cambria" w:hAnsi="Cambria" w:cs="Arial"/>
          <w:sz w:val="20"/>
          <w:szCs w:val="20"/>
          <w:lang w:val="es-CO"/>
        </w:rPr>
        <w:t>octubre de 2004</w:t>
      </w:r>
      <w:r w:rsidR="000B185A" w:rsidRPr="00845503">
        <w:rPr>
          <w:rFonts w:ascii="Cambria" w:hAnsi="Cambria" w:cs="Arial"/>
          <w:sz w:val="20"/>
          <w:szCs w:val="20"/>
          <w:lang w:val="es-CO"/>
        </w:rPr>
        <w:t>,</w:t>
      </w:r>
      <w:r w:rsidR="00576EB4" w:rsidRPr="00845503">
        <w:rPr>
          <w:rFonts w:ascii="Cambria" w:hAnsi="Cambria" w:cs="Arial"/>
          <w:sz w:val="20"/>
          <w:szCs w:val="20"/>
          <w:lang w:val="es-CO"/>
        </w:rPr>
        <w:t xml:space="preserve"> la Comisión Interamericana aprobó el Informe de Admisibilidad No. 5</w:t>
      </w:r>
      <w:r w:rsidR="004550D4" w:rsidRPr="00845503">
        <w:rPr>
          <w:rFonts w:ascii="Cambria" w:hAnsi="Cambria" w:cs="Arial"/>
          <w:sz w:val="20"/>
          <w:szCs w:val="20"/>
          <w:lang w:val="es-CO"/>
        </w:rPr>
        <w:t>6/04</w:t>
      </w:r>
      <w:r w:rsidR="00746097" w:rsidRPr="00845503">
        <w:rPr>
          <w:rFonts w:ascii="Cambria" w:hAnsi="Cambria" w:cs="Arial"/>
          <w:sz w:val="20"/>
          <w:szCs w:val="20"/>
          <w:lang w:val="es-CO"/>
        </w:rPr>
        <w:t xml:space="preserve"> en el que decidió declarar la</w:t>
      </w:r>
      <w:r w:rsidR="00576EB4" w:rsidRPr="00845503">
        <w:rPr>
          <w:rFonts w:ascii="Cambria" w:hAnsi="Cambria" w:cs="Arial"/>
          <w:sz w:val="20"/>
          <w:szCs w:val="20"/>
          <w:lang w:val="es-CO"/>
        </w:rPr>
        <w:t xml:space="preserve"> admisibilidad de la petición por la presunta violación de los derechos consagrados en los artículos </w:t>
      </w:r>
      <w:r w:rsidR="004550D4" w:rsidRPr="00845503">
        <w:rPr>
          <w:rFonts w:ascii="Cambria" w:hAnsi="Cambria" w:cs="Arial"/>
          <w:sz w:val="20"/>
          <w:szCs w:val="20"/>
          <w:lang w:val="es-ES"/>
        </w:rPr>
        <w:t>I, IV, XXV y XXVI de la Declaración Americana</w:t>
      </w:r>
      <w:r w:rsidR="00576EB4" w:rsidRPr="00845503">
        <w:rPr>
          <w:rFonts w:ascii="Cambria" w:hAnsi="Cambria" w:cs="Arial"/>
          <w:sz w:val="20"/>
          <w:szCs w:val="20"/>
          <w:lang w:val="es-CO"/>
        </w:rPr>
        <w:t>, en perjuicio de</w:t>
      </w:r>
      <w:r w:rsidR="004550D4" w:rsidRPr="00845503">
        <w:rPr>
          <w:rFonts w:ascii="Cambria" w:hAnsi="Cambria" w:cs="Arial"/>
          <w:sz w:val="20"/>
          <w:szCs w:val="20"/>
          <w:lang w:val="es-CO"/>
        </w:rPr>
        <w:t xml:space="preserve"> </w:t>
      </w:r>
      <w:r w:rsidR="004550D4" w:rsidRPr="00845503">
        <w:rPr>
          <w:rFonts w:ascii="Cambria" w:hAnsi="Cambria"/>
          <w:sz w:val="20"/>
          <w:szCs w:val="20"/>
          <w:lang w:val="es-ES"/>
        </w:rPr>
        <w:t xml:space="preserve">Vladimiro Roca Antúnez, </w:t>
      </w:r>
      <w:r w:rsidR="007364FC" w:rsidRPr="00845503">
        <w:rPr>
          <w:rFonts w:ascii="Cambria" w:hAnsi="Cambria"/>
          <w:sz w:val="20"/>
          <w:szCs w:val="20"/>
          <w:lang w:val="es-ES"/>
        </w:rPr>
        <w:t>René</w:t>
      </w:r>
      <w:r w:rsidR="004550D4" w:rsidRPr="00845503">
        <w:rPr>
          <w:rFonts w:ascii="Cambria" w:hAnsi="Cambria"/>
          <w:sz w:val="20"/>
          <w:szCs w:val="20"/>
          <w:lang w:val="es-ES"/>
        </w:rPr>
        <w:t xml:space="preserve"> Gómez Manzano, </w:t>
      </w:r>
      <w:r w:rsidR="00967821" w:rsidRPr="00845503">
        <w:rPr>
          <w:rFonts w:ascii="Cambria" w:hAnsi="Cambria"/>
          <w:sz w:val="20"/>
          <w:szCs w:val="20"/>
          <w:lang w:val="es-ES"/>
        </w:rPr>
        <w:t>Martha</w:t>
      </w:r>
      <w:r w:rsidR="004550D4" w:rsidRPr="00845503">
        <w:rPr>
          <w:rFonts w:ascii="Cambria" w:hAnsi="Cambria"/>
          <w:sz w:val="20"/>
          <w:szCs w:val="20"/>
          <w:lang w:val="es-ES"/>
        </w:rPr>
        <w:t xml:space="preserve"> Beatriz Roque Cabello y Félix Bonne Carcassés</w:t>
      </w:r>
      <w:r w:rsidR="00576EB4" w:rsidRPr="00845503">
        <w:rPr>
          <w:rFonts w:ascii="Cambria" w:hAnsi="Cambria" w:cs="Arial"/>
          <w:sz w:val="20"/>
          <w:szCs w:val="20"/>
          <w:lang w:val="es-CO"/>
        </w:rPr>
        <w:t xml:space="preserve">. </w:t>
      </w:r>
    </w:p>
    <w:p w:rsidR="00576EB4" w:rsidRPr="00845503" w:rsidRDefault="00576EB4" w:rsidP="0046202E">
      <w:pPr>
        <w:pStyle w:val="BodyTextIndent"/>
        <w:ind w:left="0" w:firstLine="0"/>
        <w:jc w:val="both"/>
        <w:rPr>
          <w:rFonts w:ascii="Cambria" w:hAnsi="Cambria"/>
          <w:color w:val="auto"/>
          <w:sz w:val="20"/>
          <w:szCs w:val="20"/>
          <w:lang w:val="es-CO"/>
        </w:rPr>
      </w:pPr>
    </w:p>
    <w:p w:rsidR="00576EB4" w:rsidRPr="00845503" w:rsidRDefault="00576EB4"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bCs/>
          <w:sz w:val="20"/>
          <w:szCs w:val="20"/>
          <w:lang w:val="es-CO"/>
        </w:rPr>
      </w:pPr>
      <w:r w:rsidRPr="00845503">
        <w:rPr>
          <w:rFonts w:ascii="Cambria" w:hAnsi="Cambria" w:cs="Univers"/>
          <w:sz w:val="20"/>
          <w:szCs w:val="20"/>
          <w:lang w:val="es-ES"/>
        </w:rPr>
        <w:t xml:space="preserve">Tras analizar </w:t>
      </w:r>
      <w:r w:rsidR="00746097" w:rsidRPr="00845503">
        <w:rPr>
          <w:rFonts w:ascii="Cambria" w:hAnsi="Cambria" w:cs="Univers"/>
          <w:sz w:val="20"/>
          <w:szCs w:val="20"/>
          <w:lang w:val="es-ES"/>
        </w:rPr>
        <w:t>el fondo del asunto</w:t>
      </w:r>
      <w:r w:rsidRPr="00845503">
        <w:rPr>
          <w:rFonts w:ascii="Cambria" w:hAnsi="Cambria" w:cs="Univers"/>
          <w:sz w:val="20"/>
          <w:szCs w:val="20"/>
          <w:lang w:val="es-ES"/>
        </w:rPr>
        <w:t xml:space="preserve">, </w:t>
      </w:r>
      <w:r w:rsidRPr="00845503">
        <w:rPr>
          <w:rFonts w:ascii="Cambria" w:hAnsi="Cambria" w:cs="Arial"/>
          <w:sz w:val="20"/>
          <w:szCs w:val="20"/>
          <w:lang w:val="es-CO"/>
        </w:rPr>
        <w:t>la CIDH concluyó que</w:t>
      </w:r>
      <w:r w:rsidRPr="00845503">
        <w:rPr>
          <w:rFonts w:ascii="Cambria" w:hAnsi="Cambria"/>
          <w:sz w:val="20"/>
          <w:szCs w:val="20"/>
          <w:lang w:val="es-CO"/>
        </w:rPr>
        <w:t xml:space="preserve"> </w:t>
      </w:r>
      <w:r w:rsidR="003973CF" w:rsidRPr="00845503">
        <w:rPr>
          <w:rFonts w:ascii="Cambria" w:hAnsi="Cambria" w:cs="Arial"/>
          <w:bCs/>
          <w:sz w:val="20"/>
          <w:szCs w:val="20"/>
          <w:lang w:val="es-CO"/>
        </w:rPr>
        <w:t>Cuba</w:t>
      </w:r>
      <w:r w:rsidRPr="00845503">
        <w:rPr>
          <w:rFonts w:ascii="Cambria" w:hAnsi="Cambria" w:cs="Arial"/>
          <w:bCs/>
          <w:sz w:val="20"/>
          <w:szCs w:val="20"/>
          <w:lang w:val="es-CO"/>
        </w:rPr>
        <w:t xml:space="preserve"> violó, en perjuicio de </w:t>
      </w:r>
      <w:r w:rsidR="003973CF" w:rsidRPr="00845503">
        <w:rPr>
          <w:rFonts w:ascii="Cambria" w:hAnsi="Cambria"/>
          <w:sz w:val="20"/>
          <w:szCs w:val="20"/>
          <w:lang w:val="es-ES"/>
        </w:rPr>
        <w:t xml:space="preserve">Vladimiro Roca Antúnez, </w:t>
      </w:r>
      <w:r w:rsidR="007364FC" w:rsidRPr="00845503">
        <w:rPr>
          <w:rFonts w:ascii="Cambria" w:hAnsi="Cambria"/>
          <w:sz w:val="20"/>
          <w:szCs w:val="20"/>
          <w:lang w:val="es-ES"/>
        </w:rPr>
        <w:t>René</w:t>
      </w:r>
      <w:r w:rsidR="003973CF" w:rsidRPr="00845503">
        <w:rPr>
          <w:rFonts w:ascii="Cambria" w:hAnsi="Cambria"/>
          <w:sz w:val="20"/>
          <w:szCs w:val="20"/>
          <w:lang w:val="es-ES"/>
        </w:rPr>
        <w:t xml:space="preserve"> Gómez Manzano, </w:t>
      </w:r>
      <w:r w:rsidR="00967821" w:rsidRPr="00845503">
        <w:rPr>
          <w:rFonts w:ascii="Cambria" w:hAnsi="Cambria"/>
          <w:sz w:val="20"/>
          <w:szCs w:val="20"/>
          <w:lang w:val="es-ES"/>
        </w:rPr>
        <w:t>Martha</w:t>
      </w:r>
      <w:r w:rsidR="003973CF" w:rsidRPr="00845503">
        <w:rPr>
          <w:rFonts w:ascii="Cambria" w:hAnsi="Cambria"/>
          <w:sz w:val="20"/>
          <w:szCs w:val="20"/>
          <w:lang w:val="es-ES"/>
        </w:rPr>
        <w:t xml:space="preserve"> Beatriz Roque Cabello y Félix Bonne Carcassés</w:t>
      </w:r>
      <w:r w:rsidRPr="00845503">
        <w:rPr>
          <w:rFonts w:ascii="Cambria" w:hAnsi="Cambria" w:cs="Arial"/>
          <w:bCs/>
          <w:sz w:val="20"/>
          <w:szCs w:val="20"/>
          <w:lang w:val="es-CO"/>
        </w:rPr>
        <w:t xml:space="preserve">, los derechos consagrados en los artículos </w:t>
      </w:r>
      <w:r w:rsidR="00342B09" w:rsidRPr="00845503">
        <w:rPr>
          <w:rFonts w:ascii="Cambria" w:hAnsi="Cambria"/>
          <w:sz w:val="20"/>
          <w:szCs w:val="20"/>
          <w:lang w:val="es-ES"/>
        </w:rPr>
        <w:t>I (Derecho a la vida, a la libertad, a la seguridad e integridad de la persona</w:t>
      </w:r>
      <w:r w:rsidR="000B185A" w:rsidRPr="00845503">
        <w:rPr>
          <w:rFonts w:ascii="Cambria" w:hAnsi="Cambria"/>
          <w:sz w:val="20"/>
          <w:szCs w:val="20"/>
          <w:lang w:val="es-ES"/>
        </w:rPr>
        <w:t>l</w:t>
      </w:r>
      <w:r w:rsidR="00342B09" w:rsidRPr="00845503">
        <w:rPr>
          <w:rFonts w:ascii="Cambria" w:hAnsi="Cambria"/>
          <w:sz w:val="20"/>
          <w:szCs w:val="20"/>
          <w:lang w:val="es-ES"/>
        </w:rPr>
        <w:t>), IV (Derecho de libertad de investigación, opinión, expresión y difusión),</w:t>
      </w:r>
      <w:r w:rsidR="00342B09" w:rsidRPr="00845503">
        <w:rPr>
          <w:rFonts w:ascii="Cambria" w:hAnsi="Cambria"/>
          <w:bCs/>
          <w:sz w:val="20"/>
          <w:szCs w:val="20"/>
          <w:lang w:val="es-AR"/>
        </w:rPr>
        <w:t xml:space="preserve"> XXII</w:t>
      </w:r>
      <w:r w:rsidR="00342B09" w:rsidRPr="00845503">
        <w:rPr>
          <w:rFonts w:ascii="Cambria" w:hAnsi="Cambria"/>
          <w:sz w:val="20"/>
          <w:szCs w:val="20"/>
          <w:lang w:val="es-ES"/>
        </w:rPr>
        <w:t xml:space="preserve"> (D</w:t>
      </w:r>
      <w:r w:rsidR="00342B09" w:rsidRPr="00845503">
        <w:rPr>
          <w:rFonts w:ascii="Cambria" w:hAnsi="Cambria"/>
          <w:bCs/>
          <w:sz w:val="20"/>
          <w:szCs w:val="20"/>
          <w:lang w:val="es-AR"/>
        </w:rPr>
        <w:t>erecho de asociación)</w:t>
      </w:r>
      <w:r w:rsidR="00A44E26" w:rsidRPr="00845503">
        <w:rPr>
          <w:rFonts w:ascii="Cambria" w:hAnsi="Cambria"/>
          <w:bCs/>
          <w:sz w:val="20"/>
          <w:szCs w:val="20"/>
          <w:lang w:val="es-AR"/>
        </w:rPr>
        <w:t>,</w:t>
      </w:r>
      <w:r w:rsidR="00342B09" w:rsidRPr="00845503">
        <w:rPr>
          <w:rFonts w:ascii="Cambria" w:hAnsi="Cambria"/>
          <w:bCs/>
          <w:sz w:val="20"/>
          <w:szCs w:val="20"/>
          <w:lang w:val="es-AR"/>
        </w:rPr>
        <w:t xml:space="preserve"> </w:t>
      </w:r>
      <w:r w:rsidR="00342B09" w:rsidRPr="00845503">
        <w:rPr>
          <w:rFonts w:ascii="Cambria" w:hAnsi="Cambria"/>
          <w:sz w:val="20"/>
          <w:szCs w:val="20"/>
          <w:lang w:val="es-ES"/>
        </w:rPr>
        <w:t xml:space="preserve">XXV (Derecho de protección contra la detención arbitraria) y XXVI (Derecho a proceso regular) </w:t>
      </w:r>
      <w:r w:rsidR="003973CF" w:rsidRPr="00845503">
        <w:rPr>
          <w:rFonts w:ascii="Cambria" w:hAnsi="Cambria" w:cs="Arial"/>
          <w:sz w:val="20"/>
          <w:szCs w:val="20"/>
          <w:lang w:val="es-ES"/>
        </w:rPr>
        <w:t>de la Declaración Americana</w:t>
      </w:r>
      <w:r w:rsidRPr="00845503">
        <w:rPr>
          <w:rFonts w:ascii="Cambria" w:hAnsi="Cambria" w:cs="Arial"/>
          <w:bCs/>
          <w:sz w:val="20"/>
          <w:szCs w:val="20"/>
          <w:lang w:val="es-CO"/>
        </w:rPr>
        <w:t xml:space="preserve">.  </w:t>
      </w:r>
    </w:p>
    <w:p w:rsidR="00F16186" w:rsidRPr="00845503" w:rsidRDefault="00F16186" w:rsidP="00F1618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Cs/>
          <w:sz w:val="20"/>
          <w:szCs w:val="20"/>
          <w:lang w:val="es-CO"/>
        </w:rPr>
      </w:pPr>
    </w:p>
    <w:p w:rsidR="00576EB4" w:rsidRPr="00845503" w:rsidRDefault="00576EB4" w:rsidP="009C22C5">
      <w:pPr>
        <w:pStyle w:val="Heading2"/>
        <w:spacing w:before="0" w:after="0"/>
        <w:ind w:firstLine="720"/>
        <w:jc w:val="both"/>
        <w:rPr>
          <w:rFonts w:ascii="Cambria" w:hAnsi="Cambria"/>
          <w:sz w:val="20"/>
          <w:szCs w:val="20"/>
          <w:lang w:val="es-CO"/>
        </w:rPr>
      </w:pPr>
      <w:bookmarkStart w:id="3" w:name="_Toc505951336"/>
      <w:r w:rsidRPr="00845503">
        <w:rPr>
          <w:rFonts w:ascii="Cambria" w:hAnsi="Cambria"/>
          <w:i w:val="0"/>
          <w:sz w:val="20"/>
          <w:szCs w:val="20"/>
          <w:lang w:val="es-CO"/>
        </w:rPr>
        <w:t>II</w:t>
      </w:r>
      <w:r w:rsidRPr="00845503">
        <w:rPr>
          <w:rFonts w:ascii="Cambria" w:hAnsi="Cambria"/>
          <w:sz w:val="20"/>
          <w:szCs w:val="20"/>
          <w:lang w:val="es-CO"/>
        </w:rPr>
        <w:t>.</w:t>
      </w:r>
      <w:r w:rsidRPr="00845503">
        <w:rPr>
          <w:rFonts w:ascii="Cambria" w:hAnsi="Cambria"/>
          <w:sz w:val="20"/>
          <w:szCs w:val="20"/>
          <w:lang w:val="es-CO"/>
        </w:rPr>
        <w:tab/>
      </w:r>
      <w:r w:rsidRPr="00845503">
        <w:rPr>
          <w:rStyle w:val="Heading2Char"/>
          <w:rFonts w:ascii="Cambria" w:hAnsi="Cambria"/>
          <w:b/>
          <w:sz w:val="20"/>
          <w:szCs w:val="20"/>
          <w:lang w:val="es-ES"/>
        </w:rPr>
        <w:t>TRÁMITE ANTE LA COMISIÓN POSTERIOR AL INFORME DE ADMISIBILIDAD</w:t>
      </w:r>
      <w:bookmarkEnd w:id="3"/>
    </w:p>
    <w:p w:rsidR="00576EB4" w:rsidRPr="00845503" w:rsidRDefault="00576EB4" w:rsidP="0046202E">
      <w:pPr>
        <w:jc w:val="both"/>
        <w:rPr>
          <w:rFonts w:ascii="Cambria" w:hAnsi="Cambria" w:cs="Arial"/>
          <w:sz w:val="20"/>
          <w:szCs w:val="20"/>
          <w:lang w:val="es-CO"/>
        </w:rPr>
      </w:pPr>
    </w:p>
    <w:p w:rsidR="00A44E26" w:rsidRPr="00845503" w:rsidRDefault="00576EB4"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 xml:space="preserve">El </w:t>
      </w:r>
      <w:r w:rsidR="004054FA" w:rsidRPr="00845503">
        <w:rPr>
          <w:rFonts w:ascii="Cambria" w:hAnsi="Cambria" w:cs="Arial"/>
          <w:sz w:val="20"/>
          <w:szCs w:val="20"/>
          <w:lang w:val="es-CO"/>
        </w:rPr>
        <w:t>14 de octubre de 2004</w:t>
      </w:r>
      <w:r w:rsidR="001F2D41" w:rsidRPr="00845503">
        <w:rPr>
          <w:rFonts w:ascii="Cambria" w:hAnsi="Cambria" w:cs="Arial"/>
          <w:sz w:val="20"/>
          <w:szCs w:val="20"/>
          <w:lang w:val="es-CO"/>
        </w:rPr>
        <w:t>,</w:t>
      </w:r>
      <w:r w:rsidRPr="00845503">
        <w:rPr>
          <w:rFonts w:ascii="Cambria" w:hAnsi="Cambria" w:cs="Arial"/>
          <w:sz w:val="20"/>
          <w:szCs w:val="20"/>
          <w:lang w:val="es-CO"/>
        </w:rPr>
        <w:t xml:space="preserve"> la Comisión Interamericana adoptó el</w:t>
      </w:r>
      <w:r w:rsidR="00241E2F" w:rsidRPr="00845503">
        <w:rPr>
          <w:rFonts w:ascii="Cambria" w:hAnsi="Cambria" w:cs="Arial"/>
          <w:sz w:val="20"/>
          <w:szCs w:val="20"/>
          <w:lang w:val="es-CO"/>
        </w:rPr>
        <w:t xml:space="preserve"> Informe de Admisibilidad No. 56/04</w:t>
      </w:r>
      <w:r w:rsidRPr="00845503">
        <w:rPr>
          <w:rFonts w:ascii="Cambria" w:hAnsi="Cambria" w:cs="Arial"/>
          <w:sz w:val="20"/>
          <w:szCs w:val="20"/>
          <w:lang w:val="es-CO"/>
        </w:rPr>
        <w:t xml:space="preserve">. El Informe fue remitido a las </w:t>
      </w:r>
      <w:r w:rsidR="00241E2F" w:rsidRPr="00845503">
        <w:rPr>
          <w:rFonts w:ascii="Cambria" w:hAnsi="Cambria" w:cs="Arial"/>
          <w:sz w:val="20"/>
          <w:szCs w:val="20"/>
          <w:lang w:val="es-CO"/>
        </w:rPr>
        <w:t>partes mediante comunicación de 8 de noviembre de 2004</w:t>
      </w:r>
      <w:r w:rsidRPr="00845503">
        <w:rPr>
          <w:rFonts w:ascii="Cambria" w:hAnsi="Cambria" w:cs="Arial"/>
          <w:sz w:val="20"/>
          <w:szCs w:val="20"/>
          <w:lang w:val="es-CO"/>
        </w:rPr>
        <w:t xml:space="preserve">. La </w:t>
      </w:r>
      <w:r w:rsidRPr="00845503">
        <w:rPr>
          <w:rFonts w:ascii="Cambria" w:hAnsi="Cambria" w:cs="Arial"/>
          <w:sz w:val="20"/>
          <w:szCs w:val="20"/>
          <w:lang w:val="es-CO"/>
        </w:rPr>
        <w:lastRenderedPageBreak/>
        <w:t>tramitación hasta tal fecha</w:t>
      </w:r>
      <w:r w:rsidR="00474FE0" w:rsidRPr="00845503">
        <w:rPr>
          <w:rFonts w:ascii="Cambria" w:hAnsi="Cambria" w:cs="Arial"/>
          <w:sz w:val="20"/>
          <w:szCs w:val="20"/>
          <w:lang w:val="es-CO"/>
        </w:rPr>
        <w:t xml:space="preserve"> está detallada en dicho informe</w:t>
      </w:r>
      <w:r w:rsidR="004D640D" w:rsidRPr="00845503">
        <w:rPr>
          <w:rStyle w:val="FootnoteReference"/>
          <w:rFonts w:ascii="Cambria" w:hAnsi="Cambria" w:cs="Arial"/>
          <w:sz w:val="20"/>
          <w:szCs w:val="20"/>
          <w:lang w:val="es-CO"/>
        </w:rPr>
        <w:footnoteReference w:id="2"/>
      </w:r>
      <w:r w:rsidRPr="00845503">
        <w:rPr>
          <w:rFonts w:ascii="Cambria" w:hAnsi="Cambria" w:cs="Arial"/>
          <w:sz w:val="20"/>
          <w:szCs w:val="20"/>
          <w:lang w:val="es-CO"/>
        </w:rPr>
        <w:t>. En esta comunicación la CIDH solicitó a los peticionarios que presentaran sus observaciones adicionales sobre el fondo de acuerdo a lo establecido en el artículo 38.1 de su Reglamento. Adicionalmente, la Comisión se puso a disposición de las partes a fin de llegar a una solución amistosa del</w:t>
      </w:r>
      <w:r w:rsidR="001F2D41" w:rsidRPr="00845503">
        <w:rPr>
          <w:rFonts w:ascii="Cambria" w:hAnsi="Cambria" w:cs="Arial"/>
          <w:sz w:val="20"/>
          <w:szCs w:val="20"/>
          <w:lang w:val="es-CO"/>
        </w:rPr>
        <w:t xml:space="preserve"> asunto conforme al artículo 48.</w:t>
      </w:r>
      <w:r w:rsidRPr="00845503">
        <w:rPr>
          <w:rFonts w:ascii="Cambria" w:hAnsi="Cambria" w:cs="Arial"/>
          <w:sz w:val="20"/>
          <w:szCs w:val="20"/>
          <w:lang w:val="es-CO"/>
        </w:rPr>
        <w:t>1</w:t>
      </w:r>
      <w:r w:rsidR="001F2D41" w:rsidRPr="00845503">
        <w:rPr>
          <w:rFonts w:ascii="Cambria" w:hAnsi="Cambria" w:cs="Arial"/>
          <w:sz w:val="20"/>
          <w:szCs w:val="20"/>
          <w:lang w:val="es-CO"/>
        </w:rPr>
        <w:t>.</w:t>
      </w:r>
      <w:r w:rsidRPr="00845503">
        <w:rPr>
          <w:rFonts w:ascii="Cambria" w:hAnsi="Cambria" w:cs="Arial"/>
          <w:sz w:val="20"/>
          <w:szCs w:val="20"/>
          <w:lang w:val="es-CO"/>
        </w:rPr>
        <w:t xml:space="preserve">f) de la Convención Americana. </w:t>
      </w:r>
    </w:p>
    <w:p w:rsidR="00A44E26" w:rsidRPr="00845503" w:rsidRDefault="00A44E26" w:rsidP="006C4B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p>
    <w:p w:rsidR="001F1620" w:rsidRPr="00845503" w:rsidRDefault="00A44E26"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lang w:val="es-CO"/>
        </w:rPr>
      </w:pPr>
      <w:r w:rsidRPr="00845503">
        <w:rPr>
          <w:rFonts w:ascii="Cambria" w:hAnsi="Cambria" w:cs="Arial"/>
          <w:sz w:val="20"/>
          <w:szCs w:val="20"/>
          <w:lang w:val="es-CO"/>
        </w:rPr>
        <w:t xml:space="preserve"> </w:t>
      </w:r>
      <w:r w:rsidRPr="00845503">
        <w:rPr>
          <w:rFonts w:ascii="Cambria" w:eastAsia="Times New Roman" w:hAnsi="Cambria" w:cs="Times"/>
          <w:sz w:val="20"/>
          <w:szCs w:val="20"/>
          <w:lang w:val="es-ES"/>
        </w:rPr>
        <w:t>El Estado cubano, hasta la fecha, no ha respondido a ninguna de las solicitudes de información de la Comisión a pesar de haber sido debidamente notificado.</w:t>
      </w:r>
      <w:r w:rsidRPr="00845503">
        <w:rPr>
          <w:rFonts w:ascii="Cambria" w:eastAsia="Times New Roman" w:hAnsi="Cambria" w:cs="Times"/>
          <w:sz w:val="20"/>
          <w:szCs w:val="20"/>
          <w:lang w:val="es-CO"/>
        </w:rPr>
        <w:t xml:space="preserve"> El 2 de diciembre de 2004, </w:t>
      </w:r>
      <w:r w:rsidRPr="00845503">
        <w:rPr>
          <w:rFonts w:ascii="Cambria" w:eastAsia="Times New Roman" w:hAnsi="Cambria" w:cs="Times"/>
          <w:sz w:val="20"/>
          <w:szCs w:val="20"/>
          <w:lang w:val="es-AR"/>
        </w:rPr>
        <w:t xml:space="preserve">el Jefe de la Sección de Intereses de Cuba en Washington, D.C., envió una comunicación a la CIDH señalando lo siguiente: </w:t>
      </w:r>
      <w:r w:rsidRPr="00845503">
        <w:rPr>
          <w:rFonts w:ascii="Cambria" w:eastAsia="Times New Roman" w:hAnsi="Cambria" w:cs="Times"/>
          <w:sz w:val="20"/>
          <w:szCs w:val="20"/>
          <w:lang w:val="es-CO"/>
        </w:rPr>
        <w:t>“Tengo a bien devolver los tres documentos remitidos a esta Sección de Intereses con fecha 8 de noviembre de 2004. Como lo he expresado en ocasiones anteriores, la Comisión Interamericana de Derechos Humanos no tiene competencia legal, ni la Organización de Estados Americanos autoridad moral, para juzgar el disfrute d</w:t>
      </w:r>
      <w:r w:rsidR="000B185A" w:rsidRPr="00845503">
        <w:rPr>
          <w:rFonts w:ascii="Cambria" w:eastAsia="Times New Roman" w:hAnsi="Cambria" w:cs="Times"/>
          <w:sz w:val="20"/>
          <w:szCs w:val="20"/>
          <w:lang w:val="es-CO"/>
        </w:rPr>
        <w:t>e los derechos humanos en Cuba […]</w:t>
      </w:r>
      <w:r w:rsidRPr="00845503">
        <w:rPr>
          <w:rFonts w:ascii="Cambria" w:eastAsia="Times New Roman" w:hAnsi="Cambria" w:cs="Times"/>
          <w:sz w:val="20"/>
          <w:szCs w:val="20"/>
          <w:lang w:val="es-CO"/>
        </w:rPr>
        <w:t>”.</w:t>
      </w:r>
    </w:p>
    <w:p w:rsidR="001F1620" w:rsidRPr="00845503" w:rsidRDefault="001F1620" w:rsidP="001F1620">
      <w:pPr>
        <w:pStyle w:val="ListParagraph"/>
        <w:rPr>
          <w:rFonts w:eastAsia="Times New Roman" w:cs="Times"/>
          <w:sz w:val="20"/>
          <w:szCs w:val="20"/>
          <w:lang w:val="es-CO"/>
        </w:rPr>
      </w:pPr>
    </w:p>
    <w:p w:rsidR="00601B07" w:rsidRPr="00845503" w:rsidRDefault="00D2040D"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lang w:val="es-CO"/>
        </w:rPr>
      </w:pPr>
      <w:r w:rsidRPr="00845503">
        <w:rPr>
          <w:rFonts w:ascii="Cambria" w:eastAsia="Times New Roman" w:hAnsi="Cambria" w:cs="Times"/>
          <w:sz w:val="20"/>
          <w:szCs w:val="20"/>
          <w:lang w:val="es-CO"/>
        </w:rPr>
        <w:t>El 26 de julio de 2011, la CIDH solicitó información actualizada</w:t>
      </w:r>
      <w:r w:rsidR="00E04F82" w:rsidRPr="00845503">
        <w:rPr>
          <w:rFonts w:ascii="Cambria" w:eastAsia="Times New Roman" w:hAnsi="Cambria" w:cs="Times"/>
          <w:sz w:val="20"/>
          <w:szCs w:val="20"/>
          <w:lang w:val="es-CO"/>
        </w:rPr>
        <w:t xml:space="preserve"> sobre </w:t>
      </w:r>
      <w:r w:rsidRPr="00845503">
        <w:rPr>
          <w:rFonts w:ascii="Cambria" w:eastAsia="Times New Roman" w:hAnsi="Cambria" w:cs="Times"/>
          <w:sz w:val="20"/>
          <w:szCs w:val="20"/>
          <w:lang w:val="es-CO"/>
        </w:rPr>
        <w:t>el caso</w:t>
      </w:r>
      <w:r w:rsidR="00E04F82" w:rsidRPr="00845503">
        <w:rPr>
          <w:rFonts w:ascii="Cambria" w:eastAsia="Times New Roman" w:hAnsi="Cambria" w:cs="Times"/>
          <w:sz w:val="20"/>
          <w:szCs w:val="20"/>
          <w:lang w:val="es-CO"/>
        </w:rPr>
        <w:t xml:space="preserve"> a los peticionarios</w:t>
      </w:r>
      <w:r w:rsidRPr="00845503">
        <w:rPr>
          <w:rFonts w:ascii="Cambria" w:eastAsia="Times New Roman" w:hAnsi="Cambria" w:cs="Times"/>
          <w:sz w:val="20"/>
          <w:szCs w:val="20"/>
          <w:lang w:val="es-CO"/>
        </w:rPr>
        <w:t xml:space="preserve">. </w:t>
      </w:r>
      <w:r w:rsidR="00A44E26" w:rsidRPr="00845503">
        <w:rPr>
          <w:rFonts w:ascii="Cambria" w:eastAsia="Times New Roman" w:hAnsi="Cambria" w:cs="Times"/>
          <w:sz w:val="20"/>
          <w:szCs w:val="20"/>
          <w:lang w:val="es-CO"/>
        </w:rPr>
        <w:t xml:space="preserve">El 20 de marzo de 2015, los peticionarios enviaron una comunicación a la CIDH en la que informaron </w:t>
      </w:r>
      <w:r w:rsidRPr="00845503">
        <w:rPr>
          <w:rFonts w:ascii="Cambria" w:eastAsia="Times New Roman" w:hAnsi="Cambria" w:cs="Times"/>
          <w:sz w:val="20"/>
          <w:szCs w:val="20"/>
          <w:lang w:val="es-CO"/>
        </w:rPr>
        <w:t xml:space="preserve"> que no </w:t>
      </w:r>
      <w:r w:rsidR="00E04F82" w:rsidRPr="00845503">
        <w:rPr>
          <w:rFonts w:ascii="Cambria" w:eastAsia="Times New Roman" w:hAnsi="Cambria" w:cs="Times"/>
          <w:sz w:val="20"/>
          <w:szCs w:val="20"/>
          <w:lang w:val="es-CO"/>
        </w:rPr>
        <w:t>tenían</w:t>
      </w:r>
      <w:r w:rsidRPr="00845503">
        <w:rPr>
          <w:rFonts w:ascii="Cambria" w:eastAsia="Times New Roman" w:hAnsi="Cambria" w:cs="Times"/>
          <w:sz w:val="20"/>
          <w:szCs w:val="20"/>
          <w:lang w:val="es-CO"/>
        </w:rPr>
        <w:t xml:space="preserve"> </w:t>
      </w:r>
      <w:r w:rsidR="00E04F82" w:rsidRPr="00845503">
        <w:rPr>
          <w:rFonts w:ascii="Cambria" w:eastAsia="Times New Roman" w:hAnsi="Cambria" w:cs="Times"/>
          <w:sz w:val="20"/>
          <w:szCs w:val="20"/>
          <w:lang w:val="es-CO"/>
        </w:rPr>
        <w:t>información</w:t>
      </w:r>
      <w:r w:rsidRPr="00845503">
        <w:rPr>
          <w:rFonts w:ascii="Cambria" w:eastAsia="Times New Roman" w:hAnsi="Cambria" w:cs="Times"/>
          <w:sz w:val="20"/>
          <w:szCs w:val="20"/>
          <w:lang w:val="es-CO"/>
        </w:rPr>
        <w:t xml:space="preserve"> adicional que agregar al caso y </w:t>
      </w:r>
      <w:r w:rsidR="003F2BC4" w:rsidRPr="00845503">
        <w:rPr>
          <w:rFonts w:ascii="Cambria" w:eastAsia="Times New Roman" w:hAnsi="Cambria" w:cs="Times"/>
          <w:sz w:val="20"/>
          <w:szCs w:val="20"/>
          <w:lang w:val="es-CO"/>
        </w:rPr>
        <w:t xml:space="preserve">que </w:t>
      </w:r>
      <w:r w:rsidR="00A44E26" w:rsidRPr="00845503">
        <w:rPr>
          <w:rFonts w:ascii="Cambria" w:eastAsia="Times New Roman" w:hAnsi="Cambria" w:cs="Times"/>
          <w:sz w:val="20"/>
          <w:szCs w:val="20"/>
          <w:lang w:val="es-CO"/>
        </w:rPr>
        <w:t xml:space="preserve">las presuntas </w:t>
      </w:r>
      <w:r w:rsidR="00E04F82" w:rsidRPr="00845503">
        <w:rPr>
          <w:rFonts w:ascii="Cambria" w:eastAsia="Times New Roman" w:hAnsi="Cambria" w:cs="Times"/>
          <w:sz w:val="20"/>
          <w:szCs w:val="20"/>
          <w:lang w:val="es-CO"/>
        </w:rPr>
        <w:t>víctimas</w:t>
      </w:r>
      <w:r w:rsidR="00A44E26" w:rsidRPr="00845503">
        <w:rPr>
          <w:rFonts w:ascii="Cambria" w:eastAsia="Times New Roman" w:hAnsi="Cambria" w:cs="Times"/>
          <w:sz w:val="20"/>
          <w:szCs w:val="20"/>
          <w:lang w:val="es-CO"/>
        </w:rPr>
        <w:t xml:space="preserve"> </w:t>
      </w:r>
      <w:r w:rsidRPr="00845503">
        <w:rPr>
          <w:rFonts w:ascii="Cambria" w:eastAsia="Times New Roman" w:hAnsi="Cambria" w:cs="Times"/>
          <w:sz w:val="20"/>
          <w:szCs w:val="20"/>
          <w:lang w:val="es-CO"/>
        </w:rPr>
        <w:t>“</w:t>
      </w:r>
      <w:r w:rsidR="00A44E26" w:rsidRPr="00845503">
        <w:rPr>
          <w:rFonts w:ascii="Cambria" w:eastAsia="Times New Roman" w:hAnsi="Cambria" w:cs="Times"/>
          <w:sz w:val="20"/>
          <w:szCs w:val="20"/>
          <w:lang w:val="es-CO"/>
        </w:rPr>
        <w:t>están a la espera de un pronunciamiento final de la Comisi</w:t>
      </w:r>
      <w:r w:rsidR="00746097" w:rsidRPr="00845503">
        <w:rPr>
          <w:rFonts w:ascii="Cambria" w:eastAsia="Times New Roman" w:hAnsi="Cambria" w:cs="Times"/>
          <w:sz w:val="20"/>
          <w:szCs w:val="20"/>
          <w:lang w:val="es-CO"/>
        </w:rPr>
        <w:t>ón Interamericana sobre su caso</w:t>
      </w:r>
      <w:r w:rsidRPr="00845503">
        <w:rPr>
          <w:rFonts w:ascii="Cambria" w:eastAsia="Times New Roman" w:hAnsi="Cambria" w:cs="Times"/>
          <w:sz w:val="20"/>
          <w:szCs w:val="20"/>
          <w:lang w:val="es-CO"/>
        </w:rPr>
        <w:t>”</w:t>
      </w:r>
      <w:r w:rsidR="00A44E26" w:rsidRPr="00845503">
        <w:rPr>
          <w:rFonts w:ascii="Cambria" w:eastAsia="Times New Roman" w:hAnsi="Cambria" w:cs="Times"/>
          <w:sz w:val="20"/>
          <w:szCs w:val="20"/>
          <w:lang w:val="es-CO"/>
        </w:rPr>
        <w:t xml:space="preserve">. </w:t>
      </w:r>
    </w:p>
    <w:p w:rsidR="00601B07" w:rsidRPr="00845503" w:rsidRDefault="00601B07" w:rsidP="00601B07">
      <w:pPr>
        <w:pStyle w:val="ListParagraph"/>
        <w:rPr>
          <w:rFonts w:eastAsia="Times New Roman" w:cs="Times"/>
          <w:sz w:val="20"/>
          <w:szCs w:val="20"/>
          <w:lang w:val="es-CO"/>
        </w:rPr>
      </w:pPr>
    </w:p>
    <w:p w:rsidR="00576EB4" w:rsidRPr="00845503" w:rsidRDefault="00576EB4" w:rsidP="009C22C5">
      <w:pPr>
        <w:pStyle w:val="Heading2"/>
        <w:numPr>
          <w:ilvl w:val="0"/>
          <w:numId w:val="56"/>
        </w:numPr>
        <w:tabs>
          <w:tab w:val="clear" w:pos="1440"/>
        </w:tabs>
        <w:spacing w:before="0" w:after="0"/>
        <w:ind w:left="0" w:firstLine="720"/>
        <w:jc w:val="both"/>
        <w:rPr>
          <w:rFonts w:ascii="Cambria" w:hAnsi="Cambria"/>
          <w:i w:val="0"/>
          <w:sz w:val="20"/>
          <w:szCs w:val="20"/>
          <w:lang w:val="es-CO"/>
        </w:rPr>
      </w:pPr>
      <w:bookmarkStart w:id="4" w:name="_Toc505951337"/>
      <w:r w:rsidRPr="00845503">
        <w:rPr>
          <w:rFonts w:ascii="Cambria" w:hAnsi="Cambria"/>
          <w:i w:val="0"/>
          <w:sz w:val="20"/>
          <w:szCs w:val="20"/>
          <w:lang w:val="es-CO"/>
        </w:rPr>
        <w:t>POSICIONES DE LAS PARTES</w:t>
      </w:r>
      <w:bookmarkEnd w:id="4"/>
      <w:r w:rsidRPr="00845503">
        <w:rPr>
          <w:rFonts w:ascii="Cambria" w:hAnsi="Cambria"/>
          <w:i w:val="0"/>
          <w:sz w:val="20"/>
          <w:szCs w:val="20"/>
          <w:lang w:val="es-CO"/>
        </w:rPr>
        <w:t xml:space="preserve"> </w:t>
      </w:r>
    </w:p>
    <w:p w:rsidR="00A53163" w:rsidRPr="00845503" w:rsidRDefault="00A53163" w:rsidP="00A53163">
      <w:pPr>
        <w:rPr>
          <w:rFonts w:ascii="Cambria" w:hAnsi="Cambria"/>
          <w:sz w:val="20"/>
          <w:szCs w:val="20"/>
          <w:lang w:val="es-CO"/>
        </w:rPr>
      </w:pPr>
    </w:p>
    <w:p w:rsidR="00576EB4" w:rsidRPr="00845503" w:rsidRDefault="00576EB4" w:rsidP="009C22C5">
      <w:pPr>
        <w:pStyle w:val="Heading3"/>
        <w:numPr>
          <w:ilvl w:val="0"/>
          <w:numId w:val="65"/>
        </w:numPr>
        <w:spacing w:before="0" w:after="0"/>
        <w:ind w:firstLine="0"/>
        <w:jc w:val="both"/>
        <w:rPr>
          <w:rFonts w:ascii="Cambria" w:hAnsi="Cambria"/>
          <w:sz w:val="20"/>
          <w:szCs w:val="20"/>
          <w:lang w:val="es-CO"/>
        </w:rPr>
      </w:pPr>
      <w:bookmarkStart w:id="5" w:name="_Toc505951338"/>
      <w:r w:rsidRPr="00845503">
        <w:rPr>
          <w:rFonts w:ascii="Cambria" w:hAnsi="Cambria"/>
          <w:sz w:val="20"/>
          <w:szCs w:val="20"/>
          <w:lang w:val="es-CO"/>
        </w:rPr>
        <w:t>Posición de</w:t>
      </w:r>
      <w:r w:rsidR="000B185A" w:rsidRPr="00845503">
        <w:rPr>
          <w:rFonts w:ascii="Cambria" w:hAnsi="Cambria"/>
          <w:sz w:val="20"/>
          <w:szCs w:val="20"/>
          <w:lang w:val="es-CO"/>
        </w:rPr>
        <w:t xml:space="preserve"> </w:t>
      </w:r>
      <w:r w:rsidRPr="00845503">
        <w:rPr>
          <w:rFonts w:ascii="Cambria" w:hAnsi="Cambria"/>
          <w:sz w:val="20"/>
          <w:szCs w:val="20"/>
          <w:lang w:val="es-CO"/>
        </w:rPr>
        <w:t>l</w:t>
      </w:r>
      <w:r w:rsidR="000B185A" w:rsidRPr="00845503">
        <w:rPr>
          <w:rFonts w:ascii="Cambria" w:hAnsi="Cambria"/>
          <w:sz w:val="20"/>
          <w:szCs w:val="20"/>
          <w:lang w:val="es-CO"/>
        </w:rPr>
        <w:t>os</w:t>
      </w:r>
      <w:r w:rsidRPr="00845503">
        <w:rPr>
          <w:rFonts w:ascii="Cambria" w:hAnsi="Cambria"/>
          <w:sz w:val="20"/>
          <w:szCs w:val="20"/>
          <w:lang w:val="es-CO"/>
        </w:rPr>
        <w:t xml:space="preserve"> peticionario</w:t>
      </w:r>
      <w:r w:rsidR="000B185A" w:rsidRPr="00845503">
        <w:rPr>
          <w:rFonts w:ascii="Cambria" w:hAnsi="Cambria"/>
          <w:sz w:val="20"/>
          <w:szCs w:val="20"/>
          <w:lang w:val="es-CO"/>
        </w:rPr>
        <w:t>s</w:t>
      </w:r>
      <w:bookmarkEnd w:id="5"/>
    </w:p>
    <w:p w:rsidR="00576EB4" w:rsidRPr="00845503" w:rsidRDefault="00576EB4" w:rsidP="0046202E">
      <w:pPr>
        <w:jc w:val="both"/>
        <w:rPr>
          <w:rFonts w:ascii="Cambria" w:hAnsi="Cambria" w:cs="Arial"/>
          <w:sz w:val="20"/>
          <w:szCs w:val="20"/>
          <w:lang w:val="es-CO"/>
        </w:rPr>
      </w:pPr>
    </w:p>
    <w:p w:rsidR="007D7E78" w:rsidRPr="00845503" w:rsidRDefault="00A81F60"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ES"/>
        </w:rPr>
        <w:t>Los peticionarios alega</w:t>
      </w:r>
      <w:r w:rsidR="00D42A47" w:rsidRPr="00845503">
        <w:rPr>
          <w:rFonts w:ascii="Cambria" w:hAnsi="Cambria" w:cs="Arial"/>
          <w:sz w:val="20"/>
          <w:szCs w:val="20"/>
          <w:lang w:val="es-ES"/>
        </w:rPr>
        <w:t>ron</w:t>
      </w:r>
      <w:r w:rsidRPr="00845503">
        <w:rPr>
          <w:rFonts w:ascii="Cambria" w:hAnsi="Cambria" w:cs="Arial"/>
          <w:sz w:val="20"/>
          <w:szCs w:val="20"/>
          <w:lang w:val="es-ES"/>
        </w:rPr>
        <w:t xml:space="preserve"> que en agosto de 1996 Félix Antonio Bonne Carcassés, René de Jesús Gómez Manzano, Vladimiro Roca Antúnez y </w:t>
      </w:r>
      <w:r w:rsidR="00967821" w:rsidRPr="00845503">
        <w:rPr>
          <w:rFonts w:ascii="Cambria" w:hAnsi="Cambria" w:cs="Arial"/>
          <w:sz w:val="20"/>
          <w:szCs w:val="20"/>
          <w:lang w:val="es-ES"/>
        </w:rPr>
        <w:t>Martha</w:t>
      </w:r>
      <w:r w:rsidRPr="00845503">
        <w:rPr>
          <w:rFonts w:ascii="Cambria" w:hAnsi="Cambria" w:cs="Arial"/>
          <w:sz w:val="20"/>
          <w:szCs w:val="20"/>
          <w:lang w:val="es-ES"/>
        </w:rPr>
        <w:t xml:space="preserve"> Beatriz Roque Cabello conformaron el Grupo de Trabajo de la D</w:t>
      </w:r>
      <w:r w:rsidR="00474FE0" w:rsidRPr="00845503">
        <w:rPr>
          <w:rFonts w:ascii="Cambria" w:hAnsi="Cambria" w:cs="Arial"/>
          <w:sz w:val="20"/>
          <w:szCs w:val="20"/>
          <w:lang w:val="es-ES"/>
        </w:rPr>
        <w:t>isidencia Interna dedicado a</w:t>
      </w:r>
      <w:r w:rsidRPr="00845503">
        <w:rPr>
          <w:rFonts w:ascii="Cambria" w:hAnsi="Cambria" w:cs="Arial"/>
          <w:sz w:val="20"/>
          <w:szCs w:val="20"/>
          <w:lang w:val="es-ES"/>
        </w:rPr>
        <w:t xml:space="preserve"> estudi</w:t>
      </w:r>
      <w:r w:rsidR="00474FE0" w:rsidRPr="00845503">
        <w:rPr>
          <w:rFonts w:ascii="Cambria" w:hAnsi="Cambria" w:cs="Arial"/>
          <w:sz w:val="20"/>
          <w:szCs w:val="20"/>
          <w:lang w:val="es-ES"/>
        </w:rPr>
        <w:t xml:space="preserve">ar la situación </w:t>
      </w:r>
      <w:r w:rsidRPr="00845503">
        <w:rPr>
          <w:rFonts w:ascii="Cambria" w:hAnsi="Cambria" w:cs="Arial"/>
          <w:sz w:val="20"/>
          <w:szCs w:val="20"/>
          <w:lang w:val="es-ES"/>
        </w:rPr>
        <w:t xml:space="preserve"> socioeconómic</w:t>
      </w:r>
      <w:r w:rsidR="00474FE0" w:rsidRPr="00845503">
        <w:rPr>
          <w:rFonts w:ascii="Cambria" w:hAnsi="Cambria" w:cs="Arial"/>
          <w:sz w:val="20"/>
          <w:szCs w:val="20"/>
          <w:lang w:val="es-ES"/>
        </w:rPr>
        <w:t>a</w:t>
      </w:r>
      <w:r w:rsidRPr="00845503">
        <w:rPr>
          <w:rFonts w:ascii="Cambria" w:hAnsi="Cambria" w:cs="Arial"/>
          <w:sz w:val="20"/>
          <w:szCs w:val="20"/>
          <w:lang w:val="es-ES"/>
        </w:rPr>
        <w:t xml:space="preserve"> </w:t>
      </w:r>
      <w:r w:rsidR="00D42A47" w:rsidRPr="00845503">
        <w:rPr>
          <w:rFonts w:ascii="Cambria" w:hAnsi="Cambria" w:cs="Arial"/>
          <w:sz w:val="20"/>
          <w:szCs w:val="20"/>
          <w:lang w:val="es-ES"/>
        </w:rPr>
        <w:t xml:space="preserve">cubana. </w:t>
      </w:r>
      <w:r w:rsidR="00474FE0" w:rsidRPr="00845503">
        <w:rPr>
          <w:rFonts w:ascii="Cambria" w:hAnsi="Cambria" w:cs="Arial"/>
          <w:sz w:val="20"/>
          <w:szCs w:val="20"/>
          <w:lang w:val="es-ES"/>
        </w:rPr>
        <w:t>S</w:t>
      </w:r>
      <w:r w:rsidR="00D42A47" w:rsidRPr="00845503">
        <w:rPr>
          <w:rFonts w:ascii="Cambria" w:hAnsi="Cambria" w:cs="Arial"/>
          <w:sz w:val="20"/>
          <w:szCs w:val="20"/>
          <w:lang w:val="es-ES"/>
        </w:rPr>
        <w:t xml:space="preserve">eñalaron </w:t>
      </w:r>
      <w:r w:rsidRPr="00845503">
        <w:rPr>
          <w:rFonts w:ascii="Cambria" w:hAnsi="Cambria" w:cs="Arial"/>
          <w:sz w:val="20"/>
          <w:szCs w:val="20"/>
          <w:lang w:val="es-ES"/>
        </w:rPr>
        <w:t>que</w:t>
      </w:r>
      <w:r w:rsidR="00315820" w:rsidRPr="00845503">
        <w:rPr>
          <w:rFonts w:ascii="Cambria" w:hAnsi="Cambria" w:cs="Arial"/>
          <w:sz w:val="20"/>
          <w:szCs w:val="20"/>
          <w:lang w:val="es-ES"/>
        </w:rPr>
        <w:t xml:space="preserve"> el Grupo de Trabajo public</w:t>
      </w:r>
      <w:r w:rsidR="007D7E78" w:rsidRPr="00845503">
        <w:rPr>
          <w:rFonts w:ascii="Cambria" w:hAnsi="Cambria" w:cs="Arial"/>
          <w:sz w:val="20"/>
          <w:szCs w:val="20"/>
          <w:lang w:val="es-ES"/>
        </w:rPr>
        <w:t>ó</w:t>
      </w:r>
      <w:r w:rsidR="00315820" w:rsidRPr="00845503">
        <w:rPr>
          <w:rFonts w:ascii="Cambria" w:hAnsi="Cambria" w:cs="Arial"/>
          <w:sz w:val="20"/>
          <w:szCs w:val="20"/>
          <w:lang w:val="es-ES"/>
        </w:rPr>
        <w:t xml:space="preserve"> varios documentos </w:t>
      </w:r>
      <w:r w:rsidR="007D7E78" w:rsidRPr="00845503">
        <w:rPr>
          <w:rFonts w:ascii="Cambria" w:hAnsi="Cambria" w:cs="Arial"/>
          <w:sz w:val="20"/>
          <w:szCs w:val="20"/>
          <w:lang w:val="es-ES"/>
        </w:rPr>
        <w:t xml:space="preserve">en el cual expresaron su opinión </w:t>
      </w:r>
      <w:r w:rsidR="00315820" w:rsidRPr="00845503">
        <w:rPr>
          <w:rFonts w:ascii="Cambria" w:hAnsi="Cambria" w:cs="Arial"/>
          <w:sz w:val="20"/>
          <w:szCs w:val="20"/>
          <w:lang w:val="es-ES"/>
        </w:rPr>
        <w:t>sobre la si</w:t>
      </w:r>
      <w:r w:rsidR="007D7E78" w:rsidRPr="00845503">
        <w:rPr>
          <w:rFonts w:ascii="Cambria" w:hAnsi="Cambria" w:cs="Arial"/>
          <w:sz w:val="20"/>
          <w:szCs w:val="20"/>
          <w:lang w:val="es-ES"/>
        </w:rPr>
        <w:t xml:space="preserve">tuación </w:t>
      </w:r>
      <w:r w:rsidR="000B185A" w:rsidRPr="00845503">
        <w:rPr>
          <w:rFonts w:ascii="Cambria" w:hAnsi="Cambria" w:cs="Arial"/>
          <w:sz w:val="20"/>
          <w:szCs w:val="20"/>
          <w:lang w:val="es-ES"/>
        </w:rPr>
        <w:t xml:space="preserve">económica, social y de derechos humanos </w:t>
      </w:r>
      <w:r w:rsidR="007D7E78" w:rsidRPr="00845503">
        <w:rPr>
          <w:rFonts w:ascii="Cambria" w:hAnsi="Cambria" w:cs="Arial"/>
          <w:sz w:val="20"/>
          <w:szCs w:val="20"/>
          <w:lang w:val="es-ES"/>
        </w:rPr>
        <w:t>de Cuba.</w:t>
      </w:r>
    </w:p>
    <w:p w:rsidR="00A81F60" w:rsidRPr="00845503" w:rsidRDefault="00A81F60" w:rsidP="007D7E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r w:rsidRPr="00845503">
        <w:rPr>
          <w:rFonts w:ascii="Cambria" w:hAnsi="Cambria" w:cs="Arial"/>
          <w:sz w:val="20"/>
          <w:szCs w:val="20"/>
          <w:lang w:val="es-ES"/>
        </w:rPr>
        <w:t> </w:t>
      </w:r>
    </w:p>
    <w:p w:rsidR="00A81F60" w:rsidRPr="00845503" w:rsidRDefault="00FD5798"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ES"/>
        </w:rPr>
        <w:t>Los peticionarios a</w:t>
      </w:r>
      <w:r w:rsidR="00DA68C6" w:rsidRPr="00845503">
        <w:rPr>
          <w:rFonts w:ascii="Cambria" w:hAnsi="Cambria" w:cs="Arial"/>
          <w:sz w:val="20"/>
          <w:szCs w:val="20"/>
          <w:lang w:val="es-ES"/>
        </w:rPr>
        <w:t>legaron</w:t>
      </w:r>
      <w:r w:rsidR="00A81F60" w:rsidRPr="00845503">
        <w:rPr>
          <w:rFonts w:ascii="Cambria" w:hAnsi="Cambria" w:cs="Arial"/>
          <w:sz w:val="20"/>
          <w:szCs w:val="20"/>
          <w:lang w:val="es-ES"/>
        </w:rPr>
        <w:t xml:space="preserve"> que el 16 de julio de 1997 las presuntas víctimas fueron detenidas en un operativo a las cuatro de la mañana y </w:t>
      </w:r>
      <w:r w:rsidRPr="00845503">
        <w:rPr>
          <w:rFonts w:ascii="Cambria" w:hAnsi="Cambria" w:cs="Arial"/>
          <w:sz w:val="20"/>
          <w:szCs w:val="20"/>
          <w:lang w:val="es-ES"/>
        </w:rPr>
        <w:t xml:space="preserve">que fueron conducidas a la prisión </w:t>
      </w:r>
      <w:r w:rsidR="00A81F60" w:rsidRPr="00845503">
        <w:rPr>
          <w:rFonts w:ascii="Cambria" w:hAnsi="Cambria" w:cs="Arial"/>
          <w:sz w:val="20"/>
          <w:szCs w:val="20"/>
          <w:lang w:val="es-ES"/>
        </w:rPr>
        <w:t xml:space="preserve">de la </w:t>
      </w:r>
      <w:r w:rsidRPr="00845503">
        <w:rPr>
          <w:rFonts w:ascii="Cambria" w:hAnsi="Cambria" w:cs="Arial"/>
          <w:sz w:val="20"/>
          <w:szCs w:val="20"/>
          <w:lang w:val="es-ES"/>
        </w:rPr>
        <w:t xml:space="preserve">Agencia de </w:t>
      </w:r>
      <w:r w:rsidR="00A81F60" w:rsidRPr="00845503">
        <w:rPr>
          <w:rFonts w:ascii="Cambria" w:hAnsi="Cambria" w:cs="Arial"/>
          <w:sz w:val="20"/>
          <w:szCs w:val="20"/>
          <w:lang w:val="es-ES"/>
        </w:rPr>
        <w:t xml:space="preserve">Seguridad del </w:t>
      </w:r>
      <w:r w:rsidR="002F4361" w:rsidRPr="00845503">
        <w:rPr>
          <w:rFonts w:ascii="Cambria" w:hAnsi="Cambria" w:cs="Arial"/>
          <w:sz w:val="20"/>
          <w:szCs w:val="20"/>
          <w:lang w:val="es-ES"/>
        </w:rPr>
        <w:t>Estado, “Villa Marista”</w:t>
      </w:r>
      <w:r w:rsidRPr="00845503">
        <w:rPr>
          <w:rFonts w:ascii="Cambria" w:hAnsi="Cambria" w:cs="Arial"/>
          <w:sz w:val="20"/>
          <w:szCs w:val="20"/>
          <w:lang w:val="es-ES"/>
        </w:rPr>
        <w:t>, en la ciudad de la Habana</w:t>
      </w:r>
      <w:r w:rsidR="002F4361" w:rsidRPr="00845503">
        <w:rPr>
          <w:rFonts w:ascii="Cambria" w:hAnsi="Cambria" w:cs="Arial"/>
          <w:sz w:val="20"/>
          <w:szCs w:val="20"/>
          <w:lang w:val="es-ES"/>
        </w:rPr>
        <w:t>. Señalaron</w:t>
      </w:r>
      <w:r w:rsidR="00A81F60" w:rsidRPr="00845503">
        <w:rPr>
          <w:rFonts w:ascii="Cambria" w:hAnsi="Cambria" w:cs="Arial"/>
          <w:sz w:val="20"/>
          <w:szCs w:val="20"/>
          <w:lang w:val="es-ES"/>
        </w:rPr>
        <w:t xml:space="preserve"> que sólo el 30 de julio, 14 días de</w:t>
      </w:r>
      <w:r w:rsidRPr="00845503">
        <w:rPr>
          <w:rFonts w:ascii="Cambria" w:hAnsi="Cambria" w:cs="Arial"/>
          <w:sz w:val="20"/>
          <w:szCs w:val="20"/>
          <w:lang w:val="es-ES"/>
        </w:rPr>
        <w:t xml:space="preserve">spués de su arresto, se autorizó </w:t>
      </w:r>
      <w:r w:rsidR="00A81F60" w:rsidRPr="00845503">
        <w:rPr>
          <w:rFonts w:ascii="Cambria" w:hAnsi="Cambria" w:cs="Arial"/>
          <w:sz w:val="20"/>
          <w:szCs w:val="20"/>
          <w:lang w:val="es-ES"/>
        </w:rPr>
        <w:t>a los familiares de</w:t>
      </w:r>
      <w:r w:rsidRPr="00845503">
        <w:rPr>
          <w:rFonts w:ascii="Cambria" w:hAnsi="Cambria" w:cs="Arial"/>
          <w:sz w:val="20"/>
          <w:szCs w:val="20"/>
          <w:lang w:val="es-ES"/>
        </w:rPr>
        <w:t xml:space="preserve"> las presuntas víctimas visitarlos en</w:t>
      </w:r>
      <w:r w:rsidR="001B14AD" w:rsidRPr="00845503">
        <w:rPr>
          <w:rFonts w:ascii="Cambria" w:hAnsi="Cambria" w:cs="Arial"/>
          <w:sz w:val="20"/>
          <w:szCs w:val="20"/>
          <w:lang w:val="es-ES"/>
        </w:rPr>
        <w:t xml:space="preserve"> “Villa Marista”. También alegaron</w:t>
      </w:r>
      <w:r w:rsidR="00A81F60" w:rsidRPr="00845503">
        <w:rPr>
          <w:rFonts w:ascii="Cambria" w:hAnsi="Cambria" w:cs="Arial"/>
          <w:sz w:val="20"/>
          <w:szCs w:val="20"/>
          <w:lang w:val="es-ES"/>
        </w:rPr>
        <w:t xml:space="preserve"> que solamente el 22 de agosto de 1997, 36 días después del arresto, se les permitió a las presuntas víctimas tener acceso al aire libre.</w:t>
      </w:r>
    </w:p>
    <w:p w:rsidR="00A81F60" w:rsidRPr="00845503" w:rsidRDefault="00A81F60" w:rsidP="0046202E">
      <w:pPr>
        <w:jc w:val="both"/>
        <w:rPr>
          <w:rFonts w:ascii="Cambria" w:hAnsi="Cambria" w:cs="Arial"/>
          <w:sz w:val="20"/>
          <w:szCs w:val="20"/>
          <w:lang w:val="es-CO"/>
        </w:rPr>
      </w:pPr>
      <w:r w:rsidRPr="00845503">
        <w:rPr>
          <w:rFonts w:ascii="Cambria" w:hAnsi="Cambria" w:cs="Arial"/>
          <w:sz w:val="20"/>
          <w:szCs w:val="20"/>
          <w:lang w:val="es-ES"/>
        </w:rPr>
        <w:t> </w:t>
      </w:r>
    </w:p>
    <w:p w:rsidR="00A81F60" w:rsidRPr="00845503" w:rsidRDefault="001B14AD"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ES"/>
        </w:rPr>
        <w:t>Señalaron</w:t>
      </w:r>
      <w:r w:rsidR="00A81F60" w:rsidRPr="00845503">
        <w:rPr>
          <w:rFonts w:ascii="Cambria" w:hAnsi="Cambria" w:cs="Arial"/>
          <w:sz w:val="20"/>
          <w:szCs w:val="20"/>
          <w:lang w:val="es-ES"/>
        </w:rPr>
        <w:t xml:space="preserve"> que del 23 al 30 de octubre de 1997 las presuntas víctimas fueron trasladadas a pr</w:t>
      </w:r>
      <w:r w:rsidRPr="00845503">
        <w:rPr>
          <w:rFonts w:ascii="Cambria" w:hAnsi="Cambria" w:cs="Arial"/>
          <w:sz w:val="20"/>
          <w:szCs w:val="20"/>
          <w:lang w:val="es-ES"/>
        </w:rPr>
        <w:t>isiones de máximo rigor. Afirmaron</w:t>
      </w:r>
      <w:r w:rsidR="00A81F60" w:rsidRPr="00845503">
        <w:rPr>
          <w:rFonts w:ascii="Cambria" w:hAnsi="Cambria" w:cs="Arial"/>
          <w:sz w:val="20"/>
          <w:szCs w:val="20"/>
          <w:lang w:val="es-ES"/>
        </w:rPr>
        <w:t xml:space="preserve"> que el 30 de julio de 1998, los familiares de las presuntas víctimas presentaron recurso de </w:t>
      </w:r>
      <w:r w:rsidR="00A81F60" w:rsidRPr="00845503">
        <w:rPr>
          <w:rFonts w:ascii="Cambria" w:hAnsi="Cambria" w:cs="Arial"/>
          <w:i/>
          <w:iCs/>
          <w:sz w:val="20"/>
          <w:szCs w:val="20"/>
          <w:lang w:val="es-ES"/>
        </w:rPr>
        <w:t xml:space="preserve">habeas corpus </w:t>
      </w:r>
      <w:r w:rsidR="00937F57" w:rsidRPr="00845503">
        <w:rPr>
          <w:rFonts w:ascii="Cambria" w:hAnsi="Cambria" w:cs="Arial"/>
          <w:sz w:val="20"/>
          <w:szCs w:val="20"/>
          <w:lang w:val="es-ES"/>
        </w:rPr>
        <w:t>en la Sala de los Delitos contra la S</w:t>
      </w:r>
      <w:r w:rsidR="00A81F60" w:rsidRPr="00845503">
        <w:rPr>
          <w:rFonts w:ascii="Cambria" w:hAnsi="Cambria" w:cs="Arial"/>
          <w:sz w:val="20"/>
          <w:szCs w:val="20"/>
          <w:lang w:val="es-ES"/>
        </w:rPr>
        <w:t xml:space="preserve">eguridad del Estado y que el 31 de julio de 1998 </w:t>
      </w:r>
      <w:r w:rsidR="00B1283A" w:rsidRPr="00845503">
        <w:rPr>
          <w:rFonts w:ascii="Cambria" w:hAnsi="Cambria" w:cs="Arial"/>
          <w:sz w:val="20"/>
          <w:szCs w:val="20"/>
          <w:lang w:val="es-ES"/>
        </w:rPr>
        <w:t>fueron informados</w:t>
      </w:r>
      <w:r w:rsidR="0061624C" w:rsidRPr="00845503">
        <w:rPr>
          <w:rFonts w:ascii="Cambria" w:hAnsi="Cambria" w:cs="Arial"/>
          <w:sz w:val="20"/>
          <w:szCs w:val="20"/>
          <w:lang w:val="es-ES"/>
        </w:rPr>
        <w:t xml:space="preserve"> que </w:t>
      </w:r>
      <w:r w:rsidR="009B3919" w:rsidRPr="00845503">
        <w:rPr>
          <w:rFonts w:ascii="Cambria" w:hAnsi="Cambria" w:cs="Arial"/>
          <w:sz w:val="20"/>
          <w:szCs w:val="20"/>
          <w:lang w:val="es-ES"/>
        </w:rPr>
        <w:t>el recurso no procedería</w:t>
      </w:r>
      <w:r w:rsidR="003F4B94" w:rsidRPr="00845503">
        <w:rPr>
          <w:rFonts w:ascii="Cambria" w:hAnsi="Cambria" w:cs="Arial"/>
          <w:sz w:val="20"/>
          <w:szCs w:val="20"/>
          <w:lang w:val="es-ES"/>
        </w:rPr>
        <w:t>. E</w:t>
      </w:r>
      <w:r w:rsidR="0061624C" w:rsidRPr="00845503">
        <w:rPr>
          <w:rFonts w:ascii="Cambria" w:hAnsi="Cambria" w:cs="Arial"/>
          <w:sz w:val="20"/>
          <w:szCs w:val="20"/>
          <w:lang w:val="es-CO"/>
        </w:rPr>
        <w:t>n la audiencia del caso celebrada en la CIDH en 1999</w:t>
      </w:r>
      <w:r w:rsidR="003F4B94" w:rsidRPr="00845503">
        <w:rPr>
          <w:rFonts w:ascii="Cambria" w:hAnsi="Cambria" w:cs="Arial"/>
          <w:sz w:val="20"/>
          <w:szCs w:val="20"/>
          <w:lang w:val="es-CO"/>
        </w:rPr>
        <w:t>, los peticionarios</w:t>
      </w:r>
      <w:r w:rsidR="0061624C" w:rsidRPr="00845503">
        <w:rPr>
          <w:rFonts w:ascii="Cambria" w:hAnsi="Cambria" w:cs="Arial"/>
          <w:sz w:val="20"/>
          <w:szCs w:val="20"/>
          <w:lang w:val="es-CO"/>
        </w:rPr>
        <w:t xml:space="preserve"> manifestaron que </w:t>
      </w:r>
      <w:r w:rsidR="00A81F60" w:rsidRPr="00845503">
        <w:rPr>
          <w:rFonts w:ascii="Cambria" w:hAnsi="Cambria" w:cs="Arial"/>
          <w:sz w:val="20"/>
          <w:szCs w:val="20"/>
          <w:lang w:val="es-ES"/>
        </w:rPr>
        <w:t>los familiares de las presuntas víctimas enviaron diversas cartas a las autoridades judiciales</w:t>
      </w:r>
      <w:r w:rsidR="00FD5798" w:rsidRPr="00845503">
        <w:rPr>
          <w:rFonts w:ascii="Cambria" w:hAnsi="Cambria" w:cs="Arial"/>
          <w:sz w:val="20"/>
          <w:szCs w:val="20"/>
          <w:lang w:val="es-ES"/>
        </w:rPr>
        <w:t xml:space="preserve"> pidiendo la liberación de los detenidos</w:t>
      </w:r>
      <w:r w:rsidR="00A81F60" w:rsidRPr="00845503">
        <w:rPr>
          <w:rFonts w:ascii="Cambria" w:hAnsi="Cambria" w:cs="Arial"/>
          <w:sz w:val="20"/>
          <w:szCs w:val="20"/>
          <w:lang w:val="es-ES"/>
        </w:rPr>
        <w:t xml:space="preserve">, pero no obtuvieron respuesta. El 24 de septiembre de 1998 fueron publicadas las conclusiones provisionales acusatorias del fiscal, </w:t>
      </w:r>
      <w:r w:rsidR="00FD5798" w:rsidRPr="00845503">
        <w:rPr>
          <w:rFonts w:ascii="Cambria" w:hAnsi="Cambria" w:cs="Arial"/>
          <w:sz w:val="20"/>
          <w:szCs w:val="20"/>
          <w:lang w:val="es-ES"/>
        </w:rPr>
        <w:t xml:space="preserve">en las </w:t>
      </w:r>
      <w:r w:rsidR="00A81F60" w:rsidRPr="00845503">
        <w:rPr>
          <w:rFonts w:ascii="Cambria" w:hAnsi="Cambria" w:cs="Arial"/>
          <w:sz w:val="20"/>
          <w:szCs w:val="20"/>
          <w:lang w:val="es-ES"/>
        </w:rPr>
        <w:t xml:space="preserve">cuales </w:t>
      </w:r>
      <w:r w:rsidR="00FD5798" w:rsidRPr="00845503">
        <w:rPr>
          <w:rFonts w:ascii="Cambria" w:hAnsi="Cambria" w:cs="Arial"/>
          <w:sz w:val="20"/>
          <w:szCs w:val="20"/>
          <w:lang w:val="es-ES"/>
        </w:rPr>
        <w:t xml:space="preserve">se acusó </w:t>
      </w:r>
      <w:r w:rsidR="00A81F60" w:rsidRPr="00845503">
        <w:rPr>
          <w:rFonts w:ascii="Cambria" w:hAnsi="Cambria" w:cs="Arial"/>
          <w:sz w:val="20"/>
          <w:szCs w:val="20"/>
          <w:lang w:val="es-ES"/>
        </w:rPr>
        <w:t xml:space="preserve"> </w:t>
      </w:r>
      <w:r w:rsidR="004D640D" w:rsidRPr="00845503">
        <w:rPr>
          <w:rFonts w:ascii="Cambria" w:hAnsi="Cambria" w:cs="Arial"/>
          <w:sz w:val="20"/>
          <w:szCs w:val="20"/>
          <w:lang w:val="es-ES"/>
        </w:rPr>
        <w:t xml:space="preserve">a las presuntas víctimas </w:t>
      </w:r>
      <w:r w:rsidR="00A81F60" w:rsidRPr="00845503">
        <w:rPr>
          <w:rFonts w:ascii="Cambria" w:hAnsi="Cambria" w:cs="Arial"/>
          <w:sz w:val="20"/>
          <w:szCs w:val="20"/>
          <w:lang w:val="es-ES"/>
        </w:rPr>
        <w:t>de</w:t>
      </w:r>
      <w:r w:rsidR="00FD5798" w:rsidRPr="00845503">
        <w:rPr>
          <w:rFonts w:ascii="Cambria" w:hAnsi="Cambria" w:cs="Arial"/>
          <w:sz w:val="20"/>
          <w:szCs w:val="20"/>
          <w:lang w:val="es-ES"/>
        </w:rPr>
        <w:t xml:space="preserve"> cometer “</w:t>
      </w:r>
      <w:r w:rsidR="00A81F60" w:rsidRPr="00845503">
        <w:rPr>
          <w:rFonts w:ascii="Cambria" w:hAnsi="Cambria" w:cs="Arial"/>
          <w:sz w:val="20"/>
          <w:szCs w:val="20"/>
          <w:lang w:val="es-ES"/>
        </w:rPr>
        <w:t>otros actos contra la seguridad del Estado, relacionados con el delito de sedición</w:t>
      </w:r>
      <w:r w:rsidR="00FD5798" w:rsidRPr="00845503">
        <w:rPr>
          <w:rFonts w:ascii="Cambria" w:hAnsi="Cambria" w:cs="Arial"/>
          <w:sz w:val="20"/>
          <w:szCs w:val="20"/>
          <w:lang w:val="es-ES"/>
        </w:rPr>
        <w:t>”</w:t>
      </w:r>
      <w:r w:rsidR="00A81F60" w:rsidRPr="00845503">
        <w:rPr>
          <w:rFonts w:ascii="Cambria" w:hAnsi="Cambria" w:cs="Arial"/>
          <w:sz w:val="20"/>
          <w:szCs w:val="20"/>
          <w:lang w:val="es-ES"/>
        </w:rPr>
        <w:t xml:space="preserve">. </w:t>
      </w:r>
    </w:p>
    <w:p w:rsidR="00A81F60" w:rsidRPr="00845503" w:rsidRDefault="00A81F60" w:rsidP="0046202E">
      <w:pPr>
        <w:jc w:val="both"/>
        <w:rPr>
          <w:rFonts w:ascii="Cambria" w:hAnsi="Cambria" w:cs="Arial"/>
          <w:sz w:val="20"/>
          <w:szCs w:val="20"/>
          <w:lang w:val="es-CO"/>
        </w:rPr>
      </w:pPr>
      <w:r w:rsidRPr="00845503">
        <w:rPr>
          <w:rFonts w:ascii="Cambria" w:hAnsi="Cambria" w:cs="Arial"/>
          <w:sz w:val="20"/>
          <w:szCs w:val="20"/>
          <w:lang w:val="es-ES"/>
        </w:rPr>
        <w:t>  </w:t>
      </w:r>
    </w:p>
    <w:p w:rsidR="00A81F60" w:rsidRPr="00845503" w:rsidRDefault="001B14AD"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ES"/>
        </w:rPr>
        <w:t>Los peticionarios indicaron</w:t>
      </w:r>
      <w:r w:rsidR="00A81F60" w:rsidRPr="00845503">
        <w:rPr>
          <w:rFonts w:ascii="Cambria" w:hAnsi="Cambria" w:cs="Arial"/>
          <w:sz w:val="20"/>
          <w:szCs w:val="20"/>
          <w:lang w:val="es-ES"/>
        </w:rPr>
        <w:t xml:space="preserve"> que el 14 de octubre de 1998 los familiares de las presuntas víctimas presentaron otro recurso de </w:t>
      </w:r>
      <w:r w:rsidR="00A81F60" w:rsidRPr="00845503">
        <w:rPr>
          <w:rFonts w:ascii="Cambria" w:hAnsi="Cambria" w:cs="Arial"/>
          <w:i/>
          <w:iCs/>
          <w:sz w:val="20"/>
          <w:szCs w:val="20"/>
          <w:lang w:val="es-ES"/>
        </w:rPr>
        <w:t xml:space="preserve">habeas corpus </w:t>
      </w:r>
      <w:r w:rsidR="00A81F60" w:rsidRPr="00845503">
        <w:rPr>
          <w:rFonts w:ascii="Cambria" w:hAnsi="Cambria" w:cs="Arial"/>
          <w:sz w:val="20"/>
          <w:szCs w:val="20"/>
          <w:lang w:val="es-ES"/>
        </w:rPr>
        <w:t xml:space="preserve">ante el Supremo Tribunal Popular en la ciudad de La Habana, el cual fue rechazado de plano debido a que “la privación de libertad obedece a un auto de prisión provisional”. </w:t>
      </w:r>
    </w:p>
    <w:p w:rsidR="00A81F60" w:rsidRPr="00845503" w:rsidRDefault="00A81F60" w:rsidP="0046202E">
      <w:pPr>
        <w:jc w:val="both"/>
        <w:rPr>
          <w:rFonts w:ascii="Cambria" w:hAnsi="Cambria" w:cs="Arial"/>
          <w:sz w:val="20"/>
          <w:szCs w:val="20"/>
          <w:lang w:val="es-CO"/>
        </w:rPr>
      </w:pPr>
      <w:r w:rsidRPr="00845503">
        <w:rPr>
          <w:rFonts w:ascii="Cambria" w:hAnsi="Cambria" w:cs="Arial"/>
          <w:sz w:val="20"/>
          <w:szCs w:val="20"/>
          <w:lang w:val="es-ES"/>
        </w:rPr>
        <w:t> </w:t>
      </w:r>
    </w:p>
    <w:p w:rsidR="00A81F60" w:rsidRPr="00845503" w:rsidRDefault="00A81F60"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ES"/>
        </w:rPr>
        <w:lastRenderedPageBreak/>
        <w:t xml:space="preserve"> Señala</w:t>
      </w:r>
      <w:r w:rsidR="004D640D" w:rsidRPr="00845503">
        <w:rPr>
          <w:rFonts w:ascii="Cambria" w:hAnsi="Cambria" w:cs="Arial"/>
          <w:sz w:val="20"/>
          <w:szCs w:val="20"/>
          <w:lang w:val="es-ES"/>
        </w:rPr>
        <w:t>ro</w:t>
      </w:r>
      <w:r w:rsidR="00601B07" w:rsidRPr="00845503">
        <w:rPr>
          <w:rFonts w:ascii="Cambria" w:hAnsi="Cambria" w:cs="Arial"/>
          <w:sz w:val="20"/>
          <w:szCs w:val="20"/>
          <w:lang w:val="es-ES"/>
        </w:rPr>
        <w:t>n que el 1</w:t>
      </w:r>
      <w:r w:rsidRPr="00845503">
        <w:rPr>
          <w:rFonts w:ascii="Cambria" w:hAnsi="Cambria" w:cs="Arial"/>
          <w:sz w:val="20"/>
          <w:szCs w:val="20"/>
          <w:lang w:val="es-ES"/>
        </w:rPr>
        <w:t xml:space="preserve"> de marzo de 1998 se celebró</w:t>
      </w:r>
      <w:r w:rsidR="004D640D" w:rsidRPr="00845503">
        <w:rPr>
          <w:rFonts w:ascii="Cambria" w:hAnsi="Cambria" w:cs="Arial"/>
          <w:sz w:val="20"/>
          <w:szCs w:val="20"/>
          <w:lang w:val="es-ES"/>
        </w:rPr>
        <w:t>,</w:t>
      </w:r>
      <w:r w:rsidRPr="00845503">
        <w:rPr>
          <w:rFonts w:ascii="Cambria" w:hAnsi="Cambria" w:cs="Arial"/>
          <w:sz w:val="20"/>
          <w:szCs w:val="20"/>
          <w:lang w:val="es-ES"/>
        </w:rPr>
        <w:t xml:space="preserve"> </w:t>
      </w:r>
      <w:r w:rsidR="004D640D" w:rsidRPr="00845503">
        <w:rPr>
          <w:rFonts w:ascii="Cambria" w:hAnsi="Cambria" w:cs="Arial"/>
          <w:sz w:val="20"/>
          <w:szCs w:val="20"/>
          <w:lang w:val="es-ES"/>
        </w:rPr>
        <w:t xml:space="preserve">a puertas cerradas, </w:t>
      </w:r>
      <w:r w:rsidRPr="00845503">
        <w:rPr>
          <w:rFonts w:ascii="Cambria" w:hAnsi="Cambria" w:cs="Arial"/>
          <w:sz w:val="20"/>
          <w:szCs w:val="20"/>
          <w:lang w:val="es-ES"/>
        </w:rPr>
        <w:t>el juicio con</w:t>
      </w:r>
      <w:r w:rsidR="001B14AD" w:rsidRPr="00845503">
        <w:rPr>
          <w:rFonts w:ascii="Cambria" w:hAnsi="Cambria" w:cs="Arial"/>
          <w:sz w:val="20"/>
          <w:szCs w:val="20"/>
          <w:lang w:val="es-ES"/>
        </w:rPr>
        <w:t>tra los acusados</w:t>
      </w:r>
      <w:r w:rsidRPr="00845503">
        <w:rPr>
          <w:rFonts w:ascii="Cambria" w:hAnsi="Cambria" w:cs="Arial"/>
          <w:sz w:val="20"/>
          <w:szCs w:val="20"/>
          <w:lang w:val="es-ES"/>
        </w:rPr>
        <w:t xml:space="preserve">. </w:t>
      </w:r>
      <w:r w:rsidR="004D640D" w:rsidRPr="00845503">
        <w:rPr>
          <w:rFonts w:ascii="Cambria" w:hAnsi="Cambria" w:cs="Arial"/>
          <w:sz w:val="20"/>
          <w:szCs w:val="20"/>
          <w:lang w:val="es-ES"/>
        </w:rPr>
        <w:t>Indicaron que e</w:t>
      </w:r>
      <w:r w:rsidR="00601B07" w:rsidRPr="00845503">
        <w:rPr>
          <w:rFonts w:ascii="Cambria" w:hAnsi="Cambria" w:cs="Arial"/>
          <w:sz w:val="20"/>
          <w:szCs w:val="20"/>
          <w:lang w:val="es-ES"/>
        </w:rPr>
        <w:t>l</w:t>
      </w:r>
      <w:r w:rsidRPr="00845503">
        <w:rPr>
          <w:rFonts w:ascii="Cambria" w:hAnsi="Cambria" w:cs="Arial"/>
          <w:sz w:val="20"/>
          <w:szCs w:val="20"/>
          <w:lang w:val="es-ES"/>
        </w:rPr>
        <w:t xml:space="preserve"> 4 de marzo de 1999 </w:t>
      </w:r>
      <w:r w:rsidR="00364E5B" w:rsidRPr="00845503">
        <w:rPr>
          <w:rFonts w:ascii="Cambria" w:hAnsi="Cambria" w:cs="Arial"/>
          <w:sz w:val="20"/>
          <w:szCs w:val="20"/>
          <w:lang w:val="es-ES"/>
        </w:rPr>
        <w:t xml:space="preserve">la </w:t>
      </w:r>
      <w:r w:rsidR="00601B07" w:rsidRPr="00845503">
        <w:rPr>
          <w:rFonts w:ascii="Cambria" w:hAnsi="Cambria" w:cs="Arial"/>
          <w:sz w:val="20"/>
          <w:szCs w:val="20"/>
          <w:lang w:val="es-ES"/>
        </w:rPr>
        <w:t>Sala de los Delitos contra la Seguridad del Estado d</w:t>
      </w:r>
      <w:r w:rsidRPr="00845503">
        <w:rPr>
          <w:rFonts w:ascii="Cambria" w:hAnsi="Cambria" w:cs="Arial"/>
          <w:sz w:val="20"/>
          <w:szCs w:val="20"/>
          <w:lang w:val="es-ES"/>
        </w:rPr>
        <w:t>el Tribunal P</w:t>
      </w:r>
      <w:r w:rsidR="00601B07" w:rsidRPr="00845503">
        <w:rPr>
          <w:rFonts w:ascii="Cambria" w:hAnsi="Cambria" w:cs="Arial"/>
          <w:sz w:val="20"/>
          <w:szCs w:val="20"/>
          <w:lang w:val="es-ES"/>
        </w:rPr>
        <w:t>rovincial Popular de La Habana declaró a las presuntas víctimas culpables de</w:t>
      </w:r>
      <w:r w:rsidR="00DC172A" w:rsidRPr="00845503">
        <w:rPr>
          <w:rFonts w:ascii="Cambria" w:hAnsi="Cambria" w:cs="Arial"/>
          <w:sz w:val="20"/>
          <w:szCs w:val="20"/>
          <w:lang w:val="es-ES"/>
        </w:rPr>
        <w:t xml:space="preserve"> la comisión de “</w:t>
      </w:r>
      <w:r w:rsidR="00601B07" w:rsidRPr="00845503">
        <w:rPr>
          <w:rFonts w:ascii="Cambria" w:hAnsi="Cambria" w:cs="Arial"/>
          <w:sz w:val="20"/>
          <w:szCs w:val="20"/>
          <w:lang w:val="es-ES"/>
        </w:rPr>
        <w:t>otros actos contra la seguridad del Estado, relacionados con el delito de sedición</w:t>
      </w:r>
      <w:r w:rsidR="00DC172A" w:rsidRPr="00845503">
        <w:rPr>
          <w:rFonts w:ascii="Cambria" w:hAnsi="Cambria" w:cs="Arial"/>
          <w:sz w:val="20"/>
          <w:szCs w:val="20"/>
          <w:lang w:val="es-ES"/>
        </w:rPr>
        <w:t>”</w:t>
      </w:r>
      <w:r w:rsidR="00601B07" w:rsidRPr="00845503">
        <w:rPr>
          <w:rFonts w:ascii="Cambria" w:hAnsi="Cambria" w:cs="Arial"/>
          <w:sz w:val="20"/>
          <w:szCs w:val="20"/>
          <w:lang w:val="es-ES"/>
        </w:rPr>
        <w:t xml:space="preserve">. </w:t>
      </w:r>
      <w:r w:rsidR="00967821" w:rsidRPr="00845503">
        <w:rPr>
          <w:rFonts w:ascii="Cambria" w:hAnsi="Cambria" w:cs="Arial"/>
          <w:sz w:val="20"/>
          <w:szCs w:val="20"/>
          <w:lang w:val="es-ES"/>
        </w:rPr>
        <w:t>Martha</w:t>
      </w:r>
      <w:r w:rsidR="00601B07" w:rsidRPr="00845503">
        <w:rPr>
          <w:rFonts w:ascii="Cambria" w:hAnsi="Cambria" w:cs="Arial"/>
          <w:sz w:val="20"/>
          <w:szCs w:val="20"/>
          <w:lang w:val="es-ES"/>
        </w:rPr>
        <w:t xml:space="preserve"> Beatriz Roque Cabello fue condenada a tres años y medio de privación de libertad, René Gómez Manzano y Félix Bonne Carcassés a cuatro años y Vladimiro Roca Antúnez a cinco años. A René Gómez Manzano también le fue prohibido ejercer la abogacía por cinco años, con base en el artículo 39.1 del Código Penal cubano, que permite que un tribunal determine la sanción de prohibición de ejercer una profesión, cargo u oficio “en los casos en que el agente comete el delito con abuso de su cargo o por negligencia en el cumplimiento de sus deberes”. </w:t>
      </w:r>
    </w:p>
    <w:p w:rsidR="00A81F60" w:rsidRPr="00845503" w:rsidRDefault="00A81F60" w:rsidP="0046202E">
      <w:pPr>
        <w:jc w:val="both"/>
        <w:rPr>
          <w:rFonts w:ascii="Cambria" w:hAnsi="Cambria" w:cs="Arial"/>
          <w:sz w:val="20"/>
          <w:szCs w:val="20"/>
          <w:lang w:val="es-CO"/>
        </w:rPr>
      </w:pPr>
      <w:r w:rsidRPr="00845503">
        <w:rPr>
          <w:rFonts w:ascii="Cambria" w:hAnsi="Cambria" w:cs="Arial"/>
          <w:sz w:val="20"/>
          <w:szCs w:val="20"/>
          <w:lang w:val="es-ES"/>
        </w:rPr>
        <w:t> </w:t>
      </w:r>
    </w:p>
    <w:p w:rsidR="00A81F60" w:rsidRPr="00845503" w:rsidRDefault="004B3131"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ES"/>
        </w:rPr>
        <w:t>Los peticionarios argumentaron</w:t>
      </w:r>
      <w:r w:rsidR="00A81F60" w:rsidRPr="00845503">
        <w:rPr>
          <w:rFonts w:ascii="Cambria" w:hAnsi="Cambria" w:cs="Arial"/>
          <w:sz w:val="20"/>
          <w:szCs w:val="20"/>
          <w:lang w:val="es-ES"/>
        </w:rPr>
        <w:t xml:space="preserve"> que las presuntas víctimas ejercían sus legítimos derechos a la libertad de expresión, y a participar en la vida política de su país, exponiendo sus puntos de vista de manera honesta. Alega</w:t>
      </w:r>
      <w:r w:rsidR="004D640D" w:rsidRPr="00845503">
        <w:rPr>
          <w:rFonts w:ascii="Cambria" w:hAnsi="Cambria" w:cs="Arial"/>
          <w:sz w:val="20"/>
          <w:szCs w:val="20"/>
          <w:lang w:val="es-ES"/>
        </w:rPr>
        <w:t>ro</w:t>
      </w:r>
      <w:r w:rsidR="00A81F60" w:rsidRPr="00845503">
        <w:rPr>
          <w:rFonts w:ascii="Cambria" w:hAnsi="Cambria" w:cs="Arial"/>
          <w:sz w:val="20"/>
          <w:szCs w:val="20"/>
          <w:lang w:val="es-ES"/>
        </w:rPr>
        <w:t>n que la condena de las presuntas víctimas caracteriza la criminalización de la libertad de expresión</w:t>
      </w:r>
      <w:r w:rsidR="00364E5B" w:rsidRPr="00845503">
        <w:rPr>
          <w:rFonts w:ascii="Cambria" w:hAnsi="Cambria" w:cs="Arial"/>
          <w:sz w:val="20"/>
          <w:szCs w:val="20"/>
          <w:lang w:val="es-ES"/>
        </w:rPr>
        <w:t xml:space="preserve"> y la disidencia en Cuba.</w:t>
      </w:r>
    </w:p>
    <w:p w:rsidR="00A81F60" w:rsidRPr="00845503" w:rsidRDefault="00A81F60" w:rsidP="0046202E">
      <w:pPr>
        <w:jc w:val="both"/>
        <w:rPr>
          <w:rFonts w:ascii="Cambria" w:hAnsi="Cambria" w:cs="Arial"/>
          <w:sz w:val="20"/>
          <w:szCs w:val="20"/>
          <w:lang w:val="es-CO"/>
        </w:rPr>
      </w:pPr>
      <w:r w:rsidRPr="00845503">
        <w:rPr>
          <w:rFonts w:ascii="Cambria" w:hAnsi="Cambria" w:cs="Arial"/>
          <w:sz w:val="20"/>
          <w:szCs w:val="20"/>
          <w:lang w:val="es-ES"/>
        </w:rPr>
        <w:t> </w:t>
      </w:r>
    </w:p>
    <w:p w:rsidR="00A81F60" w:rsidRPr="00845503" w:rsidRDefault="004B3131"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ES"/>
        </w:rPr>
        <w:t>Los peticionarios también alegaron</w:t>
      </w:r>
      <w:r w:rsidR="00A81F60" w:rsidRPr="00845503">
        <w:rPr>
          <w:rFonts w:ascii="Cambria" w:hAnsi="Cambria" w:cs="Arial"/>
          <w:sz w:val="20"/>
          <w:szCs w:val="20"/>
          <w:lang w:val="es-ES"/>
        </w:rPr>
        <w:t xml:space="preserve"> </w:t>
      </w:r>
      <w:r w:rsidR="00364E5B" w:rsidRPr="00845503">
        <w:rPr>
          <w:rFonts w:ascii="Cambria" w:hAnsi="Cambria" w:cs="Arial"/>
          <w:sz w:val="20"/>
          <w:szCs w:val="20"/>
          <w:lang w:val="es-ES"/>
        </w:rPr>
        <w:t xml:space="preserve">la </w:t>
      </w:r>
      <w:r w:rsidR="00A81F60" w:rsidRPr="00845503">
        <w:rPr>
          <w:rFonts w:ascii="Cambria" w:hAnsi="Cambria" w:cs="Arial"/>
          <w:sz w:val="20"/>
          <w:szCs w:val="20"/>
          <w:lang w:val="es-ES"/>
        </w:rPr>
        <w:t>falta de imparcialidad e independencia de la justicia. Afirma</w:t>
      </w:r>
      <w:r w:rsidR="004D640D" w:rsidRPr="00845503">
        <w:rPr>
          <w:rFonts w:ascii="Cambria" w:hAnsi="Cambria" w:cs="Arial"/>
          <w:sz w:val="20"/>
          <w:szCs w:val="20"/>
          <w:lang w:val="es-ES"/>
        </w:rPr>
        <w:t>ro</w:t>
      </w:r>
      <w:r w:rsidR="00A81F60" w:rsidRPr="00845503">
        <w:rPr>
          <w:rFonts w:ascii="Cambria" w:hAnsi="Cambria" w:cs="Arial"/>
          <w:sz w:val="20"/>
          <w:szCs w:val="20"/>
          <w:lang w:val="es-ES"/>
        </w:rPr>
        <w:t>n que el juicio</w:t>
      </w:r>
      <w:r w:rsidR="00DC172A" w:rsidRPr="00845503">
        <w:rPr>
          <w:rFonts w:ascii="Cambria" w:hAnsi="Cambria" w:cs="Arial"/>
          <w:sz w:val="20"/>
          <w:szCs w:val="20"/>
          <w:lang w:val="es-ES"/>
        </w:rPr>
        <w:t xml:space="preserve"> se realizó a puertas cerradas y </w:t>
      </w:r>
      <w:r w:rsidR="00A81F60" w:rsidRPr="00845503">
        <w:rPr>
          <w:rFonts w:ascii="Cambria" w:hAnsi="Cambria" w:cs="Arial"/>
          <w:sz w:val="20"/>
          <w:szCs w:val="20"/>
          <w:lang w:val="es-ES"/>
        </w:rPr>
        <w:t>que aunque las presuntas víctimas tenían abogados, no podían comunicarse en privado con ellos, puesto que estaban siempre bajo vigilancia. A</w:t>
      </w:r>
      <w:r w:rsidR="00A15823" w:rsidRPr="00845503">
        <w:rPr>
          <w:rFonts w:ascii="Cambria" w:hAnsi="Cambria" w:cs="Arial"/>
          <w:sz w:val="20"/>
          <w:szCs w:val="20"/>
          <w:lang w:val="es-ES"/>
        </w:rPr>
        <w:t>legaron</w:t>
      </w:r>
      <w:r w:rsidR="00A81F60" w:rsidRPr="00845503">
        <w:rPr>
          <w:rFonts w:ascii="Cambria" w:hAnsi="Cambria" w:cs="Arial"/>
          <w:sz w:val="20"/>
          <w:szCs w:val="20"/>
          <w:lang w:val="es-ES"/>
        </w:rPr>
        <w:t xml:space="preserve"> que a la defensa no le eran dados los documentos necesarios en tiempo oportuno, los cuales sólo le fueron proporcionados momentos antes del juicio oral</w:t>
      </w:r>
      <w:r w:rsidR="00DC172A" w:rsidRPr="00845503">
        <w:rPr>
          <w:rFonts w:ascii="Cambria" w:hAnsi="Cambria" w:cs="Arial"/>
          <w:sz w:val="20"/>
          <w:szCs w:val="20"/>
          <w:lang w:val="es-ES"/>
        </w:rPr>
        <w:t xml:space="preserve">, que utilizaron pruebas que no fueron propuestas por la </w:t>
      </w:r>
      <w:r w:rsidR="00937F57" w:rsidRPr="00845503">
        <w:rPr>
          <w:rFonts w:ascii="Cambria" w:hAnsi="Cambria" w:cs="Arial"/>
          <w:sz w:val="20"/>
          <w:szCs w:val="20"/>
          <w:lang w:val="es-ES"/>
        </w:rPr>
        <w:t>fiscalía</w:t>
      </w:r>
      <w:r w:rsidR="00DC172A" w:rsidRPr="00845503">
        <w:rPr>
          <w:rFonts w:ascii="Cambria" w:hAnsi="Cambria" w:cs="Arial"/>
          <w:sz w:val="20"/>
          <w:szCs w:val="20"/>
          <w:lang w:val="es-ES"/>
        </w:rPr>
        <w:t xml:space="preserve"> oportunamente y que se dieron por probados hechos que no se ajustaban a las pruebas practicadas.</w:t>
      </w:r>
      <w:r w:rsidR="00A81F60" w:rsidRPr="00845503">
        <w:rPr>
          <w:rFonts w:ascii="Cambria" w:hAnsi="Cambria" w:cs="Arial"/>
          <w:sz w:val="20"/>
          <w:szCs w:val="20"/>
          <w:lang w:val="es-ES"/>
        </w:rPr>
        <w:t xml:space="preserve"> </w:t>
      </w:r>
      <w:r w:rsidR="00A15823" w:rsidRPr="00845503">
        <w:rPr>
          <w:rFonts w:ascii="Cambria" w:hAnsi="Cambria" w:cs="Arial"/>
          <w:sz w:val="20"/>
          <w:szCs w:val="20"/>
          <w:lang w:val="es-ES"/>
        </w:rPr>
        <w:t xml:space="preserve">Indicaron </w:t>
      </w:r>
      <w:r w:rsidR="00A81F60" w:rsidRPr="00845503">
        <w:rPr>
          <w:rFonts w:ascii="Cambria" w:hAnsi="Cambria" w:cs="Arial"/>
          <w:sz w:val="20"/>
          <w:szCs w:val="20"/>
          <w:lang w:val="es-ES"/>
        </w:rPr>
        <w:t xml:space="preserve">que </w:t>
      </w:r>
      <w:r w:rsidR="00DC172A" w:rsidRPr="00845503">
        <w:rPr>
          <w:rFonts w:ascii="Cambria" w:hAnsi="Cambria" w:cs="Arial"/>
          <w:sz w:val="20"/>
          <w:szCs w:val="20"/>
          <w:lang w:val="es-ES"/>
        </w:rPr>
        <w:t xml:space="preserve">en el caso de René Gómez Manzano, </w:t>
      </w:r>
      <w:r w:rsidR="00A81F60" w:rsidRPr="00845503">
        <w:rPr>
          <w:rFonts w:ascii="Cambria" w:hAnsi="Cambria" w:cs="Arial"/>
          <w:sz w:val="20"/>
          <w:szCs w:val="20"/>
          <w:lang w:val="es-ES"/>
        </w:rPr>
        <w:t xml:space="preserve">el tribunal impuso </w:t>
      </w:r>
      <w:r w:rsidR="00DC172A" w:rsidRPr="00845503">
        <w:rPr>
          <w:rFonts w:ascii="Cambria" w:hAnsi="Cambria" w:cs="Arial"/>
          <w:sz w:val="20"/>
          <w:szCs w:val="20"/>
          <w:lang w:val="es-ES"/>
        </w:rPr>
        <w:t xml:space="preserve">la prohibición del ejercicio de la abogacía, </w:t>
      </w:r>
      <w:r w:rsidR="00A81F60" w:rsidRPr="00845503">
        <w:rPr>
          <w:rFonts w:ascii="Cambria" w:hAnsi="Cambria" w:cs="Arial"/>
          <w:sz w:val="20"/>
          <w:szCs w:val="20"/>
          <w:lang w:val="es-ES"/>
        </w:rPr>
        <w:t>una sanción que no había sido solicitada</w:t>
      </w:r>
      <w:r w:rsidR="00DC172A" w:rsidRPr="00845503">
        <w:rPr>
          <w:rFonts w:ascii="Cambria" w:hAnsi="Cambria" w:cs="Arial"/>
          <w:sz w:val="20"/>
          <w:szCs w:val="20"/>
          <w:lang w:val="es-ES"/>
        </w:rPr>
        <w:t xml:space="preserve"> por la fiscalía.</w:t>
      </w:r>
      <w:r w:rsidR="00A81F60" w:rsidRPr="00845503">
        <w:rPr>
          <w:rFonts w:ascii="Cambria" w:hAnsi="Cambria" w:cs="Arial"/>
          <w:sz w:val="20"/>
          <w:szCs w:val="20"/>
          <w:lang w:val="es-ES"/>
        </w:rPr>
        <w:t xml:space="preserve">   </w:t>
      </w:r>
    </w:p>
    <w:p w:rsidR="00A81F60" w:rsidRPr="00845503" w:rsidRDefault="00A81F60" w:rsidP="0046202E">
      <w:pPr>
        <w:jc w:val="both"/>
        <w:rPr>
          <w:rFonts w:ascii="Cambria" w:hAnsi="Cambria" w:cs="Arial"/>
          <w:sz w:val="20"/>
          <w:szCs w:val="20"/>
          <w:lang w:val="es-CO"/>
        </w:rPr>
      </w:pPr>
      <w:r w:rsidRPr="00845503">
        <w:rPr>
          <w:rFonts w:ascii="Cambria" w:hAnsi="Cambria" w:cs="Arial"/>
          <w:sz w:val="20"/>
          <w:szCs w:val="20"/>
          <w:lang w:val="es-CO"/>
        </w:rPr>
        <w:t> </w:t>
      </w:r>
    </w:p>
    <w:p w:rsidR="00A81F60" w:rsidRPr="00845503" w:rsidRDefault="00A81F60"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ES"/>
        </w:rPr>
        <w:t>Los peticionarios a</w:t>
      </w:r>
      <w:r w:rsidR="00A15823" w:rsidRPr="00845503">
        <w:rPr>
          <w:rFonts w:ascii="Cambria" w:hAnsi="Cambria" w:cs="Arial"/>
          <w:sz w:val="20"/>
          <w:szCs w:val="20"/>
          <w:lang w:val="es-ES"/>
        </w:rPr>
        <w:t>legaron</w:t>
      </w:r>
      <w:r w:rsidRPr="00845503">
        <w:rPr>
          <w:rFonts w:ascii="Cambria" w:hAnsi="Cambria" w:cs="Arial"/>
          <w:sz w:val="20"/>
          <w:szCs w:val="20"/>
          <w:lang w:val="es-ES"/>
        </w:rPr>
        <w:t xml:space="preserve"> que </w:t>
      </w:r>
      <w:r w:rsidR="00967821" w:rsidRPr="00845503">
        <w:rPr>
          <w:rFonts w:ascii="Cambria" w:hAnsi="Cambria" w:cs="Arial"/>
          <w:sz w:val="20"/>
          <w:szCs w:val="20"/>
          <w:lang w:val="es-ES"/>
        </w:rPr>
        <w:t>Martha</w:t>
      </w:r>
      <w:r w:rsidRPr="00845503">
        <w:rPr>
          <w:rFonts w:ascii="Cambria" w:hAnsi="Cambria" w:cs="Arial"/>
          <w:sz w:val="20"/>
          <w:szCs w:val="20"/>
          <w:lang w:val="es-ES"/>
        </w:rPr>
        <w:t xml:space="preserve"> Beatriz Roque Cabello estuvo detenida en una celda que medía 3 x 4 metros, la</w:t>
      </w:r>
      <w:r w:rsidR="00B13A87" w:rsidRPr="00845503">
        <w:rPr>
          <w:rFonts w:ascii="Cambria" w:hAnsi="Cambria" w:cs="Arial"/>
          <w:sz w:val="20"/>
          <w:szCs w:val="20"/>
          <w:lang w:val="es-ES"/>
        </w:rPr>
        <w:t xml:space="preserve"> cual compartía con más personas</w:t>
      </w:r>
      <w:r w:rsidRPr="00845503">
        <w:rPr>
          <w:rFonts w:ascii="Cambria" w:hAnsi="Cambria" w:cs="Arial"/>
          <w:sz w:val="20"/>
          <w:szCs w:val="20"/>
          <w:lang w:val="es-ES"/>
        </w:rPr>
        <w:t xml:space="preserve">; que </w:t>
      </w:r>
      <w:r w:rsidR="00A15823" w:rsidRPr="00845503">
        <w:rPr>
          <w:rFonts w:ascii="Cambria" w:hAnsi="Cambria" w:cs="Arial"/>
          <w:sz w:val="20"/>
          <w:szCs w:val="20"/>
          <w:lang w:val="es-ES"/>
        </w:rPr>
        <w:t>no recibía  luz natural</w:t>
      </w:r>
      <w:r w:rsidRPr="00845503">
        <w:rPr>
          <w:rFonts w:ascii="Cambria" w:hAnsi="Cambria" w:cs="Arial"/>
          <w:sz w:val="20"/>
          <w:szCs w:val="20"/>
          <w:lang w:val="es-ES"/>
        </w:rPr>
        <w:t xml:space="preserve">, puesto que las ventanas estaban selladas con una plancha de metal </w:t>
      </w:r>
      <w:r w:rsidR="00A15823" w:rsidRPr="00845503">
        <w:rPr>
          <w:rFonts w:ascii="Cambria" w:hAnsi="Cambria" w:cs="Arial"/>
          <w:sz w:val="20"/>
          <w:szCs w:val="20"/>
          <w:lang w:val="es-ES"/>
        </w:rPr>
        <w:t>y</w:t>
      </w:r>
      <w:r w:rsidRPr="00845503">
        <w:rPr>
          <w:rFonts w:ascii="Cambria" w:hAnsi="Cambria" w:cs="Arial"/>
          <w:sz w:val="20"/>
          <w:szCs w:val="20"/>
          <w:lang w:val="es-ES"/>
        </w:rPr>
        <w:t xml:space="preserve"> la iluminación era de una luz blanca f</w:t>
      </w:r>
      <w:r w:rsidR="00A15823" w:rsidRPr="00845503">
        <w:rPr>
          <w:rFonts w:ascii="Cambria" w:hAnsi="Cambria" w:cs="Arial"/>
          <w:sz w:val="20"/>
          <w:szCs w:val="20"/>
          <w:lang w:val="es-ES"/>
        </w:rPr>
        <w:t>luo</w:t>
      </w:r>
      <w:r w:rsidRPr="00845503">
        <w:rPr>
          <w:rFonts w:ascii="Cambria" w:hAnsi="Cambria" w:cs="Arial"/>
          <w:sz w:val="20"/>
          <w:szCs w:val="20"/>
          <w:lang w:val="es-ES"/>
        </w:rPr>
        <w:t>rescente que permanecía prendida constantemente</w:t>
      </w:r>
      <w:r w:rsidR="007E504D" w:rsidRPr="00845503">
        <w:rPr>
          <w:rFonts w:ascii="Cambria" w:hAnsi="Cambria" w:cs="Arial"/>
          <w:sz w:val="20"/>
          <w:szCs w:val="20"/>
          <w:lang w:val="es-ES"/>
        </w:rPr>
        <w:t xml:space="preserve">, que </w:t>
      </w:r>
      <w:r w:rsidRPr="00845503">
        <w:rPr>
          <w:rFonts w:ascii="Cambria" w:hAnsi="Cambria" w:cs="Arial"/>
          <w:sz w:val="20"/>
          <w:szCs w:val="20"/>
          <w:lang w:val="es-ES"/>
        </w:rPr>
        <w:t xml:space="preserve">la comida era inadecuada y que ella permanecía en la cama de la celda todo el tiempo. </w:t>
      </w:r>
      <w:r w:rsidR="00561DA0" w:rsidRPr="00845503">
        <w:rPr>
          <w:rFonts w:ascii="Cambria" w:hAnsi="Cambria" w:cs="Arial"/>
          <w:sz w:val="20"/>
          <w:szCs w:val="20"/>
          <w:lang w:val="es-ES"/>
        </w:rPr>
        <w:t>Además, alegaron que</w:t>
      </w:r>
      <w:r w:rsidR="00B13A87" w:rsidRPr="00845503">
        <w:rPr>
          <w:rFonts w:ascii="Cambria" w:hAnsi="Cambria" w:cs="Arial"/>
          <w:sz w:val="20"/>
          <w:szCs w:val="20"/>
          <w:lang w:val="es-ES"/>
        </w:rPr>
        <w:t xml:space="preserve"> en el mes de </w:t>
      </w:r>
      <w:r w:rsidRPr="00845503">
        <w:rPr>
          <w:rFonts w:ascii="Cambria" w:hAnsi="Cambria" w:cs="Arial"/>
          <w:sz w:val="20"/>
          <w:szCs w:val="20"/>
          <w:lang w:val="es-ES"/>
        </w:rPr>
        <w:t xml:space="preserve">octubre de 1997, </w:t>
      </w:r>
      <w:r w:rsidR="00561DA0" w:rsidRPr="00845503">
        <w:rPr>
          <w:rFonts w:ascii="Cambria" w:hAnsi="Cambria" w:cs="Arial"/>
          <w:sz w:val="20"/>
          <w:szCs w:val="20"/>
          <w:lang w:val="es-ES"/>
        </w:rPr>
        <w:t xml:space="preserve">Roque Cabello </w:t>
      </w:r>
      <w:r w:rsidRPr="00845503">
        <w:rPr>
          <w:rFonts w:ascii="Cambria" w:hAnsi="Cambria" w:cs="Arial"/>
          <w:sz w:val="20"/>
          <w:szCs w:val="20"/>
          <w:lang w:val="es-ES"/>
        </w:rPr>
        <w:t xml:space="preserve">encontró unas masas en sus senos, las cuales </w:t>
      </w:r>
      <w:r w:rsidR="00B13A87" w:rsidRPr="00845503">
        <w:rPr>
          <w:rFonts w:ascii="Cambria" w:hAnsi="Cambria" w:cs="Arial"/>
          <w:sz w:val="20"/>
          <w:szCs w:val="20"/>
          <w:lang w:val="es-ES"/>
        </w:rPr>
        <w:t xml:space="preserve">se habrían </w:t>
      </w:r>
      <w:r w:rsidRPr="00845503">
        <w:rPr>
          <w:rFonts w:ascii="Cambria" w:hAnsi="Cambria" w:cs="Arial"/>
          <w:sz w:val="20"/>
          <w:szCs w:val="20"/>
          <w:lang w:val="es-ES"/>
        </w:rPr>
        <w:t xml:space="preserve">infectado al ser curadas por el personal de la prisión, lo que según los peticionarios le causó displasia mamaria. También </w:t>
      </w:r>
      <w:r w:rsidR="00561DA0" w:rsidRPr="00845503">
        <w:rPr>
          <w:rFonts w:ascii="Cambria" w:hAnsi="Cambria" w:cs="Arial"/>
          <w:sz w:val="20"/>
          <w:szCs w:val="20"/>
          <w:lang w:val="es-ES"/>
        </w:rPr>
        <w:t>indicaro</w:t>
      </w:r>
      <w:r w:rsidR="00B13A87" w:rsidRPr="00845503">
        <w:rPr>
          <w:rFonts w:ascii="Cambria" w:hAnsi="Cambria" w:cs="Arial"/>
          <w:sz w:val="20"/>
          <w:szCs w:val="20"/>
          <w:lang w:val="es-ES"/>
        </w:rPr>
        <w:t>n</w:t>
      </w:r>
      <w:r w:rsidRPr="00845503">
        <w:rPr>
          <w:rFonts w:ascii="Cambria" w:hAnsi="Cambria" w:cs="Arial"/>
          <w:sz w:val="20"/>
          <w:szCs w:val="20"/>
          <w:lang w:val="es-ES"/>
        </w:rPr>
        <w:t xml:space="preserve"> que sufrió de problemas estomacales y renales después de una huelga de hambre que duró 52 días, en la cual perdió más de 9 kilos. </w:t>
      </w:r>
    </w:p>
    <w:p w:rsidR="00A81F60" w:rsidRPr="00845503" w:rsidRDefault="00A81F60" w:rsidP="0046202E">
      <w:pPr>
        <w:jc w:val="both"/>
        <w:rPr>
          <w:rFonts w:ascii="Cambria" w:hAnsi="Cambria" w:cs="Arial"/>
          <w:sz w:val="20"/>
          <w:szCs w:val="20"/>
          <w:lang w:val="es-CO"/>
        </w:rPr>
      </w:pPr>
      <w:r w:rsidRPr="00845503">
        <w:rPr>
          <w:rFonts w:ascii="Cambria" w:hAnsi="Cambria" w:cs="Arial"/>
          <w:sz w:val="20"/>
          <w:szCs w:val="20"/>
          <w:lang w:val="es-ES"/>
        </w:rPr>
        <w:t> </w:t>
      </w:r>
    </w:p>
    <w:p w:rsidR="00A81F60" w:rsidRPr="00845503" w:rsidRDefault="00D328EF"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ES"/>
        </w:rPr>
      </w:pPr>
      <w:r w:rsidRPr="00845503">
        <w:rPr>
          <w:rFonts w:ascii="Cambria" w:hAnsi="Cambria" w:cs="Arial"/>
          <w:sz w:val="20"/>
          <w:szCs w:val="20"/>
          <w:lang w:val="es-ES"/>
        </w:rPr>
        <w:t>L</w:t>
      </w:r>
      <w:r w:rsidR="00A81F60" w:rsidRPr="00845503">
        <w:rPr>
          <w:rFonts w:ascii="Cambria" w:hAnsi="Cambria" w:cs="Arial"/>
          <w:sz w:val="20"/>
          <w:szCs w:val="20"/>
          <w:lang w:val="es-ES"/>
        </w:rPr>
        <w:t>os peticionarios informaron</w:t>
      </w:r>
      <w:r w:rsidR="00B13A87" w:rsidRPr="00845503">
        <w:rPr>
          <w:rFonts w:ascii="Cambria" w:hAnsi="Cambria" w:cs="Arial"/>
          <w:sz w:val="20"/>
          <w:szCs w:val="20"/>
          <w:lang w:val="es-ES"/>
        </w:rPr>
        <w:t xml:space="preserve"> </w:t>
      </w:r>
      <w:r w:rsidR="008D0773" w:rsidRPr="00845503">
        <w:rPr>
          <w:rFonts w:ascii="Cambria" w:hAnsi="Cambria" w:cs="Arial"/>
          <w:sz w:val="20"/>
          <w:szCs w:val="20"/>
          <w:lang w:val="es-ES"/>
        </w:rPr>
        <w:t>en la audiencia realiz</w:t>
      </w:r>
      <w:r w:rsidR="004170B1" w:rsidRPr="00845503">
        <w:rPr>
          <w:rFonts w:ascii="Cambria" w:hAnsi="Cambria" w:cs="Arial"/>
          <w:sz w:val="20"/>
          <w:szCs w:val="20"/>
          <w:lang w:val="es-ES"/>
        </w:rPr>
        <w:t xml:space="preserve">ada el 30 de septiembre de 1999, </w:t>
      </w:r>
      <w:r w:rsidR="00A81F60" w:rsidRPr="00845503">
        <w:rPr>
          <w:rFonts w:ascii="Cambria" w:hAnsi="Cambria" w:cs="Arial"/>
          <w:sz w:val="20"/>
          <w:szCs w:val="20"/>
          <w:lang w:val="es-ES"/>
        </w:rPr>
        <w:t xml:space="preserve">que Félix Bonne Carcassés era asmático y diabético y que estaba detenido en una celda pequeña y húmeda donde tenía que estar de pie por mucho tiempo y no tenía </w:t>
      </w:r>
      <w:r w:rsidR="00937F57" w:rsidRPr="00845503">
        <w:rPr>
          <w:rFonts w:ascii="Cambria" w:hAnsi="Cambria" w:cs="Arial"/>
          <w:sz w:val="20"/>
          <w:szCs w:val="20"/>
          <w:lang w:val="es-ES"/>
        </w:rPr>
        <w:t>oportunidad</w:t>
      </w:r>
      <w:r w:rsidR="00A81F60" w:rsidRPr="00845503">
        <w:rPr>
          <w:rFonts w:ascii="Cambria" w:hAnsi="Cambria" w:cs="Arial"/>
          <w:sz w:val="20"/>
          <w:szCs w:val="20"/>
          <w:lang w:val="es-ES"/>
        </w:rPr>
        <w:t xml:space="preserve"> para</w:t>
      </w:r>
      <w:r w:rsidR="00937F57" w:rsidRPr="00845503">
        <w:rPr>
          <w:rFonts w:ascii="Cambria" w:hAnsi="Cambria" w:cs="Arial"/>
          <w:sz w:val="20"/>
          <w:szCs w:val="20"/>
          <w:lang w:val="es-ES"/>
        </w:rPr>
        <w:t xml:space="preserve"> realizar</w:t>
      </w:r>
      <w:r w:rsidR="00A81F60" w:rsidRPr="00845503">
        <w:rPr>
          <w:rFonts w:ascii="Cambria" w:hAnsi="Cambria" w:cs="Arial"/>
          <w:sz w:val="20"/>
          <w:szCs w:val="20"/>
          <w:lang w:val="es-ES"/>
        </w:rPr>
        <w:t xml:space="preserve"> ejercicios. Asimismo, alega</w:t>
      </w:r>
      <w:r w:rsidR="00561DA0" w:rsidRPr="00845503">
        <w:rPr>
          <w:rFonts w:ascii="Cambria" w:hAnsi="Cambria" w:cs="Arial"/>
          <w:sz w:val="20"/>
          <w:szCs w:val="20"/>
          <w:lang w:val="es-ES"/>
        </w:rPr>
        <w:t>ro</w:t>
      </w:r>
      <w:r w:rsidR="00A81F60" w:rsidRPr="00845503">
        <w:rPr>
          <w:rFonts w:ascii="Cambria" w:hAnsi="Cambria" w:cs="Arial"/>
          <w:sz w:val="20"/>
          <w:szCs w:val="20"/>
          <w:lang w:val="es-ES"/>
        </w:rPr>
        <w:t xml:space="preserve">n que le fue negada asistencia médica cuando tuvo problemas de salud. </w:t>
      </w:r>
      <w:r w:rsidRPr="00845503">
        <w:rPr>
          <w:rFonts w:ascii="Cambria" w:hAnsi="Cambria" w:cs="Arial"/>
          <w:sz w:val="20"/>
          <w:szCs w:val="20"/>
          <w:lang w:val="es-ES"/>
        </w:rPr>
        <w:t xml:space="preserve">Finalmente, alegaron que </w:t>
      </w:r>
      <w:r w:rsidR="00D94780" w:rsidRPr="00845503">
        <w:rPr>
          <w:rFonts w:ascii="Cambria" w:hAnsi="Cambria" w:cs="Arial"/>
          <w:sz w:val="20"/>
          <w:szCs w:val="20"/>
          <w:lang w:val="es-ES"/>
        </w:rPr>
        <w:t>René Gomez Manzano</w:t>
      </w:r>
      <w:r w:rsidR="00A81F60" w:rsidRPr="00845503">
        <w:rPr>
          <w:rFonts w:ascii="Cambria" w:hAnsi="Cambria" w:cs="Arial"/>
          <w:sz w:val="20"/>
          <w:szCs w:val="20"/>
          <w:lang w:val="es-ES"/>
        </w:rPr>
        <w:t xml:space="preserve"> </w:t>
      </w:r>
      <w:r w:rsidR="00B13A87" w:rsidRPr="00845503">
        <w:rPr>
          <w:rFonts w:ascii="Cambria" w:hAnsi="Cambria" w:cs="Arial"/>
          <w:sz w:val="20"/>
          <w:szCs w:val="20"/>
          <w:lang w:val="es-ES"/>
        </w:rPr>
        <w:t>permaneció d</w:t>
      </w:r>
      <w:r w:rsidR="00A81F60" w:rsidRPr="00845503">
        <w:rPr>
          <w:rFonts w:ascii="Cambria" w:hAnsi="Cambria" w:cs="Arial"/>
          <w:sz w:val="20"/>
          <w:szCs w:val="20"/>
          <w:lang w:val="es-ES"/>
        </w:rPr>
        <w:t xml:space="preserve">etenido </w:t>
      </w:r>
      <w:r w:rsidRPr="00845503">
        <w:rPr>
          <w:rFonts w:ascii="Cambria" w:hAnsi="Cambria" w:cs="Arial"/>
          <w:sz w:val="20"/>
          <w:szCs w:val="20"/>
          <w:lang w:val="es-ES"/>
        </w:rPr>
        <w:t>en</w:t>
      </w:r>
      <w:r w:rsidR="00B13A87" w:rsidRPr="00845503">
        <w:rPr>
          <w:rFonts w:ascii="Cambria" w:hAnsi="Cambria" w:cs="Arial"/>
          <w:sz w:val="20"/>
          <w:szCs w:val="20"/>
          <w:lang w:val="es-ES"/>
        </w:rPr>
        <w:t xml:space="preserve"> una celda de aislamiento</w:t>
      </w:r>
      <w:r w:rsidR="00D94780" w:rsidRPr="00845503">
        <w:rPr>
          <w:rFonts w:ascii="Cambria" w:hAnsi="Cambria" w:cs="Arial"/>
          <w:sz w:val="20"/>
          <w:szCs w:val="20"/>
          <w:lang w:val="es-ES"/>
        </w:rPr>
        <w:t xml:space="preserve"> tras ser golpeado por otros reclusos</w:t>
      </w:r>
      <w:r w:rsidR="00A81F60" w:rsidRPr="00845503">
        <w:rPr>
          <w:rFonts w:ascii="Cambria" w:hAnsi="Cambria" w:cs="Arial"/>
          <w:sz w:val="20"/>
          <w:szCs w:val="20"/>
          <w:lang w:val="es-ES"/>
        </w:rPr>
        <w:t>.</w:t>
      </w:r>
    </w:p>
    <w:p w:rsidR="006602ED" w:rsidRPr="00845503" w:rsidRDefault="006602ED" w:rsidP="0046202E">
      <w:pPr>
        <w:jc w:val="both"/>
        <w:rPr>
          <w:rFonts w:ascii="Cambria" w:hAnsi="Cambria" w:cs="Arial"/>
          <w:sz w:val="20"/>
          <w:szCs w:val="20"/>
          <w:lang w:val="es-ES"/>
        </w:rPr>
      </w:pPr>
    </w:p>
    <w:p w:rsidR="00576EB4" w:rsidRPr="00845503" w:rsidRDefault="00576EB4" w:rsidP="009C22C5">
      <w:pPr>
        <w:pStyle w:val="Heading3"/>
        <w:numPr>
          <w:ilvl w:val="0"/>
          <w:numId w:val="65"/>
        </w:numPr>
        <w:spacing w:before="0" w:after="0"/>
        <w:ind w:firstLine="0"/>
        <w:jc w:val="both"/>
        <w:rPr>
          <w:rFonts w:ascii="Cambria" w:hAnsi="Cambria"/>
          <w:sz w:val="20"/>
          <w:szCs w:val="20"/>
          <w:lang w:val="es-CO"/>
        </w:rPr>
      </w:pPr>
      <w:bookmarkStart w:id="6" w:name="_Toc505951339"/>
      <w:r w:rsidRPr="00845503">
        <w:rPr>
          <w:rFonts w:ascii="Cambria" w:hAnsi="Cambria"/>
          <w:sz w:val="20"/>
          <w:szCs w:val="20"/>
          <w:lang w:val="es-CO"/>
        </w:rPr>
        <w:t>Posición del Estado</w:t>
      </w:r>
      <w:bookmarkEnd w:id="6"/>
    </w:p>
    <w:p w:rsidR="00576EB4" w:rsidRPr="00845503" w:rsidRDefault="00576EB4" w:rsidP="0046202E">
      <w:pPr>
        <w:jc w:val="both"/>
        <w:rPr>
          <w:rFonts w:ascii="Cambria" w:eastAsia="Times New Roman" w:hAnsi="Cambria" w:cs="Times"/>
          <w:sz w:val="20"/>
          <w:szCs w:val="20"/>
          <w:lang w:val="es-CO"/>
        </w:rPr>
      </w:pPr>
    </w:p>
    <w:p w:rsidR="00576EB4" w:rsidRPr="00845503" w:rsidRDefault="00742CC0"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lang w:val="es-CO"/>
        </w:rPr>
      </w:pPr>
      <w:r w:rsidRPr="00845503">
        <w:rPr>
          <w:rFonts w:ascii="Cambria" w:eastAsia="Times New Roman" w:hAnsi="Cambria" w:cs="Times"/>
          <w:sz w:val="20"/>
          <w:szCs w:val="20"/>
          <w:lang w:val="es-ES"/>
        </w:rPr>
        <w:t>El Estado cubano, hasta la fecha, no ha respondido a ninguna de las solicitudes de información de la Comisión a pesar de haber sido debidamente notificado.</w:t>
      </w:r>
    </w:p>
    <w:p w:rsidR="00755EC4" w:rsidRPr="00845503" w:rsidRDefault="00755EC4" w:rsidP="004620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s="Times"/>
          <w:sz w:val="20"/>
          <w:szCs w:val="20"/>
          <w:lang w:val="es-CO"/>
        </w:rPr>
      </w:pPr>
    </w:p>
    <w:p w:rsidR="00924F03" w:rsidRPr="00845503" w:rsidRDefault="00924F03"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lang w:val="es-CO"/>
        </w:rPr>
      </w:pPr>
      <w:r w:rsidRPr="00845503">
        <w:rPr>
          <w:rFonts w:ascii="Cambria" w:eastAsia="Times New Roman" w:hAnsi="Cambria" w:cs="Times"/>
          <w:sz w:val="20"/>
          <w:szCs w:val="20"/>
          <w:lang w:val="es-CO"/>
        </w:rPr>
        <w:t xml:space="preserve">El 2 de diciembre de 2004, </w:t>
      </w:r>
      <w:r w:rsidRPr="00845503">
        <w:rPr>
          <w:rFonts w:ascii="Cambria" w:eastAsia="Times New Roman" w:hAnsi="Cambria" w:cs="Times"/>
          <w:sz w:val="20"/>
          <w:szCs w:val="20"/>
          <w:lang w:val="es-AR"/>
        </w:rPr>
        <w:t xml:space="preserve">el Jefe de la Sección de Intereses de Cuba en Washington, D.C., envió una comunicación a la CIDH señalando lo siguiente: </w:t>
      </w:r>
      <w:r w:rsidRPr="00845503">
        <w:rPr>
          <w:rFonts w:ascii="Cambria" w:eastAsia="Times New Roman" w:hAnsi="Cambria" w:cs="Times"/>
          <w:sz w:val="20"/>
          <w:szCs w:val="20"/>
          <w:lang w:val="es-CO"/>
        </w:rPr>
        <w:t>“Tengo a bien devolver los tres documentos remitidos a esta Sección de Intereses con fecha 8 de noviembre de 2004. Como lo he expresado en ocasiones anteriores, la Comisión Interamericana de Derechos Humanos no tiene competencia legal, ni la Organización de Estados Americanos autorida</w:t>
      </w:r>
      <w:r w:rsidR="007431C8" w:rsidRPr="00845503">
        <w:rPr>
          <w:rFonts w:ascii="Cambria" w:eastAsia="Times New Roman" w:hAnsi="Cambria" w:cs="Times"/>
          <w:sz w:val="20"/>
          <w:szCs w:val="20"/>
          <w:lang w:val="es-CO"/>
        </w:rPr>
        <w:t xml:space="preserve">d moral, </w:t>
      </w:r>
      <w:r w:rsidRPr="00845503">
        <w:rPr>
          <w:rFonts w:ascii="Cambria" w:eastAsia="Times New Roman" w:hAnsi="Cambria" w:cs="Times"/>
          <w:sz w:val="20"/>
          <w:szCs w:val="20"/>
          <w:lang w:val="es-CO"/>
        </w:rPr>
        <w:t>para juzgar el disfrute de los derechos humanos en Cuba</w:t>
      </w:r>
      <w:r w:rsidR="00937F57" w:rsidRPr="00845503">
        <w:rPr>
          <w:rFonts w:ascii="Cambria" w:eastAsia="Times New Roman" w:hAnsi="Cambria" w:cs="Times"/>
          <w:sz w:val="20"/>
          <w:szCs w:val="20"/>
          <w:lang w:val="es-CO"/>
        </w:rPr>
        <w:t xml:space="preserve"> […]</w:t>
      </w:r>
      <w:r w:rsidR="007431C8" w:rsidRPr="00845503">
        <w:rPr>
          <w:rFonts w:ascii="Cambria" w:eastAsia="Times New Roman" w:hAnsi="Cambria" w:cs="Times"/>
          <w:sz w:val="20"/>
          <w:szCs w:val="20"/>
          <w:lang w:val="es-CO"/>
        </w:rPr>
        <w:t>”.</w:t>
      </w:r>
    </w:p>
    <w:p w:rsidR="00755EC4" w:rsidRPr="00845503" w:rsidRDefault="00755EC4" w:rsidP="0046202E">
      <w:pPr>
        <w:pStyle w:val="ListParagraph"/>
        <w:ind w:left="0"/>
        <w:jc w:val="both"/>
        <w:rPr>
          <w:rFonts w:eastAsia="Times New Roman" w:cs="Times"/>
          <w:color w:val="auto"/>
          <w:sz w:val="20"/>
          <w:szCs w:val="20"/>
          <w:lang w:val="es-CO"/>
        </w:rPr>
      </w:pPr>
    </w:p>
    <w:p w:rsidR="00755EC4" w:rsidRPr="00845503" w:rsidRDefault="00755EC4"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cs="Times"/>
          <w:sz w:val="20"/>
          <w:szCs w:val="20"/>
          <w:lang w:val="es-CO"/>
        </w:rPr>
      </w:pPr>
      <w:r w:rsidRPr="00845503">
        <w:rPr>
          <w:rFonts w:ascii="Cambria" w:eastAsia="Times New Roman" w:hAnsi="Cambria" w:cs="Times"/>
          <w:sz w:val="20"/>
          <w:szCs w:val="20"/>
          <w:lang w:val="es-AR"/>
        </w:rPr>
        <w:t>La Comisión observa que los plazos establecidos en su Reglamento para que el Estado suministre información han vencido ampliamente sin que Cuba haya controvertido las alegaciones de los peticionarios expuestas en este caso.</w:t>
      </w:r>
    </w:p>
    <w:p w:rsidR="00576EB4" w:rsidRPr="00845503" w:rsidRDefault="00576EB4" w:rsidP="0046202E">
      <w:pPr>
        <w:jc w:val="both"/>
        <w:rPr>
          <w:rFonts w:ascii="Cambria" w:eastAsia="Times New Roman" w:hAnsi="Cambria" w:cs="Times"/>
          <w:sz w:val="20"/>
          <w:szCs w:val="20"/>
          <w:lang w:val="es-CO"/>
        </w:rPr>
      </w:pPr>
    </w:p>
    <w:p w:rsidR="00576EB4" w:rsidRPr="00845503" w:rsidRDefault="00A53163" w:rsidP="009C22C5">
      <w:pPr>
        <w:pStyle w:val="Heading2"/>
        <w:numPr>
          <w:ilvl w:val="0"/>
          <w:numId w:val="56"/>
        </w:numPr>
        <w:tabs>
          <w:tab w:val="clear" w:pos="1440"/>
        </w:tabs>
        <w:spacing w:before="0" w:after="0"/>
        <w:ind w:left="0" w:firstLine="720"/>
        <w:jc w:val="both"/>
        <w:rPr>
          <w:rFonts w:ascii="Cambria" w:hAnsi="Cambria"/>
          <w:i w:val="0"/>
          <w:sz w:val="20"/>
          <w:szCs w:val="20"/>
          <w:lang w:val="es-CO"/>
        </w:rPr>
      </w:pPr>
      <w:bookmarkStart w:id="7" w:name="_Toc505951340"/>
      <w:r w:rsidRPr="00845503">
        <w:rPr>
          <w:rFonts w:ascii="Cambria" w:hAnsi="Cambria"/>
          <w:i w:val="0"/>
          <w:sz w:val="20"/>
          <w:szCs w:val="20"/>
          <w:lang w:val="es-CO"/>
        </w:rPr>
        <w:lastRenderedPageBreak/>
        <w:t xml:space="preserve">ANÁLISIS DE LOS </w:t>
      </w:r>
      <w:r w:rsidR="00576EB4" w:rsidRPr="00845503">
        <w:rPr>
          <w:rFonts w:ascii="Cambria" w:hAnsi="Cambria"/>
          <w:i w:val="0"/>
          <w:sz w:val="20"/>
          <w:szCs w:val="20"/>
          <w:lang w:val="es-CO"/>
        </w:rPr>
        <w:t>HECHOS</w:t>
      </w:r>
      <w:bookmarkEnd w:id="7"/>
      <w:r w:rsidR="00576EB4" w:rsidRPr="00845503">
        <w:rPr>
          <w:rFonts w:ascii="Cambria" w:hAnsi="Cambria"/>
          <w:i w:val="0"/>
          <w:sz w:val="20"/>
          <w:szCs w:val="20"/>
          <w:lang w:val="es-CO"/>
        </w:rPr>
        <w:t xml:space="preserve"> </w:t>
      </w:r>
    </w:p>
    <w:p w:rsidR="00576EB4" w:rsidRPr="00845503" w:rsidRDefault="00576EB4" w:rsidP="0046202E">
      <w:pPr>
        <w:jc w:val="both"/>
        <w:rPr>
          <w:rFonts w:ascii="Cambria" w:eastAsia="Times New Roman" w:hAnsi="Cambria" w:cs="Times"/>
          <w:sz w:val="20"/>
          <w:szCs w:val="20"/>
          <w:lang w:val="es-CO"/>
        </w:rPr>
      </w:pPr>
    </w:p>
    <w:p w:rsidR="003021B7" w:rsidRPr="00845503" w:rsidRDefault="003021B7"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Univers"/>
          <w:sz w:val="20"/>
          <w:szCs w:val="20"/>
          <w:lang w:val="es-ES"/>
        </w:rPr>
      </w:pPr>
      <w:r w:rsidRPr="00845503">
        <w:rPr>
          <w:rFonts w:ascii="Cambria" w:hAnsi="Cambria" w:cs="Univers"/>
          <w:sz w:val="20"/>
          <w:szCs w:val="20"/>
          <w:lang w:val="es-ES"/>
        </w:rPr>
        <w:t xml:space="preserve">La Comisión toma nota de que pese a sus reiteradas solicitudes, hasta el momento el Estado en sus sucesivas respuestas no ha proporcionado observaciones, información o pruebas referidas a las alegaciones de los peticionarios. Asimismo, la Comisión observa que los hechos alegados por los peticionarios describen con especificidad la situación de las </w:t>
      </w:r>
      <w:r w:rsidR="006935D1" w:rsidRPr="00845503">
        <w:rPr>
          <w:rFonts w:ascii="Cambria" w:hAnsi="Cambria" w:cs="Univers"/>
          <w:sz w:val="20"/>
          <w:szCs w:val="20"/>
          <w:lang w:val="es-ES"/>
        </w:rPr>
        <w:t xml:space="preserve">presuntas </w:t>
      </w:r>
      <w:r w:rsidRPr="00845503">
        <w:rPr>
          <w:rFonts w:ascii="Cambria" w:hAnsi="Cambria" w:cs="Univers"/>
          <w:sz w:val="20"/>
          <w:szCs w:val="20"/>
          <w:lang w:val="es-ES"/>
        </w:rPr>
        <w:t>víctimas</w:t>
      </w:r>
      <w:r w:rsidR="00455461" w:rsidRPr="00845503">
        <w:rPr>
          <w:rFonts w:ascii="Cambria" w:hAnsi="Cambria" w:cs="Univers"/>
          <w:sz w:val="20"/>
          <w:szCs w:val="20"/>
          <w:lang w:val="es-ES"/>
        </w:rPr>
        <w:t xml:space="preserve">, que se </w:t>
      </w:r>
      <w:r w:rsidRPr="00845503">
        <w:rPr>
          <w:rFonts w:ascii="Cambria" w:hAnsi="Cambria" w:cs="Univers"/>
          <w:sz w:val="20"/>
          <w:szCs w:val="20"/>
          <w:lang w:val="es-ES"/>
        </w:rPr>
        <w:t xml:space="preserve">encuentran también corroborados por </w:t>
      </w:r>
      <w:r w:rsidR="00A3208E" w:rsidRPr="00845503">
        <w:rPr>
          <w:rFonts w:ascii="Cambria" w:hAnsi="Cambria" w:cs="Univers"/>
          <w:sz w:val="20"/>
          <w:szCs w:val="20"/>
          <w:lang w:val="es-ES"/>
        </w:rPr>
        <w:t xml:space="preserve">documentos oficiales </w:t>
      </w:r>
      <w:r w:rsidR="00455461" w:rsidRPr="00845503">
        <w:rPr>
          <w:rFonts w:ascii="Cambria" w:hAnsi="Cambria" w:cs="Univers"/>
          <w:sz w:val="20"/>
          <w:szCs w:val="20"/>
          <w:lang w:val="es-ES"/>
        </w:rPr>
        <w:t>aportados en el caso</w:t>
      </w:r>
      <w:r w:rsidR="00A3208E" w:rsidRPr="00845503">
        <w:rPr>
          <w:rFonts w:ascii="Cambria" w:hAnsi="Cambria" w:cs="Univers"/>
          <w:sz w:val="20"/>
          <w:szCs w:val="20"/>
          <w:lang w:val="es-ES"/>
        </w:rPr>
        <w:t xml:space="preserve">, así como </w:t>
      </w:r>
      <w:r w:rsidRPr="00845503">
        <w:rPr>
          <w:rFonts w:ascii="Cambria" w:hAnsi="Cambria" w:cs="Univers"/>
          <w:sz w:val="20"/>
          <w:szCs w:val="20"/>
          <w:lang w:val="es-ES"/>
        </w:rPr>
        <w:t xml:space="preserve">documentadas en otras fuentes. </w:t>
      </w:r>
    </w:p>
    <w:p w:rsidR="003021B7" w:rsidRPr="00845503" w:rsidRDefault="003021B7" w:rsidP="0046202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Univers"/>
          <w:sz w:val="20"/>
          <w:szCs w:val="20"/>
          <w:lang w:val="es-ES"/>
        </w:rPr>
      </w:pPr>
      <w:r w:rsidRPr="00845503">
        <w:rPr>
          <w:rFonts w:ascii="Cambria" w:hAnsi="Cambria" w:cs="Univers"/>
          <w:sz w:val="20"/>
          <w:szCs w:val="20"/>
          <w:lang w:val="es-ES"/>
        </w:rPr>
        <w:t xml:space="preserve"> </w:t>
      </w:r>
    </w:p>
    <w:p w:rsidR="003021B7" w:rsidRPr="00845503" w:rsidRDefault="003021B7"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Univers"/>
          <w:sz w:val="20"/>
          <w:szCs w:val="20"/>
          <w:lang w:val="es-ES"/>
        </w:rPr>
      </w:pPr>
      <w:r w:rsidRPr="00845503">
        <w:rPr>
          <w:rFonts w:ascii="Cambria" w:hAnsi="Cambria" w:cs="Univers"/>
          <w:sz w:val="20"/>
          <w:szCs w:val="20"/>
          <w:lang w:val="es-ES"/>
        </w:rPr>
        <w:t>Sobre la base de estas consideraciones y tomando en cuenta la ausencia de elementos de convicción que lleven a una conclusión contraria, en el presente caso la Comisión decide aplicar el artículo 3</w:t>
      </w:r>
      <w:r w:rsidR="006935D1" w:rsidRPr="00845503">
        <w:rPr>
          <w:rFonts w:ascii="Cambria" w:hAnsi="Cambria" w:cs="Univers"/>
          <w:sz w:val="20"/>
          <w:szCs w:val="20"/>
          <w:lang w:val="es-ES"/>
        </w:rPr>
        <w:t>8</w:t>
      </w:r>
      <w:r w:rsidRPr="00845503">
        <w:rPr>
          <w:rFonts w:ascii="Cambria" w:hAnsi="Cambria" w:cs="Univers"/>
          <w:sz w:val="20"/>
          <w:szCs w:val="20"/>
          <w:lang w:val="es-ES"/>
        </w:rPr>
        <w:t xml:space="preserve"> de su Reglamento </w:t>
      </w:r>
      <w:r w:rsidR="006935D1" w:rsidRPr="00845503">
        <w:rPr>
          <w:rFonts w:ascii="Cambria" w:hAnsi="Cambria" w:cs="Univers"/>
          <w:sz w:val="20"/>
          <w:szCs w:val="20"/>
          <w:lang w:val="es-ES"/>
        </w:rPr>
        <w:t xml:space="preserve">en la medida pertinente, </w:t>
      </w:r>
      <w:r w:rsidRPr="00845503">
        <w:rPr>
          <w:rFonts w:ascii="Cambria" w:hAnsi="Cambria" w:cs="Univers"/>
          <w:sz w:val="20"/>
          <w:szCs w:val="20"/>
          <w:lang w:val="es-ES"/>
        </w:rPr>
        <w:t>que establece que:</w:t>
      </w:r>
    </w:p>
    <w:p w:rsidR="003021B7" w:rsidRPr="00845503" w:rsidRDefault="003021B7" w:rsidP="0046202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Univers"/>
          <w:sz w:val="20"/>
          <w:szCs w:val="20"/>
          <w:lang w:val="es-ES"/>
        </w:rPr>
      </w:pPr>
      <w:r w:rsidRPr="00845503">
        <w:rPr>
          <w:rFonts w:ascii="Cambria" w:hAnsi="Cambria" w:cs="Univers"/>
          <w:sz w:val="20"/>
          <w:szCs w:val="20"/>
          <w:lang w:val="es-ES"/>
        </w:rPr>
        <w:t xml:space="preserve"> </w:t>
      </w:r>
    </w:p>
    <w:p w:rsidR="003021B7" w:rsidRPr="00845503" w:rsidRDefault="003021B7" w:rsidP="00875A4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cs="Univers"/>
          <w:sz w:val="20"/>
          <w:szCs w:val="20"/>
          <w:lang w:val="es-ES"/>
        </w:rPr>
      </w:pPr>
      <w:r w:rsidRPr="00845503">
        <w:rPr>
          <w:rFonts w:ascii="Cambria" w:hAnsi="Cambria" w:cs="Univers"/>
          <w:sz w:val="20"/>
          <w:szCs w:val="20"/>
          <w:lang w:val="es-ES"/>
        </w:rPr>
        <w:t>Se presumirán verdaderos los hechos alegados en la petición cuyas partes pertinentes hayan sido transmitidas al Estado en cuestión, si éste no suministra información relevante para controvertirlos dentro del plazo fijado por la Comisión conforme al artículo 38 del presente Reglamento, siempre que de otros elementos de convicción no resulte una conclusión contraria.</w:t>
      </w:r>
    </w:p>
    <w:p w:rsidR="003021B7" w:rsidRPr="00845503" w:rsidRDefault="003021B7" w:rsidP="0046202E">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Univers"/>
          <w:sz w:val="20"/>
          <w:szCs w:val="20"/>
          <w:lang w:val="es-ES"/>
        </w:rPr>
      </w:pPr>
    </w:p>
    <w:p w:rsidR="00323F92" w:rsidRPr="00845503" w:rsidRDefault="007A2AF1"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Univers"/>
          <w:sz w:val="20"/>
          <w:szCs w:val="20"/>
          <w:lang w:val="es-ES"/>
        </w:rPr>
      </w:pPr>
      <w:r w:rsidRPr="00845503">
        <w:rPr>
          <w:rFonts w:ascii="Cambria" w:hAnsi="Cambria" w:cs="Univers"/>
          <w:sz w:val="20"/>
          <w:szCs w:val="20"/>
          <w:lang w:val="es-ES"/>
        </w:rPr>
        <w:t>L</w:t>
      </w:r>
      <w:r w:rsidR="00455461" w:rsidRPr="00845503">
        <w:rPr>
          <w:rFonts w:ascii="Cambria" w:hAnsi="Cambria" w:cs="Univers"/>
          <w:sz w:val="20"/>
          <w:szCs w:val="20"/>
          <w:lang w:val="es-ES"/>
        </w:rPr>
        <w:t xml:space="preserve">a CIDH </w:t>
      </w:r>
      <w:r w:rsidR="00455461" w:rsidRPr="00845503">
        <w:rPr>
          <w:rFonts w:ascii="Cambria" w:hAnsi="Cambria"/>
          <w:color w:val="000000"/>
          <w:sz w:val="20"/>
          <w:szCs w:val="20"/>
          <w:lang w:val="es-ES"/>
        </w:rPr>
        <w:t>para su análisis consideró</w:t>
      </w:r>
      <w:r w:rsidR="002F3996" w:rsidRPr="00845503">
        <w:rPr>
          <w:rFonts w:ascii="Cambria" w:hAnsi="Cambria"/>
          <w:color w:val="000000"/>
          <w:sz w:val="20"/>
          <w:szCs w:val="20"/>
          <w:lang w:val="es-ES"/>
        </w:rPr>
        <w:t xml:space="preserve"> la información contenida en</w:t>
      </w:r>
      <w:r w:rsidR="00073C97" w:rsidRPr="00845503">
        <w:rPr>
          <w:rFonts w:ascii="Cambria" w:hAnsi="Cambria"/>
          <w:color w:val="000000"/>
          <w:sz w:val="20"/>
          <w:szCs w:val="20"/>
          <w:lang w:val="es-ES"/>
        </w:rPr>
        <w:t xml:space="preserve"> </w:t>
      </w:r>
      <w:r w:rsidR="00443AEC" w:rsidRPr="00845503">
        <w:rPr>
          <w:rFonts w:ascii="Cambria" w:hAnsi="Cambria"/>
          <w:color w:val="000000"/>
          <w:sz w:val="20"/>
          <w:szCs w:val="20"/>
          <w:lang w:val="es-ES"/>
        </w:rPr>
        <w:t>el escrito de</w:t>
      </w:r>
      <w:r w:rsidR="00073C97" w:rsidRPr="00845503">
        <w:rPr>
          <w:rFonts w:ascii="Cambria" w:hAnsi="Cambria"/>
          <w:color w:val="000000"/>
          <w:sz w:val="20"/>
          <w:szCs w:val="20"/>
          <w:lang w:val="es-ES"/>
        </w:rPr>
        <w:t xml:space="preserve"> conclusiones provisionales acusatorias del Fiscal de 16 de septiembre de 1998</w:t>
      </w:r>
      <w:r w:rsidR="00073C97" w:rsidRPr="00845503">
        <w:rPr>
          <w:rStyle w:val="FootnoteReference"/>
          <w:rFonts w:ascii="Cambria" w:hAnsi="Cambria"/>
          <w:color w:val="000000"/>
          <w:sz w:val="20"/>
          <w:szCs w:val="20"/>
          <w:lang w:val="es-ES"/>
        </w:rPr>
        <w:footnoteReference w:id="3"/>
      </w:r>
      <w:r w:rsidR="00443AEC" w:rsidRPr="00845503">
        <w:rPr>
          <w:rFonts w:ascii="Cambria" w:hAnsi="Cambria"/>
          <w:color w:val="000000"/>
          <w:sz w:val="20"/>
          <w:szCs w:val="20"/>
          <w:lang w:val="es-ES"/>
        </w:rPr>
        <w:t xml:space="preserve">, </w:t>
      </w:r>
      <w:r w:rsidR="002F3996" w:rsidRPr="00845503">
        <w:rPr>
          <w:rFonts w:ascii="Cambria" w:hAnsi="Cambria"/>
          <w:color w:val="000000"/>
          <w:sz w:val="20"/>
          <w:szCs w:val="20"/>
          <w:lang w:val="es-ES"/>
        </w:rPr>
        <w:t xml:space="preserve"> la</w:t>
      </w:r>
      <w:r w:rsidR="00455461" w:rsidRPr="00845503">
        <w:rPr>
          <w:rFonts w:ascii="Cambria" w:hAnsi="Cambria"/>
          <w:color w:val="000000"/>
          <w:sz w:val="20"/>
          <w:szCs w:val="20"/>
          <w:lang w:val="es-ES"/>
        </w:rPr>
        <w:t xml:space="preserve"> sentencia</w:t>
      </w:r>
      <w:r w:rsidR="00323F92" w:rsidRPr="00845503">
        <w:rPr>
          <w:rFonts w:ascii="Cambria" w:hAnsi="Cambria"/>
          <w:color w:val="000000"/>
          <w:sz w:val="20"/>
          <w:szCs w:val="20"/>
          <w:lang w:val="es-ES"/>
        </w:rPr>
        <w:t xml:space="preserve"> </w:t>
      </w:r>
      <w:r w:rsidR="00A66F31" w:rsidRPr="00845503">
        <w:rPr>
          <w:rFonts w:ascii="Cambria" w:hAnsi="Cambria"/>
          <w:color w:val="000000"/>
          <w:sz w:val="20"/>
          <w:szCs w:val="20"/>
          <w:lang w:val="es-ES"/>
        </w:rPr>
        <w:t xml:space="preserve">No. </w:t>
      </w:r>
      <w:r w:rsidR="00323F92" w:rsidRPr="00845503">
        <w:rPr>
          <w:rFonts w:ascii="Cambria" w:hAnsi="Cambria"/>
          <w:color w:val="000000"/>
          <w:sz w:val="20"/>
          <w:szCs w:val="20"/>
          <w:lang w:val="es-ES"/>
        </w:rPr>
        <w:t xml:space="preserve">2.999 de la Sala de los Delitos contra la Seguridad del Estado del Tribunal Provincial de la Habana </w:t>
      </w:r>
      <w:r w:rsidR="00443AEC" w:rsidRPr="00845503">
        <w:rPr>
          <w:rFonts w:ascii="Cambria" w:hAnsi="Cambria"/>
          <w:color w:val="000000"/>
          <w:sz w:val="20"/>
          <w:szCs w:val="20"/>
          <w:lang w:val="es-ES"/>
        </w:rPr>
        <w:t>d</w:t>
      </w:r>
      <w:r w:rsidR="00CA2AE1" w:rsidRPr="00845503">
        <w:rPr>
          <w:rFonts w:ascii="Cambria" w:hAnsi="Cambria"/>
          <w:color w:val="000000"/>
          <w:sz w:val="20"/>
          <w:szCs w:val="20"/>
          <w:lang w:val="es-ES"/>
        </w:rPr>
        <w:t>ictada el</w:t>
      </w:r>
      <w:r w:rsidR="00443AEC" w:rsidRPr="00845503">
        <w:rPr>
          <w:rFonts w:ascii="Cambria" w:hAnsi="Cambria"/>
          <w:color w:val="000000"/>
          <w:sz w:val="20"/>
          <w:szCs w:val="20"/>
          <w:lang w:val="es-ES"/>
        </w:rPr>
        <w:t xml:space="preserve"> </w:t>
      </w:r>
      <w:r w:rsidR="00323F92" w:rsidRPr="00845503">
        <w:rPr>
          <w:rFonts w:ascii="Cambria" w:hAnsi="Cambria"/>
          <w:color w:val="000000"/>
          <w:sz w:val="20"/>
          <w:szCs w:val="20"/>
          <w:lang w:val="es-ES"/>
        </w:rPr>
        <w:t>4 de marzo de 1999</w:t>
      </w:r>
      <w:r w:rsidR="00443AEC" w:rsidRPr="00845503">
        <w:rPr>
          <w:rStyle w:val="FootnoteReference"/>
          <w:rFonts w:ascii="Cambria" w:hAnsi="Cambria"/>
          <w:color w:val="000000"/>
          <w:sz w:val="20"/>
          <w:szCs w:val="20"/>
          <w:lang w:val="es-ES"/>
        </w:rPr>
        <w:footnoteReference w:id="4"/>
      </w:r>
      <w:r w:rsidR="00323F92" w:rsidRPr="00845503">
        <w:rPr>
          <w:rFonts w:ascii="Cambria" w:hAnsi="Cambria"/>
          <w:color w:val="000000"/>
          <w:sz w:val="20"/>
          <w:szCs w:val="20"/>
          <w:lang w:val="es-ES"/>
        </w:rPr>
        <w:t xml:space="preserve"> y la sentencia </w:t>
      </w:r>
      <w:r w:rsidR="00CA2AE1" w:rsidRPr="00845503">
        <w:rPr>
          <w:rFonts w:ascii="Cambria" w:hAnsi="Cambria"/>
          <w:color w:val="000000"/>
          <w:sz w:val="20"/>
          <w:szCs w:val="20"/>
          <w:lang w:val="es-ES"/>
        </w:rPr>
        <w:t xml:space="preserve">de casación </w:t>
      </w:r>
      <w:r w:rsidR="00323F92" w:rsidRPr="00845503">
        <w:rPr>
          <w:rFonts w:ascii="Cambria" w:hAnsi="Cambria"/>
          <w:color w:val="000000"/>
          <w:sz w:val="20"/>
          <w:szCs w:val="20"/>
          <w:lang w:val="es-ES"/>
        </w:rPr>
        <w:t>No. 4 del Tribunal Supremo Popular dictada el 9 de febrero de 2000</w:t>
      </w:r>
      <w:r w:rsidR="00443AEC" w:rsidRPr="00845503">
        <w:rPr>
          <w:rStyle w:val="FootnoteReference"/>
          <w:rFonts w:ascii="Cambria" w:hAnsi="Cambria"/>
          <w:color w:val="000000"/>
          <w:sz w:val="20"/>
          <w:szCs w:val="20"/>
          <w:lang w:val="es-ES"/>
        </w:rPr>
        <w:footnoteReference w:id="5"/>
      </w:r>
      <w:r w:rsidR="00A66F31" w:rsidRPr="00845503">
        <w:rPr>
          <w:rFonts w:ascii="Cambria" w:hAnsi="Cambria"/>
          <w:color w:val="000000"/>
          <w:sz w:val="20"/>
          <w:szCs w:val="20"/>
          <w:lang w:val="es-ES"/>
        </w:rPr>
        <w:t xml:space="preserve"> en relación con los hechos del presente caso.</w:t>
      </w:r>
    </w:p>
    <w:p w:rsidR="00455461" w:rsidRPr="00845503" w:rsidRDefault="00323F92" w:rsidP="00323F9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Univers"/>
          <w:sz w:val="20"/>
          <w:szCs w:val="20"/>
          <w:lang w:val="es-ES"/>
        </w:rPr>
      </w:pPr>
      <w:r w:rsidRPr="00845503">
        <w:rPr>
          <w:rFonts w:ascii="Cambria" w:hAnsi="Cambria" w:cs="Univers"/>
          <w:sz w:val="20"/>
          <w:szCs w:val="20"/>
          <w:lang w:val="es-ES"/>
        </w:rPr>
        <w:t xml:space="preserve"> </w:t>
      </w:r>
    </w:p>
    <w:p w:rsidR="003021B7" w:rsidRPr="00845503" w:rsidRDefault="003021B7"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Univers"/>
          <w:sz w:val="20"/>
          <w:szCs w:val="20"/>
          <w:lang w:val="es-ES"/>
        </w:rPr>
      </w:pPr>
      <w:r w:rsidRPr="00845503">
        <w:rPr>
          <w:rFonts w:ascii="Cambria" w:hAnsi="Cambria" w:cs="Univers"/>
          <w:sz w:val="20"/>
          <w:szCs w:val="20"/>
          <w:lang w:val="es-ES"/>
        </w:rPr>
        <w:t>Por tanto, la Comisión considera acreditados los hechos respecto de las presuntas víctimas que se describen en los párrafos siguientes</w:t>
      </w:r>
      <w:r w:rsidR="00284816" w:rsidRPr="00845503">
        <w:rPr>
          <w:rFonts w:ascii="Cambria" w:hAnsi="Cambria" w:cs="Univers"/>
          <w:sz w:val="20"/>
          <w:szCs w:val="20"/>
          <w:lang w:val="es-ES"/>
        </w:rPr>
        <w:t>:</w:t>
      </w:r>
    </w:p>
    <w:p w:rsidR="00BC5A9C" w:rsidRPr="00845503" w:rsidRDefault="00BC5A9C" w:rsidP="0046202E">
      <w:pPr>
        <w:jc w:val="both"/>
        <w:rPr>
          <w:rFonts w:ascii="Cambria" w:hAnsi="Cambria" w:cs="Arial"/>
          <w:b/>
          <w:sz w:val="20"/>
          <w:szCs w:val="20"/>
          <w:lang w:val="es-CO"/>
        </w:rPr>
      </w:pPr>
    </w:p>
    <w:p w:rsidR="00576EB4" w:rsidRPr="00845503" w:rsidRDefault="00BC5A9C" w:rsidP="009C22C5">
      <w:pPr>
        <w:pStyle w:val="Heading3"/>
        <w:numPr>
          <w:ilvl w:val="0"/>
          <w:numId w:val="66"/>
        </w:numPr>
        <w:spacing w:before="0" w:after="0"/>
        <w:ind w:firstLine="0"/>
        <w:jc w:val="both"/>
        <w:rPr>
          <w:rFonts w:ascii="Cambria" w:hAnsi="Cambria"/>
          <w:sz w:val="20"/>
          <w:szCs w:val="20"/>
          <w:lang w:val="es-CO"/>
        </w:rPr>
      </w:pPr>
      <w:bookmarkStart w:id="8" w:name="_Toc505951341"/>
      <w:r w:rsidRPr="00A14219">
        <w:rPr>
          <w:rStyle w:val="Heading2Char"/>
          <w:rFonts w:ascii="Cambria" w:hAnsi="Cambria"/>
          <w:b/>
          <w:i w:val="0"/>
          <w:sz w:val="20"/>
          <w:szCs w:val="20"/>
          <w:lang w:val="es-ES"/>
        </w:rPr>
        <w:t xml:space="preserve">Sobre </w:t>
      </w:r>
      <w:r w:rsidR="00CE244F" w:rsidRPr="00A14219">
        <w:rPr>
          <w:rStyle w:val="Heading2Char"/>
          <w:rFonts w:ascii="Cambria" w:hAnsi="Cambria"/>
          <w:b/>
          <w:i w:val="0"/>
          <w:sz w:val="20"/>
          <w:szCs w:val="20"/>
          <w:lang w:val="es-ES"/>
        </w:rPr>
        <w:t>e</w:t>
      </w:r>
      <w:r w:rsidR="005227D1" w:rsidRPr="00A14219">
        <w:rPr>
          <w:rStyle w:val="Heading2Char"/>
          <w:rFonts w:ascii="Cambria" w:hAnsi="Cambria"/>
          <w:b/>
          <w:i w:val="0"/>
          <w:sz w:val="20"/>
          <w:szCs w:val="20"/>
          <w:lang w:val="es-ES"/>
        </w:rPr>
        <w:t xml:space="preserve">l Grupo de Trabajo de </w:t>
      </w:r>
      <w:r w:rsidR="007A2AF1" w:rsidRPr="00A14219">
        <w:rPr>
          <w:rStyle w:val="Heading2Char"/>
          <w:rFonts w:ascii="Cambria" w:hAnsi="Cambria"/>
          <w:b/>
          <w:i w:val="0"/>
          <w:sz w:val="20"/>
          <w:szCs w:val="20"/>
          <w:lang w:val="es-ES"/>
        </w:rPr>
        <w:t xml:space="preserve">la </w:t>
      </w:r>
      <w:r w:rsidR="005227D1" w:rsidRPr="00A14219">
        <w:rPr>
          <w:rStyle w:val="Heading2Char"/>
          <w:rFonts w:ascii="Cambria" w:hAnsi="Cambria"/>
          <w:b/>
          <w:i w:val="0"/>
          <w:sz w:val="20"/>
          <w:szCs w:val="20"/>
          <w:lang w:val="es-ES"/>
        </w:rPr>
        <w:t>Disidencia Interna</w:t>
      </w:r>
      <w:r w:rsidR="009C2221" w:rsidRPr="00845503">
        <w:rPr>
          <w:rStyle w:val="FootnoteReference"/>
          <w:rFonts w:ascii="Cambria" w:hAnsi="Cambria"/>
          <w:sz w:val="20"/>
          <w:szCs w:val="20"/>
          <w:lang w:val="es-CO"/>
        </w:rPr>
        <w:footnoteReference w:id="6"/>
      </w:r>
      <w:bookmarkEnd w:id="8"/>
    </w:p>
    <w:p w:rsidR="00576EB4" w:rsidRPr="00845503" w:rsidRDefault="00576EB4" w:rsidP="0046202E">
      <w:pPr>
        <w:jc w:val="both"/>
        <w:rPr>
          <w:rFonts w:ascii="Cambria" w:hAnsi="Cambria" w:cs="Arial"/>
          <w:sz w:val="20"/>
          <w:szCs w:val="20"/>
          <w:lang w:val="es-CO"/>
        </w:rPr>
      </w:pPr>
    </w:p>
    <w:p w:rsidR="0034598E" w:rsidRPr="00845503" w:rsidRDefault="00375147"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sz w:val="20"/>
          <w:szCs w:val="20"/>
          <w:lang w:val="es-ES"/>
        </w:rPr>
        <w:t>Vladimiro Roca Antúnez</w:t>
      </w:r>
      <w:r w:rsidR="00077E07" w:rsidRPr="00845503">
        <w:rPr>
          <w:rFonts w:ascii="Cambria" w:hAnsi="Cambria"/>
          <w:b/>
          <w:i/>
          <w:sz w:val="20"/>
          <w:szCs w:val="20"/>
          <w:lang w:val="es-ES"/>
        </w:rPr>
        <w:t xml:space="preserve"> </w:t>
      </w:r>
      <w:r w:rsidR="0057029C" w:rsidRPr="00845503">
        <w:rPr>
          <w:rFonts w:ascii="Cambria" w:hAnsi="Cambria"/>
          <w:sz w:val="20"/>
          <w:szCs w:val="20"/>
          <w:lang w:val="es-ES"/>
        </w:rPr>
        <w:t xml:space="preserve">nació el 21 de diciembre de 1942 en la ciudad de la Habana. </w:t>
      </w:r>
      <w:r w:rsidR="0034598E" w:rsidRPr="00845503">
        <w:rPr>
          <w:rFonts w:ascii="Cambria" w:hAnsi="Cambria"/>
          <w:sz w:val="20"/>
          <w:szCs w:val="20"/>
          <w:lang w:val="es-ES"/>
        </w:rPr>
        <w:t xml:space="preserve">Es hijo del líder </w:t>
      </w:r>
      <w:r w:rsidR="00D6023B" w:rsidRPr="00845503">
        <w:rPr>
          <w:rFonts w:ascii="Cambria" w:hAnsi="Cambria"/>
          <w:sz w:val="20"/>
          <w:szCs w:val="20"/>
          <w:lang w:val="es-ES"/>
        </w:rPr>
        <w:t>comunista</w:t>
      </w:r>
      <w:r w:rsidR="0034598E" w:rsidRPr="00845503">
        <w:rPr>
          <w:rFonts w:ascii="Cambria" w:hAnsi="Cambria"/>
          <w:sz w:val="20"/>
          <w:szCs w:val="20"/>
          <w:lang w:val="es-ES"/>
        </w:rPr>
        <w:t xml:space="preserve"> Blas Roca Calderio</w:t>
      </w:r>
      <w:r w:rsidR="005B0B2B" w:rsidRPr="00845503">
        <w:rPr>
          <w:rFonts w:ascii="Cambria" w:hAnsi="Cambria"/>
          <w:sz w:val="20"/>
          <w:szCs w:val="20"/>
          <w:lang w:val="es-ES"/>
        </w:rPr>
        <w:t>, uno de los fundadores del Partido Comunista Cubano</w:t>
      </w:r>
      <w:r w:rsidR="009263F0" w:rsidRPr="00845503">
        <w:rPr>
          <w:rFonts w:ascii="Cambria" w:hAnsi="Cambria"/>
          <w:sz w:val="20"/>
          <w:szCs w:val="20"/>
          <w:lang w:val="es-ES"/>
        </w:rPr>
        <w:t>.</w:t>
      </w:r>
      <w:r w:rsidR="0034598E" w:rsidRPr="00845503">
        <w:rPr>
          <w:rFonts w:ascii="Cambria" w:hAnsi="Cambria"/>
          <w:sz w:val="20"/>
          <w:szCs w:val="20"/>
          <w:lang w:val="es-ES"/>
        </w:rPr>
        <w:t xml:space="preserve"> </w:t>
      </w:r>
      <w:r w:rsidR="00A31849" w:rsidRPr="00845503">
        <w:rPr>
          <w:rFonts w:ascii="Cambria" w:hAnsi="Cambria"/>
          <w:sz w:val="20"/>
          <w:szCs w:val="20"/>
          <w:lang w:val="es-ES"/>
        </w:rPr>
        <w:t>Vladimiro</w:t>
      </w:r>
      <w:r w:rsidR="0034598E" w:rsidRPr="00845503">
        <w:rPr>
          <w:rFonts w:ascii="Cambria" w:hAnsi="Cambria"/>
          <w:sz w:val="20"/>
          <w:szCs w:val="20"/>
          <w:lang w:val="es-ES"/>
        </w:rPr>
        <w:t xml:space="preserve"> Roca </w:t>
      </w:r>
      <w:r w:rsidR="005B0B2B" w:rsidRPr="00845503">
        <w:rPr>
          <w:rFonts w:ascii="Cambria" w:hAnsi="Cambria"/>
          <w:sz w:val="20"/>
          <w:szCs w:val="20"/>
          <w:lang w:val="es-ES"/>
        </w:rPr>
        <w:t xml:space="preserve">estudió aviación en la antigua Unión </w:t>
      </w:r>
      <w:r w:rsidR="00A31849" w:rsidRPr="00845503">
        <w:rPr>
          <w:rFonts w:ascii="Cambria" w:hAnsi="Cambria"/>
          <w:sz w:val="20"/>
          <w:szCs w:val="20"/>
          <w:lang w:val="es-ES"/>
        </w:rPr>
        <w:t>Soviética</w:t>
      </w:r>
      <w:r w:rsidR="005B0B2B" w:rsidRPr="00845503">
        <w:rPr>
          <w:rFonts w:ascii="Cambria" w:hAnsi="Cambria"/>
          <w:sz w:val="20"/>
          <w:szCs w:val="20"/>
          <w:lang w:val="es-ES"/>
        </w:rPr>
        <w:t xml:space="preserve"> y </w:t>
      </w:r>
      <w:r w:rsidR="0034598E" w:rsidRPr="00845503">
        <w:rPr>
          <w:rFonts w:ascii="Cambria" w:hAnsi="Cambria"/>
          <w:sz w:val="20"/>
          <w:szCs w:val="20"/>
          <w:lang w:val="es-ES"/>
        </w:rPr>
        <w:t xml:space="preserve">fue piloto de la Fuerza </w:t>
      </w:r>
      <w:r w:rsidR="00A31849" w:rsidRPr="00845503">
        <w:rPr>
          <w:rFonts w:ascii="Cambria" w:hAnsi="Cambria"/>
          <w:sz w:val="20"/>
          <w:szCs w:val="20"/>
          <w:lang w:val="es-ES"/>
        </w:rPr>
        <w:t>Aérea</w:t>
      </w:r>
      <w:r w:rsidR="0034598E" w:rsidRPr="00845503">
        <w:rPr>
          <w:rFonts w:ascii="Cambria" w:hAnsi="Cambria"/>
          <w:sz w:val="20"/>
          <w:szCs w:val="20"/>
          <w:lang w:val="es-ES"/>
        </w:rPr>
        <w:t xml:space="preserve"> Cubana por </w:t>
      </w:r>
      <w:r w:rsidR="00D679E8" w:rsidRPr="00845503">
        <w:rPr>
          <w:rFonts w:ascii="Cambria" w:hAnsi="Cambria"/>
          <w:sz w:val="20"/>
          <w:szCs w:val="20"/>
          <w:lang w:val="es-ES"/>
        </w:rPr>
        <w:t>diez</w:t>
      </w:r>
      <w:r w:rsidR="0034598E" w:rsidRPr="00845503">
        <w:rPr>
          <w:rFonts w:ascii="Cambria" w:hAnsi="Cambria"/>
          <w:sz w:val="20"/>
          <w:szCs w:val="20"/>
          <w:lang w:val="es-ES"/>
        </w:rPr>
        <w:t xml:space="preserve"> años</w:t>
      </w:r>
      <w:r w:rsidR="005B0B2B" w:rsidRPr="00845503">
        <w:rPr>
          <w:rFonts w:ascii="Cambria" w:hAnsi="Cambria"/>
          <w:sz w:val="20"/>
          <w:szCs w:val="20"/>
          <w:lang w:val="es-ES"/>
        </w:rPr>
        <w:t xml:space="preserve">. </w:t>
      </w:r>
      <w:r w:rsidR="0034598E" w:rsidRPr="00845503">
        <w:rPr>
          <w:rFonts w:ascii="Cambria" w:hAnsi="Cambria"/>
          <w:sz w:val="20"/>
          <w:szCs w:val="20"/>
          <w:lang w:val="es-ES"/>
        </w:rPr>
        <w:t xml:space="preserve"> </w:t>
      </w:r>
      <w:r w:rsidR="005B0B2B" w:rsidRPr="00845503">
        <w:rPr>
          <w:rFonts w:ascii="Cambria" w:hAnsi="Cambria"/>
          <w:sz w:val="20"/>
          <w:szCs w:val="20"/>
          <w:lang w:val="es-ES"/>
        </w:rPr>
        <w:t>Asimismo, e</w:t>
      </w:r>
      <w:r w:rsidR="0034598E" w:rsidRPr="00845503">
        <w:rPr>
          <w:rFonts w:ascii="Cambria" w:hAnsi="Cambria"/>
          <w:sz w:val="20"/>
          <w:szCs w:val="20"/>
          <w:lang w:val="es-ES"/>
        </w:rPr>
        <w:t>studi</w:t>
      </w:r>
      <w:r w:rsidR="009263F0" w:rsidRPr="00845503">
        <w:rPr>
          <w:rFonts w:ascii="Cambria" w:hAnsi="Cambria"/>
          <w:sz w:val="20"/>
          <w:szCs w:val="20"/>
          <w:lang w:val="es-ES"/>
        </w:rPr>
        <w:t>ó Relaciones Econó</w:t>
      </w:r>
      <w:r w:rsidR="0034598E" w:rsidRPr="00845503">
        <w:rPr>
          <w:rFonts w:ascii="Cambria" w:hAnsi="Cambria"/>
          <w:sz w:val="20"/>
          <w:szCs w:val="20"/>
          <w:lang w:val="es-ES"/>
        </w:rPr>
        <w:t>micas Internacionales en el Instituto Superior de Relaciones Internacionales Cubano</w:t>
      </w:r>
      <w:r w:rsidR="005B0B2B" w:rsidRPr="00845503">
        <w:rPr>
          <w:rFonts w:ascii="Cambria" w:hAnsi="Cambria"/>
          <w:sz w:val="20"/>
          <w:szCs w:val="20"/>
          <w:lang w:val="es-ES"/>
        </w:rPr>
        <w:t xml:space="preserve"> y trabajó como especialista </w:t>
      </w:r>
      <w:r w:rsidR="00D679E8" w:rsidRPr="00845503">
        <w:rPr>
          <w:rFonts w:ascii="Cambria" w:hAnsi="Cambria"/>
          <w:sz w:val="20"/>
          <w:szCs w:val="20"/>
          <w:lang w:val="es-ES"/>
        </w:rPr>
        <w:t xml:space="preserve">del gobierno en </w:t>
      </w:r>
      <w:r w:rsidR="005B0B2B" w:rsidRPr="00845503">
        <w:rPr>
          <w:rFonts w:ascii="Cambria" w:hAnsi="Cambria"/>
          <w:sz w:val="20"/>
          <w:szCs w:val="20"/>
          <w:lang w:val="es-ES"/>
        </w:rPr>
        <w:t>el Comité Estatal de Colaboración Económica</w:t>
      </w:r>
      <w:r w:rsidR="001A0D13" w:rsidRPr="00845503">
        <w:rPr>
          <w:rFonts w:ascii="Cambria" w:hAnsi="Cambria"/>
          <w:sz w:val="20"/>
          <w:szCs w:val="20"/>
          <w:lang w:val="es-ES"/>
        </w:rPr>
        <w:t>. En 1991 fundó el movimiento “</w:t>
      </w:r>
      <w:r w:rsidR="0034598E" w:rsidRPr="00845503">
        <w:rPr>
          <w:rFonts w:ascii="Cambria" w:hAnsi="Cambria"/>
          <w:sz w:val="20"/>
          <w:szCs w:val="20"/>
          <w:lang w:val="es-ES"/>
        </w:rPr>
        <w:t>Corriente Socialista Popular</w:t>
      </w:r>
      <w:r w:rsidR="001A0D13" w:rsidRPr="00845503">
        <w:rPr>
          <w:rFonts w:ascii="Cambria" w:hAnsi="Cambria"/>
          <w:sz w:val="20"/>
          <w:szCs w:val="20"/>
          <w:lang w:val="es-ES"/>
        </w:rPr>
        <w:t>”</w:t>
      </w:r>
      <w:r w:rsidR="0034598E" w:rsidRPr="00845503">
        <w:rPr>
          <w:rFonts w:ascii="Cambria" w:hAnsi="Cambria"/>
          <w:sz w:val="20"/>
          <w:szCs w:val="20"/>
          <w:lang w:val="es-ES"/>
        </w:rPr>
        <w:t xml:space="preserve">. </w:t>
      </w:r>
      <w:r w:rsidR="00D679E8" w:rsidRPr="00845503">
        <w:rPr>
          <w:rFonts w:ascii="Cambria" w:hAnsi="Cambria"/>
          <w:sz w:val="20"/>
          <w:szCs w:val="20"/>
          <w:lang w:val="es-ES"/>
        </w:rPr>
        <w:t>En la é</w:t>
      </w:r>
      <w:r w:rsidR="005B0B2B" w:rsidRPr="00845503">
        <w:rPr>
          <w:rFonts w:ascii="Cambria" w:hAnsi="Cambria"/>
          <w:sz w:val="20"/>
          <w:szCs w:val="20"/>
          <w:lang w:val="es-ES"/>
        </w:rPr>
        <w:t xml:space="preserve">poca de los hechos, Roca Antúnez era presidente del Comité Gestor del Partido </w:t>
      </w:r>
      <w:r w:rsidR="00D679E8" w:rsidRPr="00845503">
        <w:rPr>
          <w:rFonts w:ascii="Cambria" w:hAnsi="Cambria"/>
          <w:sz w:val="20"/>
          <w:szCs w:val="20"/>
          <w:lang w:val="es-ES"/>
        </w:rPr>
        <w:t xml:space="preserve">Social </w:t>
      </w:r>
      <w:r w:rsidR="00A31849" w:rsidRPr="00845503">
        <w:rPr>
          <w:rFonts w:ascii="Cambria" w:hAnsi="Cambria"/>
          <w:sz w:val="20"/>
          <w:szCs w:val="20"/>
          <w:lang w:val="es-ES"/>
        </w:rPr>
        <w:t>Demócrata</w:t>
      </w:r>
      <w:r w:rsidR="00D679E8" w:rsidRPr="00845503">
        <w:rPr>
          <w:rFonts w:ascii="Cambria" w:hAnsi="Cambria"/>
          <w:sz w:val="20"/>
          <w:szCs w:val="20"/>
          <w:lang w:val="es-ES"/>
        </w:rPr>
        <w:t xml:space="preserve"> de Cuba. Es </w:t>
      </w:r>
      <w:r w:rsidR="00033A4C" w:rsidRPr="00845503">
        <w:rPr>
          <w:rFonts w:ascii="Cambria" w:hAnsi="Cambria"/>
          <w:sz w:val="20"/>
          <w:szCs w:val="20"/>
          <w:lang w:val="es-ES"/>
        </w:rPr>
        <w:t>autor</w:t>
      </w:r>
      <w:r w:rsidR="003D3DAB" w:rsidRPr="00845503">
        <w:rPr>
          <w:rFonts w:ascii="Cambria" w:hAnsi="Cambria"/>
          <w:sz w:val="20"/>
          <w:szCs w:val="20"/>
          <w:lang w:val="es-ES"/>
        </w:rPr>
        <w:t xml:space="preserve"> </w:t>
      </w:r>
      <w:r w:rsidR="00033A4C" w:rsidRPr="00845503">
        <w:rPr>
          <w:rFonts w:ascii="Cambria" w:hAnsi="Cambria"/>
          <w:sz w:val="20"/>
          <w:szCs w:val="20"/>
          <w:lang w:val="es-ES"/>
        </w:rPr>
        <w:t>de</w:t>
      </w:r>
      <w:r w:rsidR="007E2BD6" w:rsidRPr="00845503">
        <w:rPr>
          <w:rFonts w:ascii="Cambria" w:hAnsi="Cambria"/>
          <w:sz w:val="20"/>
          <w:szCs w:val="20"/>
          <w:lang w:val="es-ES"/>
        </w:rPr>
        <w:t xml:space="preserve"> varios </w:t>
      </w:r>
      <w:r w:rsidR="00825672" w:rsidRPr="00845503">
        <w:rPr>
          <w:rFonts w:ascii="Cambria" w:hAnsi="Cambria"/>
          <w:sz w:val="20"/>
          <w:szCs w:val="20"/>
          <w:lang w:val="es-ES"/>
        </w:rPr>
        <w:t>ensayos de análisis sobre la situación socioeconómica de</w:t>
      </w:r>
      <w:r w:rsidR="00D679E8" w:rsidRPr="00845503">
        <w:rPr>
          <w:rFonts w:ascii="Cambria" w:hAnsi="Cambria"/>
          <w:sz w:val="20"/>
          <w:szCs w:val="20"/>
          <w:lang w:val="es-ES"/>
        </w:rPr>
        <w:t>l país.</w:t>
      </w:r>
    </w:p>
    <w:p w:rsidR="0034598E" w:rsidRPr="00845503" w:rsidRDefault="0034598E" w:rsidP="0034598E">
      <w:pPr>
        <w:pStyle w:val="ListParagraph"/>
        <w:rPr>
          <w:sz w:val="20"/>
          <w:szCs w:val="20"/>
          <w:lang w:val="es-ES"/>
        </w:rPr>
      </w:pPr>
    </w:p>
    <w:p w:rsidR="001941C2" w:rsidRPr="00845503" w:rsidRDefault="00C915AE"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sz w:val="20"/>
          <w:szCs w:val="20"/>
          <w:lang w:val="es-ES"/>
        </w:rPr>
        <w:t>René</w:t>
      </w:r>
      <w:r w:rsidR="00375147" w:rsidRPr="00845503">
        <w:rPr>
          <w:rFonts w:ascii="Cambria" w:hAnsi="Cambria"/>
          <w:sz w:val="20"/>
          <w:szCs w:val="20"/>
          <w:lang w:val="es-ES"/>
        </w:rPr>
        <w:t xml:space="preserve"> Gómez Manzano</w:t>
      </w:r>
      <w:r w:rsidR="00077E07" w:rsidRPr="00845503">
        <w:rPr>
          <w:rFonts w:ascii="Cambria" w:hAnsi="Cambria"/>
          <w:sz w:val="20"/>
          <w:szCs w:val="20"/>
          <w:lang w:val="es-ES"/>
        </w:rPr>
        <w:t xml:space="preserve"> </w:t>
      </w:r>
      <w:r w:rsidR="00D679E8" w:rsidRPr="00845503">
        <w:rPr>
          <w:rFonts w:ascii="Cambria" w:hAnsi="Cambria"/>
          <w:sz w:val="20"/>
          <w:szCs w:val="20"/>
          <w:lang w:val="es-ES"/>
        </w:rPr>
        <w:t>nació en la ciudad de la Habana el 19 de diciembre de 1943. Estudió Derecho en la Universidad d</w:t>
      </w:r>
      <w:r w:rsidR="006E4339" w:rsidRPr="00845503">
        <w:rPr>
          <w:rFonts w:ascii="Cambria" w:hAnsi="Cambria"/>
          <w:sz w:val="20"/>
          <w:szCs w:val="20"/>
          <w:lang w:val="es-ES"/>
        </w:rPr>
        <w:t>e la Habana y obtuvo una especializació</w:t>
      </w:r>
      <w:r w:rsidR="00D679E8" w:rsidRPr="00845503">
        <w:rPr>
          <w:rFonts w:ascii="Cambria" w:hAnsi="Cambria"/>
          <w:sz w:val="20"/>
          <w:szCs w:val="20"/>
          <w:lang w:val="es-ES"/>
        </w:rPr>
        <w:t xml:space="preserve">n en Derecho Internacional en la Universidad </w:t>
      </w:r>
      <w:r w:rsidR="006E4339" w:rsidRPr="00845503">
        <w:rPr>
          <w:rFonts w:ascii="Cambria" w:hAnsi="Cambria"/>
          <w:sz w:val="20"/>
          <w:szCs w:val="20"/>
          <w:lang w:val="es-ES"/>
        </w:rPr>
        <w:t>moscovita</w:t>
      </w:r>
      <w:r w:rsidR="00D679E8" w:rsidRPr="00845503">
        <w:rPr>
          <w:rFonts w:ascii="Cambria" w:hAnsi="Cambria"/>
          <w:sz w:val="20"/>
          <w:szCs w:val="20"/>
          <w:lang w:val="es-ES"/>
        </w:rPr>
        <w:t xml:space="preserve"> Patrice Lumumba. </w:t>
      </w:r>
      <w:r w:rsidR="006E4339" w:rsidRPr="00845503">
        <w:rPr>
          <w:rFonts w:ascii="Cambria" w:hAnsi="Cambria"/>
          <w:sz w:val="20"/>
          <w:szCs w:val="20"/>
          <w:lang w:val="es-ES"/>
        </w:rPr>
        <w:t xml:space="preserve">Desde 1968 trabajó en los bufetes colectivos, siendo elegido por </w:t>
      </w:r>
      <w:r w:rsidR="00A31849" w:rsidRPr="00845503">
        <w:rPr>
          <w:rFonts w:ascii="Cambria" w:hAnsi="Cambria"/>
          <w:sz w:val="20"/>
          <w:szCs w:val="20"/>
          <w:lang w:val="es-ES"/>
        </w:rPr>
        <w:t>sus colegas delegados</w:t>
      </w:r>
      <w:r w:rsidR="006E4339" w:rsidRPr="00845503">
        <w:rPr>
          <w:rFonts w:ascii="Cambria" w:hAnsi="Cambria"/>
          <w:sz w:val="20"/>
          <w:szCs w:val="20"/>
          <w:lang w:val="es-ES"/>
        </w:rPr>
        <w:t xml:space="preserve"> ante la Asamblea General de la Organización Nacional de los Bufetes Colectivos</w:t>
      </w:r>
      <w:r w:rsidR="001C3170" w:rsidRPr="00845503">
        <w:rPr>
          <w:rFonts w:ascii="Cambria" w:hAnsi="Cambria"/>
          <w:sz w:val="20"/>
          <w:szCs w:val="20"/>
          <w:lang w:val="es-ES"/>
        </w:rPr>
        <w:t xml:space="preserve">. Se especializó en la defensa penal de personas acusadas de cometer delitos contra la seguridad del estado. Asumió la defensa de opositores y activistas de derechos humanos. Fundó la organización </w:t>
      </w:r>
      <w:r w:rsidR="00BC4ED1" w:rsidRPr="00845503">
        <w:rPr>
          <w:rFonts w:ascii="Cambria" w:hAnsi="Cambria"/>
          <w:sz w:val="20"/>
          <w:szCs w:val="20"/>
          <w:lang w:val="es-ES"/>
        </w:rPr>
        <w:t>“</w:t>
      </w:r>
      <w:r w:rsidR="00226F73" w:rsidRPr="00845503">
        <w:rPr>
          <w:rFonts w:ascii="Cambria" w:hAnsi="Cambria"/>
          <w:sz w:val="20"/>
          <w:szCs w:val="20"/>
          <w:lang w:val="es-ES"/>
        </w:rPr>
        <w:t xml:space="preserve">Corriente </w:t>
      </w:r>
      <w:r w:rsidR="00226F73" w:rsidRPr="00845503">
        <w:rPr>
          <w:rFonts w:ascii="Cambria" w:hAnsi="Cambria"/>
          <w:sz w:val="20"/>
          <w:szCs w:val="20"/>
          <w:lang w:val="es-ES"/>
        </w:rPr>
        <w:lastRenderedPageBreak/>
        <w:t>Agramontista</w:t>
      </w:r>
      <w:r w:rsidR="00BC4ED1" w:rsidRPr="00845503">
        <w:rPr>
          <w:rFonts w:ascii="Cambria" w:hAnsi="Cambria"/>
          <w:sz w:val="20"/>
          <w:szCs w:val="20"/>
          <w:lang w:val="es-ES"/>
        </w:rPr>
        <w:t>”</w:t>
      </w:r>
      <w:r w:rsidR="00086B6C" w:rsidRPr="00845503">
        <w:rPr>
          <w:rFonts w:ascii="Cambria" w:hAnsi="Cambria"/>
          <w:sz w:val="20"/>
          <w:szCs w:val="20"/>
          <w:lang w:val="es-ES"/>
        </w:rPr>
        <w:t>,</w:t>
      </w:r>
      <w:r w:rsidR="00226F73" w:rsidRPr="00845503">
        <w:rPr>
          <w:rFonts w:ascii="Cambria" w:hAnsi="Cambria"/>
          <w:sz w:val="20"/>
          <w:szCs w:val="20"/>
          <w:lang w:val="es-ES"/>
        </w:rPr>
        <w:t xml:space="preserve"> una organizació</w:t>
      </w:r>
      <w:r w:rsidR="00077E07" w:rsidRPr="00845503">
        <w:rPr>
          <w:rFonts w:ascii="Cambria" w:hAnsi="Cambria"/>
          <w:sz w:val="20"/>
          <w:szCs w:val="20"/>
          <w:lang w:val="es-ES"/>
        </w:rPr>
        <w:t xml:space="preserve">n de abogados independientes dedicados a </w:t>
      </w:r>
      <w:r w:rsidR="00226F73" w:rsidRPr="00845503">
        <w:rPr>
          <w:rFonts w:ascii="Cambria" w:hAnsi="Cambria"/>
          <w:sz w:val="20"/>
          <w:szCs w:val="20"/>
          <w:lang w:val="es-ES"/>
        </w:rPr>
        <w:t>la restauraci</w:t>
      </w:r>
      <w:r w:rsidR="00086B6C" w:rsidRPr="00845503">
        <w:rPr>
          <w:rFonts w:ascii="Cambria" w:hAnsi="Cambria"/>
          <w:sz w:val="20"/>
          <w:szCs w:val="20"/>
          <w:lang w:val="es-ES"/>
        </w:rPr>
        <w:t>ón de la democracia en la isla</w:t>
      </w:r>
      <w:r w:rsidR="00A83558" w:rsidRPr="00845503">
        <w:rPr>
          <w:rFonts w:ascii="Cambria" w:hAnsi="Cambria"/>
          <w:sz w:val="20"/>
          <w:szCs w:val="20"/>
          <w:lang w:val="es-ES"/>
        </w:rPr>
        <w:t xml:space="preserve">, y elaboró trabajos </w:t>
      </w:r>
      <w:r w:rsidR="00A31849" w:rsidRPr="00845503">
        <w:rPr>
          <w:rFonts w:ascii="Cambria" w:hAnsi="Cambria"/>
          <w:sz w:val="20"/>
          <w:szCs w:val="20"/>
          <w:lang w:val="es-ES"/>
        </w:rPr>
        <w:t>críticos</w:t>
      </w:r>
      <w:r w:rsidR="00A83558" w:rsidRPr="00845503">
        <w:rPr>
          <w:rFonts w:ascii="Cambria" w:hAnsi="Cambria"/>
          <w:sz w:val="20"/>
          <w:szCs w:val="20"/>
          <w:lang w:val="es-ES"/>
        </w:rPr>
        <w:t xml:space="preserve"> sobre la </w:t>
      </w:r>
      <w:r w:rsidR="00A31849" w:rsidRPr="00845503">
        <w:rPr>
          <w:rFonts w:ascii="Cambria" w:hAnsi="Cambria"/>
          <w:sz w:val="20"/>
          <w:szCs w:val="20"/>
          <w:lang w:val="es-ES"/>
        </w:rPr>
        <w:t>legislación</w:t>
      </w:r>
      <w:r w:rsidR="00A83558" w:rsidRPr="00845503">
        <w:rPr>
          <w:rFonts w:ascii="Cambria" w:hAnsi="Cambria"/>
          <w:sz w:val="20"/>
          <w:szCs w:val="20"/>
          <w:lang w:val="es-ES"/>
        </w:rPr>
        <w:t xml:space="preserve"> vigente, memoriales solicitando reformas legislativas, reclamando el restablecimiento del libre ejercicio de la abogacía y la independencia de la administración de justicia. </w:t>
      </w:r>
      <w:r w:rsidR="005A2977" w:rsidRPr="00845503">
        <w:rPr>
          <w:rFonts w:ascii="Cambria" w:hAnsi="Cambria"/>
          <w:sz w:val="20"/>
          <w:szCs w:val="20"/>
          <w:lang w:val="es-ES"/>
        </w:rPr>
        <w:t xml:space="preserve"> </w:t>
      </w:r>
    </w:p>
    <w:p w:rsidR="001941C2" w:rsidRPr="00845503" w:rsidRDefault="001941C2" w:rsidP="001941C2">
      <w:pPr>
        <w:pStyle w:val="ListParagraph"/>
        <w:rPr>
          <w:sz w:val="20"/>
          <w:szCs w:val="20"/>
          <w:lang w:val="es-ES"/>
        </w:rPr>
      </w:pPr>
    </w:p>
    <w:p w:rsidR="00152354" w:rsidRPr="00845503" w:rsidRDefault="00967821"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
          <w:i/>
          <w:sz w:val="20"/>
          <w:szCs w:val="20"/>
          <w:lang w:val="es-ES"/>
        </w:rPr>
      </w:pPr>
      <w:r w:rsidRPr="00845503">
        <w:rPr>
          <w:rFonts w:ascii="Cambria" w:hAnsi="Cambria"/>
          <w:sz w:val="20"/>
          <w:szCs w:val="20"/>
          <w:lang w:val="es-ES"/>
        </w:rPr>
        <w:t>Martha</w:t>
      </w:r>
      <w:r w:rsidR="005A2977" w:rsidRPr="00845503">
        <w:rPr>
          <w:rFonts w:ascii="Cambria" w:hAnsi="Cambria"/>
          <w:sz w:val="20"/>
          <w:szCs w:val="20"/>
          <w:lang w:val="es-ES"/>
        </w:rPr>
        <w:t xml:space="preserve"> Beatriz Roque Cabello</w:t>
      </w:r>
      <w:r w:rsidR="00A83558" w:rsidRPr="00845503">
        <w:rPr>
          <w:rFonts w:ascii="Cambria" w:hAnsi="Cambria"/>
          <w:sz w:val="20"/>
          <w:szCs w:val="20"/>
          <w:lang w:val="es-ES"/>
        </w:rPr>
        <w:t xml:space="preserve"> nació el 16 de mayo de 1945 en la ciudad de la Habana.  Estudió Economía en la Universidad de la Habana. </w:t>
      </w:r>
      <w:r w:rsidR="00403B68" w:rsidRPr="00845503">
        <w:rPr>
          <w:rFonts w:ascii="Cambria" w:hAnsi="Cambria"/>
          <w:sz w:val="20"/>
          <w:szCs w:val="20"/>
          <w:lang w:val="es-ES"/>
        </w:rPr>
        <w:t xml:space="preserve">Fue profesora de economía de esa casa de estudios. En la </w:t>
      </w:r>
      <w:r w:rsidR="00403B68" w:rsidRPr="00845503">
        <w:rPr>
          <w:rFonts w:ascii="Cambria" w:hAnsi="Cambria" w:cs="Arial"/>
          <w:sz w:val="20"/>
          <w:szCs w:val="20"/>
          <w:lang w:val="es-ES"/>
        </w:rPr>
        <w:t>época de los hechos, Roque Cabello era</w:t>
      </w:r>
      <w:r w:rsidR="005227D1" w:rsidRPr="00845503">
        <w:rPr>
          <w:rFonts w:ascii="Cambria" w:hAnsi="Cambria"/>
          <w:sz w:val="20"/>
          <w:szCs w:val="20"/>
          <w:lang w:val="es-ES"/>
        </w:rPr>
        <w:t xml:space="preserve"> d</w:t>
      </w:r>
      <w:r w:rsidR="003D3DAB" w:rsidRPr="00845503">
        <w:rPr>
          <w:rFonts w:ascii="Cambria" w:hAnsi="Cambria"/>
          <w:sz w:val="20"/>
          <w:szCs w:val="20"/>
          <w:lang w:val="es-ES"/>
        </w:rPr>
        <w:t>irectora del Instituto Cubano de Economistas Independientes</w:t>
      </w:r>
      <w:r w:rsidR="00403B68" w:rsidRPr="00845503">
        <w:rPr>
          <w:rFonts w:ascii="Cambria" w:hAnsi="Cambria"/>
          <w:sz w:val="20"/>
          <w:szCs w:val="20"/>
          <w:lang w:val="es-ES"/>
        </w:rPr>
        <w:t xml:space="preserve">, organización no gubernamental dedicada al estudio de la economía en el país. Fue coordinadora del Grupo de Trabajo de la Disidencia Interna y tuvo a su cargo la producción y divulgación del boletín del grupo. Es </w:t>
      </w:r>
      <w:r w:rsidR="00086B6C" w:rsidRPr="00845503">
        <w:rPr>
          <w:rFonts w:ascii="Cambria" w:hAnsi="Cambria"/>
          <w:sz w:val="20"/>
          <w:szCs w:val="20"/>
          <w:lang w:val="es-ES"/>
        </w:rPr>
        <w:t>autora de</w:t>
      </w:r>
      <w:r w:rsidR="003D3DAB" w:rsidRPr="00845503">
        <w:rPr>
          <w:rFonts w:ascii="Cambria" w:hAnsi="Cambria"/>
          <w:sz w:val="20"/>
          <w:szCs w:val="20"/>
          <w:lang w:val="es-ES"/>
        </w:rPr>
        <w:t xml:space="preserve"> artículos en revistas </w:t>
      </w:r>
      <w:r w:rsidR="001A1958" w:rsidRPr="00845503">
        <w:rPr>
          <w:rFonts w:ascii="Cambria" w:hAnsi="Cambria"/>
          <w:sz w:val="20"/>
          <w:szCs w:val="20"/>
          <w:lang w:val="es-ES"/>
        </w:rPr>
        <w:t>internacionales</w:t>
      </w:r>
      <w:r w:rsidR="003D3DAB" w:rsidRPr="00845503">
        <w:rPr>
          <w:rFonts w:ascii="Cambria" w:hAnsi="Cambria"/>
          <w:sz w:val="20"/>
          <w:szCs w:val="20"/>
          <w:lang w:val="es-ES"/>
        </w:rPr>
        <w:t xml:space="preserve"> sobre la economía </w:t>
      </w:r>
      <w:r w:rsidR="007C31B7" w:rsidRPr="00845503">
        <w:rPr>
          <w:rFonts w:ascii="Cambria" w:hAnsi="Cambria"/>
          <w:sz w:val="20"/>
          <w:szCs w:val="20"/>
          <w:lang w:val="es-ES"/>
        </w:rPr>
        <w:t>cubana</w:t>
      </w:r>
      <w:r w:rsidR="00C44D08" w:rsidRPr="00845503">
        <w:rPr>
          <w:rStyle w:val="FootnoteReference"/>
          <w:rFonts w:ascii="Cambria" w:hAnsi="Cambria"/>
          <w:sz w:val="20"/>
          <w:szCs w:val="20"/>
          <w:lang w:val="es-ES"/>
        </w:rPr>
        <w:footnoteReference w:id="7"/>
      </w:r>
      <w:r w:rsidR="00403B68" w:rsidRPr="00845503">
        <w:rPr>
          <w:rFonts w:ascii="Cambria" w:hAnsi="Cambria"/>
          <w:sz w:val="20"/>
          <w:szCs w:val="20"/>
          <w:lang w:val="es-ES"/>
        </w:rPr>
        <w:t xml:space="preserve">. </w:t>
      </w:r>
    </w:p>
    <w:p w:rsidR="00C44D08" w:rsidRPr="00845503" w:rsidRDefault="00C44D08" w:rsidP="00C44D08">
      <w:pPr>
        <w:pStyle w:val="ListParagraph"/>
        <w:rPr>
          <w:b/>
          <w:i/>
          <w:sz w:val="20"/>
          <w:szCs w:val="20"/>
          <w:lang w:val="es-ES"/>
        </w:rPr>
      </w:pPr>
    </w:p>
    <w:p w:rsidR="0057029C" w:rsidRPr="00845503" w:rsidRDefault="00463E1B"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sz w:val="20"/>
          <w:szCs w:val="20"/>
          <w:lang w:val="es-ES"/>
        </w:rPr>
        <w:t xml:space="preserve">Félix Bonne Carcassés </w:t>
      </w:r>
      <w:r w:rsidR="007F7B79" w:rsidRPr="00845503">
        <w:rPr>
          <w:rFonts w:ascii="Cambria" w:hAnsi="Cambria"/>
          <w:sz w:val="20"/>
          <w:szCs w:val="20"/>
          <w:lang w:val="es-ES"/>
        </w:rPr>
        <w:t>nació el 13 de junio de 1939 en Santiago de Cuba</w:t>
      </w:r>
      <w:r w:rsidR="008E723A" w:rsidRPr="00845503">
        <w:rPr>
          <w:rFonts w:ascii="Cambria" w:hAnsi="Cambria"/>
          <w:sz w:val="20"/>
          <w:szCs w:val="20"/>
          <w:lang w:val="es-ES"/>
        </w:rPr>
        <w:t>. E</w:t>
      </w:r>
      <w:r w:rsidR="00113E04" w:rsidRPr="00845503">
        <w:rPr>
          <w:rFonts w:ascii="Cambria" w:hAnsi="Cambria"/>
          <w:sz w:val="20"/>
          <w:szCs w:val="20"/>
          <w:lang w:val="es-ES"/>
        </w:rPr>
        <w:t>studi</w:t>
      </w:r>
      <w:r w:rsidR="007F7B79" w:rsidRPr="00845503">
        <w:rPr>
          <w:rFonts w:ascii="Cambria" w:hAnsi="Cambria"/>
          <w:sz w:val="20"/>
          <w:szCs w:val="20"/>
          <w:lang w:val="es-ES"/>
        </w:rPr>
        <w:t>ó Ingenier</w:t>
      </w:r>
      <w:r w:rsidR="008E723A" w:rsidRPr="00845503">
        <w:rPr>
          <w:rFonts w:ascii="Cambria" w:hAnsi="Cambria"/>
          <w:sz w:val="20"/>
          <w:szCs w:val="20"/>
          <w:lang w:val="es-ES"/>
        </w:rPr>
        <w:t>ía Elé</w:t>
      </w:r>
      <w:r w:rsidR="00113E04" w:rsidRPr="00845503">
        <w:rPr>
          <w:rFonts w:ascii="Cambria" w:hAnsi="Cambria"/>
          <w:sz w:val="20"/>
          <w:szCs w:val="20"/>
          <w:lang w:val="es-ES"/>
        </w:rPr>
        <w:t>ctrica en la Universidad Tecnológica de la Habana</w:t>
      </w:r>
      <w:r w:rsidR="007F7B79" w:rsidRPr="00845503">
        <w:rPr>
          <w:rFonts w:ascii="Cambria" w:hAnsi="Cambria"/>
          <w:sz w:val="20"/>
          <w:szCs w:val="20"/>
          <w:lang w:val="es-ES"/>
        </w:rPr>
        <w:t>, Ciudad Universitaria José Antonio Echeverría</w:t>
      </w:r>
      <w:r w:rsidR="00113E04" w:rsidRPr="00845503">
        <w:rPr>
          <w:rFonts w:ascii="Cambria" w:hAnsi="Cambria"/>
          <w:sz w:val="20"/>
          <w:szCs w:val="20"/>
          <w:lang w:val="es-ES"/>
        </w:rPr>
        <w:t xml:space="preserve"> (CUJAE). Fue profesor </w:t>
      </w:r>
      <w:r w:rsidR="00A31849" w:rsidRPr="00845503">
        <w:rPr>
          <w:rFonts w:ascii="Cambria" w:hAnsi="Cambria"/>
          <w:sz w:val="20"/>
          <w:szCs w:val="20"/>
          <w:lang w:val="es-ES"/>
        </w:rPr>
        <w:t>titular</w:t>
      </w:r>
      <w:r w:rsidR="00113E04" w:rsidRPr="00845503">
        <w:rPr>
          <w:rFonts w:ascii="Cambria" w:hAnsi="Cambria"/>
          <w:sz w:val="20"/>
          <w:szCs w:val="20"/>
          <w:lang w:val="es-ES"/>
        </w:rPr>
        <w:t xml:space="preserve"> de la cátedra</w:t>
      </w:r>
      <w:r w:rsidR="003D0087" w:rsidRPr="00845503">
        <w:rPr>
          <w:rFonts w:ascii="Cambria" w:hAnsi="Cambria"/>
          <w:sz w:val="20"/>
          <w:szCs w:val="20"/>
          <w:lang w:val="es-ES"/>
        </w:rPr>
        <w:t xml:space="preserve"> de i</w:t>
      </w:r>
      <w:r w:rsidR="00113E04" w:rsidRPr="00845503">
        <w:rPr>
          <w:rFonts w:ascii="Cambria" w:hAnsi="Cambria"/>
          <w:sz w:val="20"/>
          <w:szCs w:val="20"/>
          <w:lang w:val="es-ES"/>
        </w:rPr>
        <w:t>ngenier</w:t>
      </w:r>
      <w:r w:rsidR="003D0087" w:rsidRPr="00845503">
        <w:rPr>
          <w:rFonts w:ascii="Cambria" w:hAnsi="Cambria"/>
          <w:sz w:val="20"/>
          <w:szCs w:val="20"/>
          <w:lang w:val="es-ES"/>
        </w:rPr>
        <w:t>ía en la CUJAE</w:t>
      </w:r>
      <w:r w:rsidR="00113E04" w:rsidRPr="00845503">
        <w:rPr>
          <w:rFonts w:ascii="Cambria" w:hAnsi="Cambria"/>
          <w:sz w:val="20"/>
          <w:szCs w:val="20"/>
          <w:lang w:val="es-ES"/>
        </w:rPr>
        <w:t xml:space="preserve"> y profesor</w:t>
      </w:r>
      <w:r w:rsidR="003D0087" w:rsidRPr="00845503">
        <w:rPr>
          <w:rFonts w:ascii="Cambria" w:hAnsi="Cambria"/>
          <w:sz w:val="20"/>
          <w:szCs w:val="20"/>
          <w:lang w:val="es-ES"/>
        </w:rPr>
        <w:t xml:space="preserve"> de la cátedra de f</w:t>
      </w:r>
      <w:r w:rsidR="00113E04" w:rsidRPr="00845503">
        <w:rPr>
          <w:rFonts w:ascii="Cambria" w:hAnsi="Cambria"/>
          <w:sz w:val="20"/>
          <w:szCs w:val="20"/>
          <w:lang w:val="es-ES"/>
        </w:rPr>
        <w:t xml:space="preserve">ísica </w:t>
      </w:r>
      <w:r w:rsidR="003D0087" w:rsidRPr="00845503">
        <w:rPr>
          <w:rFonts w:ascii="Cambria" w:hAnsi="Cambria"/>
          <w:sz w:val="20"/>
          <w:szCs w:val="20"/>
          <w:lang w:val="es-ES"/>
        </w:rPr>
        <w:t xml:space="preserve">de la Universidad de la Habana. Fue uno de los fundadores </w:t>
      </w:r>
      <w:r w:rsidR="00987DEC" w:rsidRPr="00845503">
        <w:rPr>
          <w:rFonts w:ascii="Cambria" w:hAnsi="Cambria"/>
          <w:sz w:val="20"/>
          <w:szCs w:val="20"/>
          <w:lang w:val="es-ES"/>
        </w:rPr>
        <w:t xml:space="preserve">de la organización </w:t>
      </w:r>
      <w:r w:rsidR="00086B6C" w:rsidRPr="00845503">
        <w:rPr>
          <w:rFonts w:ascii="Cambria" w:hAnsi="Cambria"/>
          <w:sz w:val="20"/>
          <w:szCs w:val="20"/>
          <w:lang w:val="es-ES"/>
        </w:rPr>
        <w:t>“</w:t>
      </w:r>
      <w:r w:rsidR="00987DEC" w:rsidRPr="00845503">
        <w:rPr>
          <w:rFonts w:ascii="Cambria" w:hAnsi="Cambria"/>
          <w:sz w:val="20"/>
          <w:szCs w:val="20"/>
          <w:lang w:val="es-ES"/>
        </w:rPr>
        <w:t>Corriente Cívica Cubana</w:t>
      </w:r>
      <w:r w:rsidR="00086B6C" w:rsidRPr="00845503">
        <w:rPr>
          <w:rFonts w:ascii="Cambria" w:hAnsi="Cambria"/>
          <w:sz w:val="20"/>
          <w:szCs w:val="20"/>
          <w:lang w:val="es-ES"/>
        </w:rPr>
        <w:t>”</w:t>
      </w:r>
      <w:r w:rsidR="003D0087" w:rsidRPr="00845503">
        <w:rPr>
          <w:rFonts w:ascii="Cambria" w:hAnsi="Cambria"/>
          <w:sz w:val="20"/>
          <w:szCs w:val="20"/>
          <w:lang w:val="es-ES"/>
        </w:rPr>
        <w:t xml:space="preserve">, que agrupó a </w:t>
      </w:r>
      <w:r w:rsidR="008E723A" w:rsidRPr="00845503">
        <w:rPr>
          <w:rFonts w:ascii="Cambria" w:hAnsi="Cambria"/>
          <w:sz w:val="20"/>
          <w:szCs w:val="20"/>
          <w:lang w:val="es-ES"/>
        </w:rPr>
        <w:t xml:space="preserve">varios </w:t>
      </w:r>
      <w:r w:rsidR="003D0087" w:rsidRPr="00845503">
        <w:rPr>
          <w:rFonts w:ascii="Cambria" w:hAnsi="Cambria"/>
          <w:sz w:val="20"/>
          <w:szCs w:val="20"/>
          <w:lang w:val="es-ES"/>
        </w:rPr>
        <w:t xml:space="preserve">profesores universitarios que habían dirigido una “Carta Abierta a Castro”, demandando apertura democrática en el país. Fue expulsado de la Universidad de la Habana por esta acción. </w:t>
      </w:r>
      <w:r w:rsidR="007F7B79" w:rsidRPr="00845503">
        <w:rPr>
          <w:rFonts w:ascii="Cambria" w:hAnsi="Cambria"/>
          <w:sz w:val="20"/>
          <w:szCs w:val="20"/>
          <w:lang w:val="es-ES"/>
        </w:rPr>
        <w:t xml:space="preserve"> </w:t>
      </w:r>
      <w:r w:rsidR="00E37F71" w:rsidRPr="00845503">
        <w:rPr>
          <w:rFonts w:ascii="Cambria" w:hAnsi="Cambria"/>
          <w:sz w:val="20"/>
          <w:szCs w:val="20"/>
          <w:lang w:val="es-ES"/>
        </w:rPr>
        <w:t>La CIDH tomó conocimiento que Bonne Carcassés  m</w:t>
      </w:r>
      <w:r w:rsidR="007F7B79" w:rsidRPr="00845503">
        <w:rPr>
          <w:rFonts w:ascii="Cambria" w:hAnsi="Cambria"/>
          <w:sz w:val="20"/>
          <w:szCs w:val="20"/>
          <w:lang w:val="es-ES"/>
        </w:rPr>
        <w:t>urió el 6 de e</w:t>
      </w:r>
      <w:r w:rsidR="00E37F71" w:rsidRPr="00845503">
        <w:rPr>
          <w:rFonts w:ascii="Cambria" w:hAnsi="Cambria"/>
          <w:sz w:val="20"/>
          <w:szCs w:val="20"/>
          <w:lang w:val="es-ES"/>
        </w:rPr>
        <w:t xml:space="preserve">nero de 2017, </w:t>
      </w:r>
      <w:r w:rsidR="00E37F71" w:rsidRPr="00845503">
        <w:rPr>
          <w:rFonts w:ascii="Cambria" w:hAnsi="Cambria" w:cs="Arial"/>
          <w:sz w:val="20"/>
          <w:szCs w:val="20"/>
          <w:lang w:val="es-CO"/>
        </w:rPr>
        <w:t>como consecuencia de un ataque cardíaco</w:t>
      </w:r>
      <w:r w:rsidR="00E37F71" w:rsidRPr="00845503">
        <w:rPr>
          <w:rStyle w:val="FootnoteReference"/>
          <w:rFonts w:ascii="Cambria" w:hAnsi="Cambria" w:cs="Arial"/>
          <w:sz w:val="20"/>
          <w:szCs w:val="20"/>
          <w:lang w:val="es-CO"/>
        </w:rPr>
        <w:footnoteReference w:id="8"/>
      </w:r>
      <w:r w:rsidR="00E37F71" w:rsidRPr="00845503">
        <w:rPr>
          <w:rFonts w:ascii="Cambria" w:hAnsi="Cambria" w:cs="Arial"/>
          <w:sz w:val="20"/>
          <w:szCs w:val="20"/>
          <w:lang w:val="es-CO"/>
        </w:rPr>
        <w:t>.</w:t>
      </w:r>
    </w:p>
    <w:p w:rsidR="00E37F71" w:rsidRPr="00845503" w:rsidRDefault="00E37F71" w:rsidP="00E37F71">
      <w:pPr>
        <w:pStyle w:val="ListParagraph"/>
        <w:rPr>
          <w:rFonts w:cs="Arial"/>
          <w:sz w:val="20"/>
          <w:szCs w:val="20"/>
          <w:lang w:val="es-CO"/>
        </w:rPr>
      </w:pPr>
    </w:p>
    <w:p w:rsidR="0057029C" w:rsidRPr="00845503" w:rsidRDefault="0057029C"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En</w:t>
      </w:r>
      <w:r w:rsidR="007F7B79" w:rsidRPr="00845503">
        <w:rPr>
          <w:rFonts w:ascii="Cambria" w:hAnsi="Cambria" w:cs="Arial"/>
          <w:sz w:val="20"/>
          <w:szCs w:val="20"/>
          <w:lang w:val="es-CO"/>
        </w:rPr>
        <w:t xml:space="preserve"> a</w:t>
      </w:r>
      <w:r w:rsidRPr="00845503">
        <w:rPr>
          <w:rFonts w:ascii="Cambria" w:hAnsi="Cambria" w:cs="Arial"/>
          <w:sz w:val="20"/>
          <w:szCs w:val="20"/>
          <w:lang w:val="es-CO"/>
        </w:rPr>
        <w:t xml:space="preserve">gosto de 1996, Vladimiro Roca </w:t>
      </w:r>
      <w:r w:rsidRPr="00845503">
        <w:rPr>
          <w:rFonts w:ascii="Cambria" w:hAnsi="Cambria"/>
          <w:sz w:val="20"/>
          <w:szCs w:val="20"/>
          <w:lang w:val="es-ES"/>
        </w:rPr>
        <w:t>Antúnez</w:t>
      </w:r>
      <w:r w:rsidRPr="00845503">
        <w:rPr>
          <w:rFonts w:ascii="Cambria" w:hAnsi="Cambria" w:cs="Arial"/>
          <w:sz w:val="20"/>
          <w:szCs w:val="20"/>
          <w:lang w:val="es-CO"/>
        </w:rPr>
        <w:t xml:space="preserve">, René Gómez Manzano, </w:t>
      </w:r>
      <w:r w:rsidR="00967821" w:rsidRPr="00845503">
        <w:rPr>
          <w:rFonts w:ascii="Cambria" w:hAnsi="Cambria" w:cs="Arial"/>
          <w:sz w:val="20"/>
          <w:szCs w:val="20"/>
          <w:lang w:val="es-CO"/>
        </w:rPr>
        <w:t>Martha</w:t>
      </w:r>
      <w:r w:rsidRPr="00845503">
        <w:rPr>
          <w:rFonts w:ascii="Cambria" w:hAnsi="Cambria" w:cs="Arial"/>
          <w:sz w:val="20"/>
          <w:szCs w:val="20"/>
          <w:lang w:val="es-CO"/>
        </w:rPr>
        <w:t xml:space="preserve"> Beatriz Roque Cabello y </w:t>
      </w:r>
      <w:r w:rsidRPr="00845503">
        <w:rPr>
          <w:rFonts w:ascii="Cambria" w:hAnsi="Cambria"/>
          <w:sz w:val="20"/>
          <w:szCs w:val="20"/>
          <w:lang w:val="es-ES"/>
        </w:rPr>
        <w:t>Félix Bonne Carcassés</w:t>
      </w:r>
      <w:r w:rsidRPr="00845503">
        <w:rPr>
          <w:rFonts w:ascii="Cambria" w:hAnsi="Cambria" w:cs="Arial"/>
          <w:sz w:val="20"/>
          <w:szCs w:val="20"/>
          <w:lang w:val="es-CO"/>
        </w:rPr>
        <w:t xml:space="preserve"> conformaron el “Grupo de Trabajo de la Disidencia Interna” dedicado al estudio sobre la situación socioeconómica de Cuba </w:t>
      </w:r>
      <w:r w:rsidRPr="00845503">
        <w:rPr>
          <w:rFonts w:ascii="Cambria" w:hAnsi="Cambria" w:cs="Arial"/>
          <w:sz w:val="20"/>
          <w:szCs w:val="20"/>
          <w:lang w:val="es-ES"/>
        </w:rPr>
        <w:t>y la difusión de documentos y boletines que promovían ideas para la transición pacífica hacia la democracia en Cuba</w:t>
      </w:r>
      <w:r w:rsidRPr="00845503">
        <w:rPr>
          <w:rFonts w:ascii="Cambria" w:hAnsi="Cambria" w:cs="Arial"/>
          <w:sz w:val="20"/>
          <w:szCs w:val="20"/>
          <w:lang w:val="es-CO"/>
        </w:rPr>
        <w:t xml:space="preserve">. </w:t>
      </w:r>
    </w:p>
    <w:p w:rsidR="00990ADB" w:rsidRPr="00845503" w:rsidRDefault="00990ADB" w:rsidP="00990ADB">
      <w:pPr>
        <w:pStyle w:val="ListParagraph"/>
        <w:rPr>
          <w:rFonts w:cs="Arial"/>
          <w:sz w:val="20"/>
          <w:szCs w:val="20"/>
          <w:lang w:val="es-CO"/>
        </w:rPr>
      </w:pPr>
    </w:p>
    <w:p w:rsidR="000E58C5" w:rsidRPr="00845503" w:rsidRDefault="00C915AE"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 xml:space="preserve">El primer documento elaborado por el </w:t>
      </w:r>
      <w:r w:rsidR="00315820" w:rsidRPr="00845503">
        <w:rPr>
          <w:rFonts w:ascii="Cambria" w:hAnsi="Cambria" w:cs="Arial"/>
          <w:sz w:val="20"/>
          <w:szCs w:val="20"/>
          <w:lang w:val="es-CO"/>
        </w:rPr>
        <w:t xml:space="preserve">Grupo de Trabajo </w:t>
      </w:r>
      <w:r w:rsidRPr="00845503">
        <w:rPr>
          <w:rFonts w:ascii="Cambria" w:hAnsi="Cambria" w:cs="Arial"/>
          <w:sz w:val="20"/>
          <w:szCs w:val="20"/>
          <w:lang w:val="es-CO"/>
        </w:rPr>
        <w:t>fue</w:t>
      </w:r>
      <w:r w:rsidR="00E065B3" w:rsidRPr="00845503">
        <w:rPr>
          <w:rFonts w:ascii="Cambria" w:hAnsi="Cambria" w:cs="Arial"/>
          <w:sz w:val="20"/>
          <w:szCs w:val="20"/>
          <w:lang w:val="es-CO"/>
        </w:rPr>
        <w:t xml:space="preserve"> </w:t>
      </w:r>
      <w:r w:rsidR="00EE46AD" w:rsidRPr="00845503">
        <w:rPr>
          <w:rFonts w:ascii="Cambria" w:hAnsi="Cambria" w:cs="Arial"/>
          <w:sz w:val="20"/>
          <w:szCs w:val="20"/>
          <w:lang w:val="es-CO"/>
        </w:rPr>
        <w:t xml:space="preserve">la </w:t>
      </w:r>
      <w:r w:rsidR="006E5552" w:rsidRPr="00845503">
        <w:rPr>
          <w:rFonts w:ascii="Cambria" w:hAnsi="Cambria" w:cs="Arial"/>
          <w:sz w:val="20"/>
          <w:szCs w:val="20"/>
          <w:lang w:val="es-CO"/>
        </w:rPr>
        <w:t>“Plataforma para la T</w:t>
      </w:r>
      <w:r w:rsidR="00EE46AD" w:rsidRPr="00845503">
        <w:rPr>
          <w:rFonts w:ascii="Cambria" w:hAnsi="Cambria" w:cs="Arial"/>
          <w:sz w:val="20"/>
          <w:szCs w:val="20"/>
          <w:lang w:val="es-CO"/>
        </w:rPr>
        <w:t>ransición</w:t>
      </w:r>
      <w:r w:rsidR="006E5552" w:rsidRPr="00845503">
        <w:rPr>
          <w:rFonts w:ascii="Cambria" w:hAnsi="Cambria" w:cs="Arial"/>
          <w:sz w:val="20"/>
          <w:szCs w:val="20"/>
          <w:lang w:val="es-CO"/>
        </w:rPr>
        <w:t>”</w:t>
      </w:r>
      <w:r w:rsidR="00054210" w:rsidRPr="00845503">
        <w:rPr>
          <w:rStyle w:val="FootnoteReference"/>
          <w:rFonts w:ascii="Cambria" w:hAnsi="Cambria" w:cs="Arial"/>
          <w:sz w:val="20"/>
          <w:szCs w:val="20"/>
          <w:lang w:val="es-CO"/>
        </w:rPr>
        <w:t xml:space="preserve"> </w:t>
      </w:r>
      <w:r w:rsidR="00054210" w:rsidRPr="00845503">
        <w:rPr>
          <w:rStyle w:val="FootnoteReference"/>
          <w:rFonts w:ascii="Cambria" w:hAnsi="Cambria" w:cs="Arial"/>
          <w:sz w:val="20"/>
          <w:szCs w:val="20"/>
          <w:lang w:val="es-CO"/>
        </w:rPr>
        <w:footnoteReference w:id="9"/>
      </w:r>
      <w:r w:rsidR="00B729E4" w:rsidRPr="00845503">
        <w:rPr>
          <w:rFonts w:ascii="Cambria" w:hAnsi="Cambria" w:cs="Arial"/>
          <w:sz w:val="20"/>
          <w:szCs w:val="20"/>
          <w:lang w:val="es-CO"/>
        </w:rPr>
        <w:t xml:space="preserve">. </w:t>
      </w:r>
      <w:r w:rsidR="00BF68D2" w:rsidRPr="00845503">
        <w:rPr>
          <w:rFonts w:ascii="Cambria" w:hAnsi="Cambria" w:cs="Arial"/>
          <w:sz w:val="20"/>
          <w:szCs w:val="20"/>
          <w:lang w:val="es-CO"/>
        </w:rPr>
        <w:t>En dicho documento expresaron</w:t>
      </w:r>
      <w:r w:rsidR="00730A6A" w:rsidRPr="00845503">
        <w:rPr>
          <w:rFonts w:ascii="Cambria" w:hAnsi="Cambria" w:cs="Arial"/>
          <w:sz w:val="20"/>
          <w:szCs w:val="20"/>
          <w:lang w:val="es-CO"/>
        </w:rPr>
        <w:t xml:space="preserve"> </w:t>
      </w:r>
      <w:r w:rsidR="00990ADB" w:rsidRPr="00845503">
        <w:rPr>
          <w:rFonts w:ascii="Cambria" w:hAnsi="Cambria" w:cs="Arial"/>
          <w:sz w:val="20"/>
          <w:szCs w:val="20"/>
          <w:lang w:val="es-CO"/>
        </w:rPr>
        <w:t>que</w:t>
      </w:r>
      <w:r w:rsidR="000E58C5" w:rsidRPr="00845503">
        <w:rPr>
          <w:rFonts w:ascii="Cambria" w:hAnsi="Cambria" w:cs="Arial"/>
          <w:sz w:val="20"/>
          <w:szCs w:val="20"/>
          <w:lang w:val="es-CO"/>
        </w:rPr>
        <w:t xml:space="preserve"> </w:t>
      </w:r>
      <w:r w:rsidR="00730A6A" w:rsidRPr="00845503">
        <w:rPr>
          <w:rFonts w:ascii="Cambria" w:hAnsi="Cambria" w:cs="Arial"/>
          <w:sz w:val="20"/>
          <w:szCs w:val="20"/>
          <w:lang w:val="es-CO"/>
        </w:rPr>
        <w:t>“</w:t>
      </w:r>
      <w:r w:rsidR="0031737E" w:rsidRPr="00845503">
        <w:rPr>
          <w:rFonts w:ascii="Cambria" w:hAnsi="Cambria" w:cs="Arial"/>
          <w:sz w:val="20"/>
          <w:szCs w:val="20"/>
          <w:lang w:val="es-CO"/>
        </w:rPr>
        <w:t>solo un estado de derecho har</w:t>
      </w:r>
      <w:r w:rsidR="00ED4BE7" w:rsidRPr="00845503">
        <w:rPr>
          <w:rFonts w:ascii="Cambria" w:hAnsi="Cambria" w:cs="Arial"/>
          <w:sz w:val="20"/>
          <w:szCs w:val="20"/>
          <w:lang w:val="es-CO"/>
        </w:rPr>
        <w:t>á posible un escenario sociopolí</w:t>
      </w:r>
      <w:r w:rsidR="0031737E" w:rsidRPr="00845503">
        <w:rPr>
          <w:rFonts w:ascii="Cambria" w:hAnsi="Cambria" w:cs="Arial"/>
          <w:sz w:val="20"/>
          <w:szCs w:val="20"/>
          <w:lang w:val="es-CO"/>
        </w:rPr>
        <w:t>tico que genere las condiciones para un mayor nivel de bienestar de la nación cubana</w:t>
      </w:r>
      <w:r w:rsidR="002F66B4" w:rsidRPr="00845503">
        <w:rPr>
          <w:rFonts w:ascii="Cambria" w:hAnsi="Cambria" w:cs="Arial"/>
          <w:sz w:val="20"/>
          <w:szCs w:val="20"/>
          <w:lang w:val="es-CO"/>
        </w:rPr>
        <w:t>”</w:t>
      </w:r>
      <w:r w:rsidR="0031737E" w:rsidRPr="00845503">
        <w:rPr>
          <w:rFonts w:ascii="Cambria" w:hAnsi="Cambria" w:cs="Arial"/>
          <w:sz w:val="20"/>
          <w:szCs w:val="20"/>
          <w:lang w:val="es-CO"/>
        </w:rPr>
        <w:t>.</w:t>
      </w:r>
      <w:r w:rsidR="007F70A0" w:rsidRPr="00845503">
        <w:rPr>
          <w:rFonts w:ascii="Cambria" w:hAnsi="Cambria" w:cs="Arial"/>
          <w:sz w:val="20"/>
          <w:szCs w:val="20"/>
          <w:lang w:val="es-CO"/>
        </w:rPr>
        <w:t xml:space="preserve"> </w:t>
      </w:r>
      <w:r w:rsidR="00990ADB" w:rsidRPr="00845503">
        <w:rPr>
          <w:rFonts w:ascii="Cambria" w:hAnsi="Cambria" w:cs="Arial"/>
          <w:sz w:val="20"/>
          <w:szCs w:val="20"/>
          <w:lang w:val="es-CO"/>
        </w:rPr>
        <w:t xml:space="preserve">Afirmaron que </w:t>
      </w:r>
      <w:r w:rsidR="00990ADB" w:rsidRPr="00845503">
        <w:rPr>
          <w:rFonts w:ascii="Cambria" w:hAnsi="Cambria" w:cs="Arial"/>
          <w:sz w:val="20"/>
          <w:szCs w:val="20"/>
          <w:lang w:val="es-ES"/>
        </w:rPr>
        <w:t>“[l]</w:t>
      </w:r>
      <w:r w:rsidR="00ED4BE7" w:rsidRPr="00845503">
        <w:rPr>
          <w:rFonts w:ascii="Cambria" w:hAnsi="Cambria" w:cs="Arial"/>
          <w:sz w:val="20"/>
          <w:szCs w:val="20"/>
          <w:lang w:val="es-CO"/>
        </w:rPr>
        <w:t xml:space="preserve">a falta de acceso a cualquier fuente de financiamiento externo, la escasa producción y las erradas políticas </w:t>
      </w:r>
      <w:r w:rsidR="00A31849" w:rsidRPr="00845503">
        <w:rPr>
          <w:rFonts w:ascii="Cambria" w:hAnsi="Cambria" w:cs="Arial"/>
          <w:sz w:val="20"/>
          <w:szCs w:val="20"/>
          <w:lang w:val="es-CO"/>
        </w:rPr>
        <w:t>macroeconómicas</w:t>
      </w:r>
      <w:r w:rsidR="00ED4BE7" w:rsidRPr="00845503">
        <w:rPr>
          <w:rFonts w:ascii="Cambria" w:hAnsi="Cambria" w:cs="Arial"/>
          <w:sz w:val="20"/>
          <w:szCs w:val="20"/>
          <w:lang w:val="es-CO"/>
        </w:rPr>
        <w:t xml:space="preserve"> basadas en el centralismo estatal, el desbalance financiero interno, la dependencia de las importaciones, entre otros muchos problemas,</w:t>
      </w:r>
      <w:r w:rsidR="00990ADB" w:rsidRPr="00845503">
        <w:rPr>
          <w:rFonts w:ascii="Cambria" w:hAnsi="Cambria" w:cs="Arial"/>
          <w:sz w:val="20"/>
          <w:szCs w:val="20"/>
          <w:lang w:val="es-CO"/>
        </w:rPr>
        <w:t xml:space="preserve"> no permiten prever una rá</w:t>
      </w:r>
      <w:r w:rsidR="00ED4BE7" w:rsidRPr="00845503">
        <w:rPr>
          <w:rFonts w:ascii="Cambria" w:hAnsi="Cambria" w:cs="Arial"/>
          <w:sz w:val="20"/>
          <w:szCs w:val="20"/>
          <w:lang w:val="es-CO"/>
        </w:rPr>
        <w:t>pida salida de la crisis que atraviesa el país</w:t>
      </w:r>
      <w:r w:rsidR="00990ADB" w:rsidRPr="00845503">
        <w:rPr>
          <w:rFonts w:ascii="Cambria" w:hAnsi="Cambria" w:cs="Arial"/>
          <w:sz w:val="20"/>
          <w:szCs w:val="20"/>
          <w:lang w:val="es-CO"/>
        </w:rPr>
        <w:t>”. “[D]</w:t>
      </w:r>
      <w:r w:rsidR="006D47E2" w:rsidRPr="00845503">
        <w:rPr>
          <w:rFonts w:ascii="Cambria" w:hAnsi="Cambria" w:cs="Arial"/>
          <w:sz w:val="20"/>
          <w:szCs w:val="20"/>
          <w:lang w:val="es-CO"/>
        </w:rPr>
        <w:t>ía a dí</w:t>
      </w:r>
      <w:r w:rsidR="00ED4BE7" w:rsidRPr="00845503">
        <w:rPr>
          <w:rFonts w:ascii="Cambria" w:hAnsi="Cambria" w:cs="Arial"/>
          <w:sz w:val="20"/>
          <w:szCs w:val="20"/>
          <w:lang w:val="es-CO"/>
        </w:rPr>
        <w:t xml:space="preserve">a, la desobediencia civil es un hecho que se manifiesta en forma </w:t>
      </w:r>
      <w:r w:rsidR="00A31849" w:rsidRPr="00845503">
        <w:rPr>
          <w:rFonts w:ascii="Cambria" w:hAnsi="Cambria" w:cs="Arial"/>
          <w:sz w:val="20"/>
          <w:szCs w:val="20"/>
          <w:lang w:val="es-CO"/>
        </w:rPr>
        <w:t>espontánea</w:t>
      </w:r>
      <w:r w:rsidR="00ED4BE7" w:rsidRPr="00845503">
        <w:rPr>
          <w:rFonts w:ascii="Cambria" w:hAnsi="Cambria" w:cs="Arial"/>
          <w:sz w:val="20"/>
          <w:szCs w:val="20"/>
          <w:lang w:val="es-CO"/>
        </w:rPr>
        <w:t xml:space="preserve"> en los diferentes sectores de la población</w:t>
      </w:r>
      <w:r w:rsidR="007529AB" w:rsidRPr="00845503">
        <w:rPr>
          <w:rFonts w:ascii="Cambria" w:hAnsi="Cambria" w:cs="Arial"/>
          <w:sz w:val="20"/>
          <w:szCs w:val="20"/>
          <w:lang w:val="es-CO"/>
        </w:rPr>
        <w:t>, en la misma medida que el estado refuerza sus leyes para mantener el poder y como una manera de transferir su inconformidad por la crisis general que estamos viviendo</w:t>
      </w:r>
      <w:r w:rsidR="000E58C5" w:rsidRPr="00845503">
        <w:rPr>
          <w:rFonts w:ascii="Cambria" w:hAnsi="Cambria" w:cs="Arial"/>
          <w:sz w:val="20"/>
          <w:szCs w:val="20"/>
          <w:lang w:val="es-CO"/>
        </w:rPr>
        <w:t>”</w:t>
      </w:r>
      <w:r w:rsidR="007529AB" w:rsidRPr="00845503">
        <w:rPr>
          <w:rFonts w:ascii="Cambria" w:hAnsi="Cambria" w:cs="Arial"/>
          <w:sz w:val="20"/>
          <w:szCs w:val="20"/>
          <w:lang w:val="es-CO"/>
        </w:rPr>
        <w:t xml:space="preserve">. </w:t>
      </w:r>
    </w:p>
    <w:p w:rsidR="000E58C5" w:rsidRPr="00845503" w:rsidRDefault="000E58C5" w:rsidP="000E58C5">
      <w:pPr>
        <w:pStyle w:val="ListParagraph"/>
        <w:rPr>
          <w:rFonts w:cs="Arial"/>
          <w:sz w:val="20"/>
          <w:szCs w:val="20"/>
          <w:lang w:val="es-CO"/>
        </w:rPr>
      </w:pPr>
    </w:p>
    <w:p w:rsidR="00ED4BE7" w:rsidRPr="00845503" w:rsidRDefault="000E58C5"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Indicaron que “el camino que ha elegido la pequeña oposición visible es la lucha pac</w:t>
      </w:r>
      <w:r w:rsidRPr="00845503">
        <w:rPr>
          <w:rFonts w:ascii="Cambria" w:hAnsi="Cambria" w:cs="Arial"/>
          <w:sz w:val="20"/>
          <w:szCs w:val="20"/>
          <w:lang w:val="es-ES"/>
        </w:rPr>
        <w:t>í</w:t>
      </w:r>
      <w:r w:rsidRPr="00845503">
        <w:rPr>
          <w:rFonts w:ascii="Cambria" w:hAnsi="Cambria" w:cs="Arial"/>
          <w:sz w:val="20"/>
          <w:szCs w:val="20"/>
          <w:lang w:val="es-CO"/>
        </w:rPr>
        <w:t>fica como principal manifestación de su deseo de cambio” y propusieron la “</w:t>
      </w:r>
      <w:r w:rsidR="007529AB" w:rsidRPr="00845503">
        <w:rPr>
          <w:rFonts w:ascii="Cambria" w:hAnsi="Cambria" w:cs="Arial"/>
          <w:sz w:val="20"/>
          <w:szCs w:val="20"/>
          <w:lang w:val="es-CO"/>
        </w:rPr>
        <w:t>Plataforma descrita a continuación</w:t>
      </w:r>
      <w:r w:rsidRPr="00845503">
        <w:rPr>
          <w:rFonts w:ascii="Cambria" w:hAnsi="Cambria" w:cs="Arial"/>
          <w:sz w:val="20"/>
          <w:szCs w:val="20"/>
          <w:lang w:val="es-CO"/>
        </w:rPr>
        <w:t>”</w:t>
      </w:r>
      <w:r w:rsidR="007529AB" w:rsidRPr="00845503">
        <w:rPr>
          <w:rFonts w:ascii="Cambria" w:hAnsi="Cambria" w:cs="Arial"/>
          <w:sz w:val="20"/>
          <w:szCs w:val="20"/>
          <w:lang w:val="es-CO"/>
        </w:rPr>
        <w:t>:</w:t>
      </w:r>
    </w:p>
    <w:p w:rsidR="007529AB" w:rsidRPr="00845503" w:rsidRDefault="007529AB" w:rsidP="00BF68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p>
    <w:p w:rsidR="007529AB" w:rsidRPr="00845503" w:rsidRDefault="007529AB" w:rsidP="004F210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Arial"/>
          <w:sz w:val="20"/>
          <w:szCs w:val="20"/>
          <w:lang w:val="es-CO"/>
        </w:rPr>
      </w:pPr>
      <w:r w:rsidRPr="00845503">
        <w:rPr>
          <w:rFonts w:cs="Arial"/>
          <w:sz w:val="20"/>
          <w:szCs w:val="20"/>
          <w:lang w:val="es-CO"/>
        </w:rPr>
        <w:t>Libertad para los Presos Pol</w:t>
      </w:r>
      <w:r w:rsidR="00173B31" w:rsidRPr="00845503">
        <w:rPr>
          <w:rFonts w:cs="Arial"/>
          <w:sz w:val="20"/>
          <w:szCs w:val="20"/>
          <w:lang w:val="es-CO"/>
        </w:rPr>
        <w:t>í</w:t>
      </w:r>
      <w:r w:rsidRPr="00845503">
        <w:rPr>
          <w:rFonts w:cs="Arial"/>
          <w:sz w:val="20"/>
          <w:szCs w:val="20"/>
          <w:lang w:val="es-CO"/>
        </w:rPr>
        <w:t>ticos</w:t>
      </w:r>
    </w:p>
    <w:p w:rsidR="007529AB" w:rsidRPr="00845503" w:rsidRDefault="007529AB" w:rsidP="004F210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Arial"/>
          <w:sz w:val="20"/>
          <w:szCs w:val="20"/>
          <w:lang w:val="es-CO"/>
        </w:rPr>
      </w:pPr>
      <w:r w:rsidRPr="00845503">
        <w:rPr>
          <w:rFonts w:cs="Arial"/>
          <w:sz w:val="20"/>
          <w:szCs w:val="20"/>
          <w:lang w:val="es-CO"/>
        </w:rPr>
        <w:t xml:space="preserve">Fortalecimiento de un </w:t>
      </w:r>
      <w:r w:rsidR="00377470" w:rsidRPr="00845503">
        <w:rPr>
          <w:rFonts w:cs="Arial"/>
          <w:sz w:val="20"/>
          <w:szCs w:val="20"/>
          <w:lang w:val="es-CO"/>
        </w:rPr>
        <w:t>estado de derecho con plena actividad de la socieda</w:t>
      </w:r>
      <w:r w:rsidR="00173B31" w:rsidRPr="00845503">
        <w:rPr>
          <w:rFonts w:cs="Arial"/>
          <w:sz w:val="20"/>
          <w:szCs w:val="20"/>
          <w:lang w:val="es-CO"/>
        </w:rPr>
        <w:t xml:space="preserve">d civil y las instituciones </w:t>
      </w:r>
      <w:r w:rsidR="00A31849" w:rsidRPr="00845503">
        <w:rPr>
          <w:rFonts w:cs="Arial"/>
          <w:sz w:val="20"/>
          <w:szCs w:val="20"/>
          <w:lang w:val="es-CO"/>
        </w:rPr>
        <w:t>democráticas</w:t>
      </w:r>
    </w:p>
    <w:p w:rsidR="00377470" w:rsidRPr="00845503" w:rsidRDefault="00377470" w:rsidP="004F210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Arial"/>
          <w:sz w:val="20"/>
          <w:szCs w:val="20"/>
          <w:lang w:val="es-CO"/>
        </w:rPr>
      </w:pPr>
      <w:r w:rsidRPr="00845503">
        <w:rPr>
          <w:rFonts w:cs="Arial"/>
          <w:sz w:val="20"/>
          <w:szCs w:val="20"/>
          <w:lang w:val="es-CO"/>
        </w:rPr>
        <w:t>Independencia Econ</w:t>
      </w:r>
      <w:r w:rsidR="00173B31" w:rsidRPr="00845503">
        <w:rPr>
          <w:rFonts w:cs="Arial"/>
          <w:sz w:val="20"/>
          <w:szCs w:val="20"/>
          <w:lang w:val="es-CO"/>
        </w:rPr>
        <w:t>ó</w:t>
      </w:r>
      <w:r w:rsidRPr="00845503">
        <w:rPr>
          <w:rFonts w:cs="Arial"/>
          <w:sz w:val="20"/>
          <w:szCs w:val="20"/>
          <w:lang w:val="es-CO"/>
        </w:rPr>
        <w:t xml:space="preserve">mica que incluya la posibilidad de que los cubanos puedan </w:t>
      </w:r>
      <w:r w:rsidR="00A31849" w:rsidRPr="00845503">
        <w:rPr>
          <w:rFonts w:cs="Arial"/>
          <w:sz w:val="20"/>
          <w:szCs w:val="20"/>
          <w:lang w:val="es-CO"/>
        </w:rPr>
        <w:t>también</w:t>
      </w:r>
      <w:r w:rsidRPr="00845503">
        <w:rPr>
          <w:rFonts w:cs="Arial"/>
          <w:sz w:val="20"/>
          <w:szCs w:val="20"/>
          <w:lang w:val="es-CO"/>
        </w:rPr>
        <w:t xml:space="preserve"> invertir dentro del pa</w:t>
      </w:r>
      <w:r w:rsidR="00173B31" w:rsidRPr="00845503">
        <w:rPr>
          <w:rFonts w:cs="Arial"/>
          <w:sz w:val="20"/>
          <w:szCs w:val="20"/>
          <w:lang w:val="es-CO"/>
        </w:rPr>
        <w:t>ís, tomando en consideració</w:t>
      </w:r>
      <w:r w:rsidRPr="00845503">
        <w:rPr>
          <w:rFonts w:cs="Arial"/>
          <w:sz w:val="20"/>
          <w:szCs w:val="20"/>
          <w:lang w:val="es-CO"/>
        </w:rPr>
        <w:t>n los Principios Arcos proclamados ya hace algún tiempo.</w:t>
      </w:r>
    </w:p>
    <w:p w:rsidR="00377470" w:rsidRPr="00845503" w:rsidRDefault="00173B31" w:rsidP="004F210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Arial"/>
          <w:sz w:val="20"/>
          <w:szCs w:val="20"/>
          <w:lang w:val="es-CO"/>
        </w:rPr>
      </w:pPr>
      <w:r w:rsidRPr="00845503">
        <w:rPr>
          <w:rFonts w:cs="Arial"/>
          <w:sz w:val="20"/>
          <w:szCs w:val="20"/>
          <w:lang w:val="es-CO"/>
        </w:rPr>
        <w:lastRenderedPageBreak/>
        <w:t>Legalizació</w:t>
      </w:r>
      <w:r w:rsidR="00377470" w:rsidRPr="00845503">
        <w:rPr>
          <w:rFonts w:cs="Arial"/>
          <w:sz w:val="20"/>
          <w:szCs w:val="20"/>
          <w:lang w:val="es-CO"/>
        </w:rPr>
        <w:t xml:space="preserve">n de los grupos disidentes. </w:t>
      </w:r>
    </w:p>
    <w:p w:rsidR="00716C91" w:rsidRPr="00845503" w:rsidRDefault="00716C91" w:rsidP="004F210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Arial"/>
          <w:sz w:val="20"/>
          <w:szCs w:val="20"/>
          <w:lang w:val="es-CO"/>
        </w:rPr>
      </w:pPr>
      <w:r w:rsidRPr="00845503">
        <w:rPr>
          <w:rFonts w:cs="Arial"/>
          <w:sz w:val="20"/>
          <w:szCs w:val="20"/>
          <w:lang w:val="es-CO"/>
        </w:rPr>
        <w:t>En el marco del reconocim</w:t>
      </w:r>
      <w:r w:rsidR="00173B31" w:rsidRPr="00845503">
        <w:rPr>
          <w:rFonts w:cs="Arial"/>
          <w:sz w:val="20"/>
          <w:szCs w:val="20"/>
          <w:lang w:val="es-CO"/>
        </w:rPr>
        <w:t>iento de otras corrientes ideoló</w:t>
      </w:r>
      <w:r w:rsidRPr="00845503">
        <w:rPr>
          <w:rFonts w:cs="Arial"/>
          <w:sz w:val="20"/>
          <w:szCs w:val="20"/>
          <w:lang w:val="es-CO"/>
        </w:rPr>
        <w:t>gicas organizadas dentro o fuera del país, convocar a una Asamblea Constituyente que sustituya</w:t>
      </w:r>
      <w:r w:rsidR="00173B31" w:rsidRPr="00845503">
        <w:rPr>
          <w:rFonts w:cs="Arial"/>
          <w:sz w:val="20"/>
          <w:szCs w:val="20"/>
          <w:lang w:val="es-CO"/>
        </w:rPr>
        <w:t xml:space="preserve"> ante todo la actual constitución vigente, con el fin de que posteriormente se pueda convocar a elecciones pluripartidistas.</w:t>
      </w:r>
    </w:p>
    <w:p w:rsidR="00173B31" w:rsidRPr="00845503" w:rsidRDefault="00173B31" w:rsidP="004F210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cs="Arial"/>
          <w:sz w:val="20"/>
          <w:szCs w:val="20"/>
          <w:lang w:val="es-CO"/>
        </w:rPr>
      </w:pPr>
      <w:r w:rsidRPr="00845503">
        <w:rPr>
          <w:rFonts w:cs="Arial"/>
          <w:sz w:val="20"/>
          <w:szCs w:val="20"/>
          <w:lang w:val="es-CO"/>
        </w:rPr>
        <w:t>Plena vigencia de los derechos humanos</w:t>
      </w:r>
      <w:r w:rsidR="00D970B7" w:rsidRPr="00845503">
        <w:rPr>
          <w:rStyle w:val="FootnoteReference"/>
          <w:rFonts w:cs="Arial"/>
          <w:sz w:val="20"/>
          <w:szCs w:val="20"/>
          <w:lang w:val="es-CO"/>
        </w:rPr>
        <w:footnoteReference w:id="10"/>
      </w:r>
      <w:r w:rsidRPr="00845503">
        <w:rPr>
          <w:rFonts w:cs="Arial"/>
          <w:sz w:val="20"/>
          <w:szCs w:val="20"/>
          <w:lang w:val="es-CO"/>
        </w:rPr>
        <w:t>.</w:t>
      </w:r>
    </w:p>
    <w:p w:rsidR="00ED4BE7" w:rsidRPr="00845503" w:rsidRDefault="00ED4BE7" w:rsidP="00BF68D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p>
    <w:p w:rsidR="008820F9" w:rsidRPr="00845503" w:rsidRDefault="004027D3"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El 12 de abril de 1997</w:t>
      </w:r>
      <w:r w:rsidR="00364E5B" w:rsidRPr="00845503">
        <w:rPr>
          <w:rFonts w:ascii="Cambria" w:hAnsi="Cambria" w:cs="Arial"/>
          <w:sz w:val="20"/>
          <w:szCs w:val="20"/>
          <w:lang w:val="es-CO"/>
        </w:rPr>
        <w:t>,</w:t>
      </w:r>
      <w:r w:rsidRPr="00845503">
        <w:rPr>
          <w:rFonts w:ascii="Cambria" w:hAnsi="Cambria" w:cs="Arial"/>
          <w:sz w:val="20"/>
          <w:szCs w:val="20"/>
          <w:lang w:val="es-CO"/>
        </w:rPr>
        <w:t xml:space="preserve"> </w:t>
      </w:r>
      <w:r w:rsidR="002A2D32" w:rsidRPr="00845503">
        <w:rPr>
          <w:rFonts w:ascii="Cambria" w:hAnsi="Cambria" w:cs="Arial"/>
          <w:sz w:val="20"/>
          <w:szCs w:val="20"/>
          <w:lang w:val="es-CO"/>
        </w:rPr>
        <w:t xml:space="preserve">publicaron </w:t>
      </w:r>
      <w:r w:rsidR="002309A8" w:rsidRPr="00845503">
        <w:rPr>
          <w:rFonts w:ascii="Cambria" w:hAnsi="Cambria" w:cs="Arial"/>
          <w:sz w:val="20"/>
          <w:szCs w:val="20"/>
          <w:lang w:val="es-CO"/>
        </w:rPr>
        <w:t>una</w:t>
      </w:r>
      <w:r w:rsidR="002A2D32" w:rsidRPr="00845503">
        <w:rPr>
          <w:rFonts w:ascii="Cambria" w:hAnsi="Cambria" w:cs="Arial"/>
          <w:sz w:val="20"/>
          <w:szCs w:val="20"/>
          <w:lang w:val="es-CO"/>
        </w:rPr>
        <w:t xml:space="preserve"> </w:t>
      </w:r>
      <w:r w:rsidR="009E6D59" w:rsidRPr="00845503">
        <w:rPr>
          <w:rFonts w:ascii="Cambria" w:hAnsi="Cambria" w:cs="Arial"/>
          <w:sz w:val="20"/>
          <w:szCs w:val="20"/>
          <w:lang w:val="es-CO"/>
        </w:rPr>
        <w:t>“</w:t>
      </w:r>
      <w:r w:rsidR="002A2D32" w:rsidRPr="00845503">
        <w:rPr>
          <w:rFonts w:ascii="Cambria" w:hAnsi="Cambria" w:cs="Arial"/>
          <w:sz w:val="20"/>
          <w:szCs w:val="20"/>
          <w:lang w:val="es-CO"/>
        </w:rPr>
        <w:t>Carta a los inversionistas</w:t>
      </w:r>
      <w:r w:rsidR="009E6D59" w:rsidRPr="00845503">
        <w:rPr>
          <w:rFonts w:ascii="Cambria" w:hAnsi="Cambria" w:cs="Arial"/>
          <w:sz w:val="20"/>
          <w:szCs w:val="20"/>
          <w:lang w:val="es-CO"/>
        </w:rPr>
        <w:t>”</w:t>
      </w:r>
      <w:r w:rsidR="002A2D32" w:rsidRPr="00845503">
        <w:rPr>
          <w:rFonts w:ascii="Cambria" w:hAnsi="Cambria" w:cs="Arial"/>
          <w:sz w:val="20"/>
          <w:szCs w:val="20"/>
          <w:lang w:val="es-CO"/>
        </w:rPr>
        <w:t>, en</w:t>
      </w:r>
      <w:r w:rsidR="00701138" w:rsidRPr="00845503">
        <w:rPr>
          <w:rFonts w:ascii="Cambria" w:hAnsi="Cambria" w:cs="Arial"/>
          <w:sz w:val="20"/>
          <w:szCs w:val="20"/>
          <w:lang w:val="es-CO"/>
        </w:rPr>
        <w:t xml:space="preserve"> </w:t>
      </w:r>
      <w:r w:rsidR="002309A8" w:rsidRPr="00845503">
        <w:rPr>
          <w:rFonts w:ascii="Cambria" w:hAnsi="Cambria" w:cs="Arial"/>
          <w:sz w:val="20"/>
          <w:szCs w:val="20"/>
          <w:lang w:val="es-CO"/>
        </w:rPr>
        <w:t>la</w:t>
      </w:r>
      <w:r w:rsidR="00701138" w:rsidRPr="00845503">
        <w:rPr>
          <w:rFonts w:ascii="Cambria" w:hAnsi="Cambria" w:cs="Arial"/>
          <w:sz w:val="20"/>
          <w:szCs w:val="20"/>
          <w:lang w:val="es-CO"/>
        </w:rPr>
        <w:t xml:space="preserve"> cual exhortaron a los inversionistas extranjeros a respetar y dar cumplimiento de los derechos humanos y prácticas laborales justas de contratación y empleo en Cuba, de conformidad con </w:t>
      </w:r>
      <w:r w:rsidR="002309A8" w:rsidRPr="00845503">
        <w:rPr>
          <w:rFonts w:ascii="Cambria" w:hAnsi="Cambria" w:cs="Arial"/>
          <w:sz w:val="20"/>
          <w:szCs w:val="20"/>
          <w:lang w:val="es-CO"/>
        </w:rPr>
        <w:t>los</w:t>
      </w:r>
      <w:r w:rsidR="00701138" w:rsidRPr="00845503">
        <w:rPr>
          <w:rFonts w:ascii="Cambria" w:hAnsi="Cambria" w:cs="Arial"/>
          <w:sz w:val="20"/>
          <w:szCs w:val="20"/>
          <w:lang w:val="es-CO"/>
        </w:rPr>
        <w:t xml:space="preserve"> “Principios</w:t>
      </w:r>
      <w:r w:rsidR="002309A8" w:rsidRPr="00845503">
        <w:rPr>
          <w:rFonts w:ascii="Cambria" w:hAnsi="Cambria" w:cs="Arial"/>
          <w:sz w:val="20"/>
          <w:szCs w:val="20"/>
          <w:lang w:val="es-CO"/>
        </w:rPr>
        <w:t xml:space="preserve"> para la Inversión Extranjera en Cuba”</w:t>
      </w:r>
      <w:r w:rsidR="00701138" w:rsidRPr="00845503">
        <w:rPr>
          <w:rFonts w:ascii="Cambria" w:hAnsi="Cambria" w:cs="Arial"/>
          <w:sz w:val="20"/>
          <w:szCs w:val="20"/>
          <w:lang w:val="es-CO"/>
        </w:rPr>
        <w:t xml:space="preserve"> </w:t>
      </w:r>
      <w:r w:rsidR="002309A8" w:rsidRPr="00845503">
        <w:rPr>
          <w:rFonts w:ascii="Cambria" w:hAnsi="Cambria" w:cs="Arial"/>
          <w:sz w:val="20"/>
          <w:szCs w:val="20"/>
          <w:lang w:val="es-CO"/>
        </w:rPr>
        <w:t xml:space="preserve">(“Principios </w:t>
      </w:r>
      <w:r w:rsidR="00701138" w:rsidRPr="00845503">
        <w:rPr>
          <w:rFonts w:ascii="Cambria" w:hAnsi="Cambria" w:cs="Arial"/>
          <w:sz w:val="20"/>
          <w:szCs w:val="20"/>
          <w:lang w:val="es-CO"/>
        </w:rPr>
        <w:t>Arcos”</w:t>
      </w:r>
      <w:r w:rsidR="002309A8" w:rsidRPr="00845503">
        <w:rPr>
          <w:rFonts w:ascii="Cambria" w:hAnsi="Cambria" w:cs="Arial"/>
          <w:sz w:val="20"/>
          <w:szCs w:val="20"/>
          <w:lang w:val="es-CO"/>
        </w:rPr>
        <w:t>)</w:t>
      </w:r>
      <w:r w:rsidR="008B75A8" w:rsidRPr="00845503">
        <w:rPr>
          <w:rStyle w:val="FootnoteReference"/>
          <w:rFonts w:ascii="Cambria" w:hAnsi="Cambria" w:cs="Arial"/>
          <w:sz w:val="20"/>
          <w:szCs w:val="20"/>
          <w:lang w:val="es-CO"/>
        </w:rPr>
        <w:footnoteReference w:id="11"/>
      </w:r>
      <w:r w:rsidR="00701138" w:rsidRPr="00845503">
        <w:rPr>
          <w:rFonts w:ascii="Cambria" w:hAnsi="Cambria" w:cs="Arial"/>
          <w:sz w:val="20"/>
          <w:szCs w:val="20"/>
          <w:lang w:val="es-CO"/>
        </w:rPr>
        <w:t xml:space="preserve"> elaborados </w:t>
      </w:r>
      <w:r w:rsidR="002309A8" w:rsidRPr="00845503">
        <w:rPr>
          <w:rFonts w:ascii="Cambria" w:hAnsi="Cambria" w:cs="Arial"/>
          <w:sz w:val="20"/>
          <w:szCs w:val="20"/>
          <w:lang w:val="es-CO"/>
        </w:rPr>
        <w:t>bajo el auspicio del Comité Cubano Pro Derechos Humanos (CCPDH).  En la Carta, expresaron que:</w:t>
      </w:r>
    </w:p>
    <w:p w:rsidR="008820F9" w:rsidRPr="00845503" w:rsidRDefault="008820F9" w:rsidP="008820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p>
    <w:p w:rsidR="008820F9" w:rsidRPr="00845503" w:rsidRDefault="00FD7E80" w:rsidP="00875A4B">
      <w:pPr>
        <w:pStyle w:val="ListParagraph"/>
        <w:ind w:right="720"/>
        <w:jc w:val="both"/>
        <w:rPr>
          <w:rFonts w:cs="Arial"/>
          <w:sz w:val="20"/>
          <w:szCs w:val="20"/>
          <w:lang w:val="es-CO"/>
        </w:rPr>
      </w:pPr>
      <w:r w:rsidRPr="00845503">
        <w:rPr>
          <w:rFonts w:cs="Arial"/>
          <w:sz w:val="20"/>
          <w:szCs w:val="20"/>
          <w:lang w:val="es-CO"/>
        </w:rPr>
        <w:t>[…]</w:t>
      </w:r>
      <w:r w:rsidR="008820F9" w:rsidRPr="00845503">
        <w:rPr>
          <w:rFonts w:cs="Arial"/>
          <w:sz w:val="20"/>
          <w:szCs w:val="20"/>
          <w:lang w:val="es-CO"/>
        </w:rPr>
        <w:t>En un corto plazo de tiempo se producirá la inevitable transición democrática en nuestro país, y esto se dirige a la necesidad de tomar medidas que eviten una situación donde los inversionistas extranjeros puedan ser vistos, en el futuro, como cómplices de los grandes males que hoy sufre el pueblo cubano. Los Principios Arcos se promulgaron a este efecto.</w:t>
      </w:r>
    </w:p>
    <w:p w:rsidR="004027D3" w:rsidRPr="00845503" w:rsidRDefault="004027D3" w:rsidP="00875A4B">
      <w:pPr>
        <w:pStyle w:val="ListParagraph"/>
        <w:ind w:right="720"/>
        <w:jc w:val="both"/>
        <w:rPr>
          <w:rFonts w:cs="Arial"/>
          <w:sz w:val="20"/>
          <w:szCs w:val="20"/>
          <w:lang w:val="es-CO"/>
        </w:rPr>
      </w:pPr>
    </w:p>
    <w:p w:rsidR="008820F9" w:rsidRPr="00845503" w:rsidRDefault="008820F9" w:rsidP="00875A4B">
      <w:pPr>
        <w:pStyle w:val="ListParagraph"/>
        <w:ind w:right="720"/>
        <w:jc w:val="both"/>
        <w:rPr>
          <w:rFonts w:cs="Arial"/>
          <w:sz w:val="20"/>
          <w:szCs w:val="20"/>
          <w:lang w:val="es-CO"/>
        </w:rPr>
      </w:pPr>
      <w:r w:rsidRPr="00845503">
        <w:rPr>
          <w:rFonts w:cs="Arial"/>
          <w:sz w:val="20"/>
          <w:szCs w:val="20"/>
          <w:lang w:val="es-CO"/>
        </w:rPr>
        <w:t xml:space="preserve">Debido a las razones expuestas, no podemos involucrarnos en el debate si es o no correcto invertir en Cuba. Sin embargo, es evidente que observar las normas de igualdad y </w:t>
      </w:r>
      <w:r w:rsidR="00A31849" w:rsidRPr="00845503">
        <w:rPr>
          <w:rFonts w:cs="Arial"/>
          <w:sz w:val="20"/>
          <w:szCs w:val="20"/>
          <w:lang w:val="es-CO"/>
        </w:rPr>
        <w:t>cooperación</w:t>
      </w:r>
      <w:r w:rsidRPr="00845503">
        <w:rPr>
          <w:rFonts w:cs="Arial"/>
          <w:sz w:val="20"/>
          <w:szCs w:val="20"/>
          <w:lang w:val="es-CO"/>
        </w:rPr>
        <w:t xml:space="preserve"> </w:t>
      </w:r>
      <w:r w:rsidR="004027D3" w:rsidRPr="00845503">
        <w:rPr>
          <w:rFonts w:cs="Arial"/>
          <w:sz w:val="20"/>
          <w:szCs w:val="20"/>
          <w:lang w:val="es-CO"/>
        </w:rPr>
        <w:t xml:space="preserve">en las relaciones laborales, al igual que el respeto hacia el pueblo cubano, por parte de las </w:t>
      </w:r>
      <w:r w:rsidR="00A31849" w:rsidRPr="00845503">
        <w:rPr>
          <w:rFonts w:cs="Arial"/>
          <w:sz w:val="20"/>
          <w:szCs w:val="20"/>
          <w:lang w:val="es-CO"/>
        </w:rPr>
        <w:t>personas</w:t>
      </w:r>
      <w:r w:rsidR="004027D3" w:rsidRPr="00845503">
        <w:rPr>
          <w:rFonts w:cs="Arial"/>
          <w:sz w:val="20"/>
          <w:szCs w:val="20"/>
          <w:lang w:val="es-CO"/>
        </w:rPr>
        <w:t xml:space="preserve"> </w:t>
      </w:r>
      <w:r w:rsidR="00701138" w:rsidRPr="00845503">
        <w:rPr>
          <w:rFonts w:cs="Arial"/>
          <w:sz w:val="20"/>
          <w:szCs w:val="20"/>
          <w:lang w:val="es-CO"/>
        </w:rPr>
        <w:t>que</w:t>
      </w:r>
      <w:r w:rsidR="004027D3" w:rsidRPr="00845503">
        <w:rPr>
          <w:rFonts w:cs="Arial"/>
          <w:sz w:val="20"/>
          <w:szCs w:val="20"/>
          <w:lang w:val="es-CO"/>
        </w:rPr>
        <w:t xml:space="preserve"> desean invertir en la isla, es lo mejor para todos. Una estrategia comercial opuesta solo traerá conflictos en el futuro. Por lo tanto, el apoyo a la </w:t>
      </w:r>
      <w:r w:rsidR="00A31849" w:rsidRPr="00845503">
        <w:rPr>
          <w:rFonts w:cs="Arial"/>
          <w:sz w:val="20"/>
          <w:szCs w:val="20"/>
          <w:lang w:val="es-CO"/>
        </w:rPr>
        <w:t>implementación</w:t>
      </w:r>
      <w:r w:rsidR="004027D3" w:rsidRPr="00845503">
        <w:rPr>
          <w:rFonts w:cs="Arial"/>
          <w:sz w:val="20"/>
          <w:szCs w:val="20"/>
          <w:lang w:val="es-CO"/>
        </w:rPr>
        <w:t xml:space="preserve"> de los Principios Arcos, no solo puede mejorar las condiciones actuales de los trabajadores cubanos, pero </w:t>
      </w:r>
      <w:r w:rsidR="00A31849" w:rsidRPr="00845503">
        <w:rPr>
          <w:rFonts w:cs="Arial"/>
          <w:sz w:val="20"/>
          <w:szCs w:val="20"/>
          <w:lang w:val="es-CO"/>
        </w:rPr>
        <w:t>también</w:t>
      </w:r>
      <w:r w:rsidR="004027D3" w:rsidRPr="00845503">
        <w:rPr>
          <w:rFonts w:cs="Arial"/>
          <w:sz w:val="20"/>
          <w:szCs w:val="20"/>
          <w:lang w:val="es-CO"/>
        </w:rPr>
        <w:t xml:space="preserve"> protegen a los intereses de los inversionistas</w:t>
      </w:r>
      <w:r w:rsidR="00D970B7" w:rsidRPr="00845503">
        <w:rPr>
          <w:rStyle w:val="FootnoteReference"/>
          <w:rFonts w:cs="Arial"/>
          <w:sz w:val="20"/>
          <w:szCs w:val="20"/>
          <w:lang w:val="es-CO"/>
        </w:rPr>
        <w:footnoteReference w:id="12"/>
      </w:r>
      <w:r w:rsidR="004027D3" w:rsidRPr="00845503">
        <w:rPr>
          <w:rFonts w:cs="Arial"/>
          <w:sz w:val="20"/>
          <w:szCs w:val="20"/>
          <w:lang w:val="es-CO"/>
        </w:rPr>
        <w:t>.</w:t>
      </w:r>
    </w:p>
    <w:p w:rsidR="008820F9" w:rsidRPr="00845503" w:rsidRDefault="008820F9" w:rsidP="007F29B6">
      <w:pPr>
        <w:pStyle w:val="ListParagraph"/>
        <w:rPr>
          <w:rFonts w:cs="Arial"/>
          <w:sz w:val="20"/>
          <w:szCs w:val="20"/>
          <w:lang w:val="es-CO"/>
        </w:rPr>
      </w:pPr>
    </w:p>
    <w:p w:rsidR="001378CC" w:rsidRPr="00845503" w:rsidRDefault="001378CC"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 xml:space="preserve">El 18 de abril de 1997, publicaron otro documento titulado </w:t>
      </w:r>
      <w:r w:rsidRPr="00845503">
        <w:rPr>
          <w:rFonts w:ascii="Cambria" w:hAnsi="Cambria"/>
          <w:sz w:val="20"/>
          <w:szCs w:val="20"/>
          <w:lang w:val="es-ES"/>
        </w:rPr>
        <w:t>“</w:t>
      </w:r>
      <w:r w:rsidRPr="00845503">
        <w:rPr>
          <w:rFonts w:ascii="Cambria" w:hAnsi="Cambria" w:cs="Arial"/>
          <w:sz w:val="20"/>
          <w:szCs w:val="20"/>
          <w:lang w:val="es-CO"/>
        </w:rPr>
        <w:t xml:space="preserve">Llamamiento al Exilio”, en el cual expresaron que: </w:t>
      </w:r>
    </w:p>
    <w:p w:rsidR="001378CC" w:rsidRPr="00845503" w:rsidRDefault="001378CC" w:rsidP="001378C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p>
    <w:p w:rsidR="001378CC" w:rsidRPr="00845503" w:rsidRDefault="001378CC" w:rsidP="00875A4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CO"/>
        </w:rPr>
      </w:pPr>
      <w:r w:rsidRPr="00845503">
        <w:rPr>
          <w:rFonts w:ascii="Cambria" w:hAnsi="Cambria" w:cs="Arial"/>
          <w:sz w:val="20"/>
          <w:szCs w:val="20"/>
          <w:lang w:val="es-CO"/>
        </w:rPr>
        <w:t>Está latente el debate sobre si es conveniente o no enviar ayuda a los familiares y amigos dentro de la isla. Sin querer inmiscuirnos en esa contraposición de ideas, cuya solución corresponde a ustedes mismos, pretendemos pronunciarnos sobre la incidencia de estas remesas pueden tener en el acallamiento de las voces de muchos que dentro de la Patria están en desacuerdo con el régimen comunista. En la generalidad de los casos, la ayuda enviada por personas que se exiliaron por oponerse al sistema y los que la reciben aquí tiene criterios similares. Sin embargo, el hecho de ob</w:t>
      </w:r>
      <w:r w:rsidR="00FD7E80" w:rsidRPr="00845503">
        <w:rPr>
          <w:rFonts w:ascii="Cambria" w:hAnsi="Cambria" w:cs="Arial"/>
          <w:sz w:val="20"/>
          <w:szCs w:val="20"/>
          <w:lang w:val="es-CO"/>
        </w:rPr>
        <w:t>tener esos ingres</w:t>
      </w:r>
      <w:r w:rsidRPr="00845503">
        <w:rPr>
          <w:rFonts w:ascii="Cambria" w:hAnsi="Cambria" w:cs="Arial"/>
          <w:sz w:val="20"/>
          <w:szCs w:val="20"/>
          <w:lang w:val="es-CO"/>
        </w:rPr>
        <w:t xml:space="preserve">os adicionales ha conducido en la práctica a que muchos de los últimos adopten una postura de aparente indiferencia frente a la crisis nacional. Ante esta realidad, queremos dirigirnos a los que, a pesar de las </w:t>
      </w:r>
      <w:r w:rsidR="00A31849" w:rsidRPr="00845503">
        <w:rPr>
          <w:rFonts w:ascii="Cambria" w:hAnsi="Cambria" w:cs="Arial"/>
          <w:sz w:val="20"/>
          <w:szCs w:val="20"/>
          <w:lang w:val="es-CO"/>
        </w:rPr>
        <w:t>críticas</w:t>
      </w:r>
      <w:r w:rsidRPr="00845503">
        <w:rPr>
          <w:rFonts w:ascii="Cambria" w:hAnsi="Cambria" w:cs="Arial"/>
          <w:sz w:val="20"/>
          <w:szCs w:val="20"/>
          <w:lang w:val="es-CO"/>
        </w:rPr>
        <w:t xml:space="preserve">, apoyan </w:t>
      </w:r>
      <w:r w:rsidR="00A31849" w:rsidRPr="00845503">
        <w:rPr>
          <w:rFonts w:ascii="Cambria" w:hAnsi="Cambria" w:cs="Arial"/>
          <w:sz w:val="20"/>
          <w:szCs w:val="20"/>
          <w:lang w:val="es-CO"/>
        </w:rPr>
        <w:t>económicamente</w:t>
      </w:r>
      <w:r w:rsidRPr="00845503">
        <w:rPr>
          <w:rFonts w:ascii="Cambria" w:hAnsi="Cambria" w:cs="Arial"/>
          <w:sz w:val="20"/>
          <w:szCs w:val="20"/>
          <w:lang w:val="es-CO"/>
        </w:rPr>
        <w:t xml:space="preserve"> a sus seres queridos que residen en el país. Llamamos su atención sobre el hecho que si junto con el dinero enviaran firmes exhortaciones a que los destinatarios se incorporen a la lucha </w:t>
      </w:r>
      <w:r w:rsidR="00A31849" w:rsidRPr="00845503">
        <w:rPr>
          <w:rFonts w:ascii="Cambria" w:hAnsi="Cambria" w:cs="Arial"/>
          <w:sz w:val="20"/>
          <w:szCs w:val="20"/>
          <w:lang w:val="es-CO"/>
        </w:rPr>
        <w:t>pacífica</w:t>
      </w:r>
      <w:r w:rsidRPr="00845503">
        <w:rPr>
          <w:rFonts w:ascii="Cambria" w:hAnsi="Cambria" w:cs="Arial"/>
          <w:sz w:val="20"/>
          <w:szCs w:val="20"/>
          <w:lang w:val="es-CO"/>
        </w:rPr>
        <w:t xml:space="preserve"> por el cambio, ello se traduciría en aumento dramático de los que en Cuba han emprendido ese camino. Si una parte de esos receptores de la ayuda saliese de las llamadas organizaciones de masa, dejase de fingir un apoyo al </w:t>
      </w:r>
      <w:r w:rsidR="00A31849" w:rsidRPr="00845503">
        <w:rPr>
          <w:rFonts w:ascii="Cambria" w:hAnsi="Cambria" w:cs="Arial"/>
          <w:sz w:val="20"/>
          <w:szCs w:val="20"/>
          <w:lang w:val="es-CO"/>
        </w:rPr>
        <w:t>régimen</w:t>
      </w:r>
      <w:r w:rsidRPr="00845503">
        <w:rPr>
          <w:rFonts w:ascii="Cambria" w:hAnsi="Cambria" w:cs="Arial"/>
          <w:sz w:val="20"/>
          <w:szCs w:val="20"/>
          <w:lang w:val="es-CO"/>
        </w:rPr>
        <w:t xml:space="preserve"> que no siente, cesase de asistir a los actos públicos convocados por el gobierno y se negase a participar en las elecciones a la comunista en las que nada se </w:t>
      </w:r>
      <w:r w:rsidR="00A31849" w:rsidRPr="00845503">
        <w:rPr>
          <w:rFonts w:ascii="Cambria" w:hAnsi="Cambria" w:cs="Arial"/>
          <w:sz w:val="20"/>
          <w:szCs w:val="20"/>
          <w:lang w:val="es-CO"/>
        </w:rPr>
        <w:t>elige</w:t>
      </w:r>
      <w:r w:rsidRPr="00845503">
        <w:rPr>
          <w:rFonts w:ascii="Cambria" w:hAnsi="Cambria" w:cs="Arial"/>
          <w:sz w:val="20"/>
          <w:szCs w:val="20"/>
          <w:lang w:val="es-CO"/>
        </w:rPr>
        <w:t xml:space="preserve"> (aunque no es obligatorio votar), ello representaría un apoyo a la lucha </w:t>
      </w:r>
      <w:r w:rsidR="00A31849" w:rsidRPr="00845503">
        <w:rPr>
          <w:rFonts w:ascii="Cambria" w:hAnsi="Cambria" w:cs="Arial"/>
          <w:sz w:val="20"/>
          <w:szCs w:val="20"/>
          <w:lang w:val="es-CO"/>
        </w:rPr>
        <w:t>pacífica</w:t>
      </w:r>
      <w:r w:rsidRPr="00845503">
        <w:rPr>
          <w:rFonts w:ascii="Cambria" w:hAnsi="Cambria" w:cs="Arial"/>
          <w:sz w:val="20"/>
          <w:szCs w:val="20"/>
          <w:lang w:val="es-CO"/>
        </w:rPr>
        <w:t xml:space="preserve"> que se viene librando </w:t>
      </w:r>
      <w:r w:rsidRPr="00845503">
        <w:rPr>
          <w:rFonts w:ascii="Cambria" w:hAnsi="Cambria" w:cs="Arial"/>
          <w:sz w:val="20"/>
          <w:szCs w:val="20"/>
          <w:lang w:val="es-CO"/>
        </w:rPr>
        <w:lastRenderedPageBreak/>
        <w:t>dentro de nuestra Patria por el logro de cambio. En fin, sería un modo concreto de que ese dinero, que de todos modos habrá de llegar a Cuba, co-ayude a que el país salga de la crisis. Corresponde justamente a los hermanos exiliados que envían esa ayuda influir sobre sus parientes y amigos, para que estos comprendan esa simp</w:t>
      </w:r>
      <w:r w:rsidR="000D270D" w:rsidRPr="00845503">
        <w:rPr>
          <w:rFonts w:ascii="Cambria" w:hAnsi="Cambria" w:cs="Arial"/>
          <w:sz w:val="20"/>
          <w:szCs w:val="20"/>
          <w:lang w:val="es-CO"/>
        </w:rPr>
        <w:t>le realidad y actú</w:t>
      </w:r>
      <w:r w:rsidRPr="00845503">
        <w:rPr>
          <w:rFonts w:ascii="Cambria" w:hAnsi="Cambria" w:cs="Arial"/>
          <w:sz w:val="20"/>
          <w:szCs w:val="20"/>
          <w:lang w:val="es-CO"/>
        </w:rPr>
        <w:t>en en consecuencia. Reiteramos que ante todo debe hacerse en el mismo marco pacifico en que nosotros desarrollamos nuestra actividades</w:t>
      </w:r>
      <w:r w:rsidR="008B75A8" w:rsidRPr="00845503">
        <w:rPr>
          <w:rStyle w:val="FootnoteReference"/>
          <w:rFonts w:ascii="Cambria" w:hAnsi="Cambria" w:cs="Arial"/>
          <w:sz w:val="20"/>
          <w:szCs w:val="20"/>
          <w:lang w:val="es-CO"/>
        </w:rPr>
        <w:footnoteReference w:id="13"/>
      </w:r>
      <w:r w:rsidRPr="00845503">
        <w:rPr>
          <w:rFonts w:ascii="Cambria" w:hAnsi="Cambria" w:cs="Arial"/>
          <w:sz w:val="20"/>
          <w:szCs w:val="20"/>
          <w:lang w:val="es-CO"/>
        </w:rPr>
        <w:t xml:space="preserve">. </w:t>
      </w:r>
    </w:p>
    <w:p w:rsidR="001378CC" w:rsidRPr="00845503" w:rsidRDefault="001378CC" w:rsidP="007F29B6">
      <w:pPr>
        <w:pStyle w:val="ListParagraph"/>
        <w:rPr>
          <w:rFonts w:cs="Arial"/>
          <w:sz w:val="20"/>
          <w:szCs w:val="20"/>
          <w:lang w:val="es-CO"/>
        </w:rPr>
      </w:pPr>
    </w:p>
    <w:p w:rsidR="000D270D" w:rsidRPr="00845503" w:rsidRDefault="000E4AA5"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E</w:t>
      </w:r>
      <w:r w:rsidR="001378CC" w:rsidRPr="00845503">
        <w:rPr>
          <w:rFonts w:ascii="Cambria" w:hAnsi="Cambria" w:cs="Arial"/>
          <w:sz w:val="20"/>
          <w:szCs w:val="20"/>
          <w:lang w:val="es-CO"/>
        </w:rPr>
        <w:t>l 15 de</w:t>
      </w:r>
      <w:r w:rsidRPr="00845503">
        <w:rPr>
          <w:rFonts w:ascii="Cambria" w:hAnsi="Cambria" w:cs="Arial"/>
          <w:sz w:val="20"/>
          <w:szCs w:val="20"/>
          <w:lang w:val="es-CO"/>
        </w:rPr>
        <w:t xml:space="preserve"> mayo de 1997</w:t>
      </w:r>
      <w:r w:rsidR="000D270D" w:rsidRPr="00845503">
        <w:rPr>
          <w:rFonts w:ascii="Cambria" w:hAnsi="Cambria" w:cs="Arial"/>
          <w:sz w:val="20"/>
          <w:szCs w:val="20"/>
          <w:lang w:val="es-CO"/>
        </w:rPr>
        <w:t>,</w:t>
      </w:r>
      <w:r w:rsidRPr="00845503">
        <w:rPr>
          <w:rFonts w:ascii="Cambria" w:hAnsi="Cambria" w:cs="Arial"/>
          <w:sz w:val="20"/>
          <w:szCs w:val="20"/>
          <w:lang w:val="es-CO"/>
        </w:rPr>
        <w:t xml:space="preserve"> </w:t>
      </w:r>
      <w:r w:rsidR="000D270D" w:rsidRPr="00845503">
        <w:rPr>
          <w:rFonts w:ascii="Cambria" w:hAnsi="Cambria" w:cs="Arial"/>
          <w:sz w:val="20"/>
          <w:szCs w:val="20"/>
          <w:lang w:val="es-CO"/>
        </w:rPr>
        <w:t xml:space="preserve">el Grupo </w:t>
      </w:r>
      <w:r w:rsidRPr="00845503">
        <w:rPr>
          <w:rFonts w:ascii="Cambria" w:hAnsi="Cambria" w:cs="Arial"/>
          <w:sz w:val="20"/>
          <w:szCs w:val="20"/>
          <w:lang w:val="es-CO"/>
        </w:rPr>
        <w:t>public</w:t>
      </w:r>
      <w:r w:rsidR="000D270D" w:rsidRPr="00845503">
        <w:rPr>
          <w:rFonts w:ascii="Cambria" w:hAnsi="Cambria" w:cs="Arial"/>
          <w:sz w:val="20"/>
          <w:szCs w:val="20"/>
          <w:lang w:val="es-CO"/>
        </w:rPr>
        <w:t>ó</w:t>
      </w:r>
      <w:r w:rsidRPr="00845503">
        <w:rPr>
          <w:rFonts w:ascii="Cambria" w:hAnsi="Cambria" w:cs="Arial"/>
          <w:sz w:val="20"/>
          <w:szCs w:val="20"/>
          <w:lang w:val="es-CO"/>
        </w:rPr>
        <w:t xml:space="preserve"> </w:t>
      </w:r>
      <w:r w:rsidR="0093359A" w:rsidRPr="00845503">
        <w:rPr>
          <w:rFonts w:ascii="Cambria" w:hAnsi="Cambria" w:cs="Arial"/>
          <w:sz w:val="20"/>
          <w:szCs w:val="20"/>
          <w:lang w:val="es-CO"/>
        </w:rPr>
        <w:t>un documento titulado “</w:t>
      </w:r>
      <w:r w:rsidR="00EF2169" w:rsidRPr="00845503">
        <w:rPr>
          <w:rFonts w:ascii="Cambria" w:hAnsi="Cambria" w:cs="Arial"/>
          <w:sz w:val="20"/>
          <w:szCs w:val="20"/>
          <w:lang w:val="es-CO"/>
        </w:rPr>
        <w:t>Llamamiento a la abstención</w:t>
      </w:r>
      <w:r w:rsidR="007B4258" w:rsidRPr="00845503">
        <w:rPr>
          <w:rFonts w:ascii="Cambria" w:hAnsi="Cambria" w:cs="Arial"/>
          <w:sz w:val="20"/>
          <w:szCs w:val="20"/>
          <w:lang w:val="es-CO"/>
        </w:rPr>
        <w:t xml:space="preserve"> electoral</w:t>
      </w:r>
      <w:r w:rsidR="0093359A" w:rsidRPr="00845503">
        <w:rPr>
          <w:rFonts w:ascii="Cambria" w:hAnsi="Cambria" w:cs="Arial"/>
          <w:sz w:val="20"/>
          <w:szCs w:val="20"/>
          <w:lang w:val="es-CO"/>
        </w:rPr>
        <w:t>”</w:t>
      </w:r>
      <w:r w:rsidR="008B75A8" w:rsidRPr="00845503">
        <w:rPr>
          <w:rStyle w:val="FootnoteReference"/>
          <w:rFonts w:ascii="Cambria" w:hAnsi="Cambria" w:cs="Arial"/>
          <w:sz w:val="20"/>
          <w:szCs w:val="20"/>
          <w:lang w:val="es-CO"/>
        </w:rPr>
        <w:footnoteReference w:id="14"/>
      </w:r>
      <w:r w:rsidR="00EF2169" w:rsidRPr="00845503">
        <w:rPr>
          <w:rFonts w:ascii="Cambria" w:hAnsi="Cambria" w:cs="Arial"/>
          <w:sz w:val="20"/>
          <w:szCs w:val="20"/>
          <w:lang w:val="es-CO"/>
        </w:rPr>
        <w:t xml:space="preserve">, </w:t>
      </w:r>
      <w:r w:rsidR="007B4258" w:rsidRPr="00845503">
        <w:rPr>
          <w:rFonts w:ascii="Cambria" w:hAnsi="Cambria" w:cs="Arial"/>
          <w:sz w:val="20"/>
          <w:szCs w:val="20"/>
          <w:lang w:val="es-CO"/>
        </w:rPr>
        <w:t xml:space="preserve">en el que pidieron a los electores que </w:t>
      </w:r>
      <w:r w:rsidR="002039B9" w:rsidRPr="00845503">
        <w:rPr>
          <w:rFonts w:ascii="Cambria" w:hAnsi="Cambria" w:cs="Arial"/>
          <w:sz w:val="20"/>
          <w:szCs w:val="20"/>
          <w:lang w:val="es-CO"/>
        </w:rPr>
        <w:t>“</w:t>
      </w:r>
      <w:r w:rsidR="007B4258" w:rsidRPr="00845503">
        <w:rPr>
          <w:rFonts w:ascii="Cambria" w:hAnsi="Cambria" w:cs="Arial"/>
          <w:sz w:val="20"/>
          <w:szCs w:val="20"/>
          <w:lang w:val="es-CO"/>
        </w:rPr>
        <w:t xml:space="preserve">hagan uso de su derecho a no concurrir a votar, lo cual es una forma de protesta </w:t>
      </w:r>
      <w:r w:rsidR="00A31849" w:rsidRPr="00845503">
        <w:rPr>
          <w:rFonts w:ascii="Cambria" w:hAnsi="Cambria" w:cs="Arial"/>
          <w:sz w:val="20"/>
          <w:szCs w:val="20"/>
          <w:lang w:val="es-CO"/>
        </w:rPr>
        <w:t>pacífica</w:t>
      </w:r>
      <w:r w:rsidR="002039B9" w:rsidRPr="00845503">
        <w:rPr>
          <w:rFonts w:ascii="Cambria" w:hAnsi="Cambria" w:cs="Arial"/>
          <w:sz w:val="20"/>
          <w:szCs w:val="20"/>
          <w:lang w:val="es-CO"/>
        </w:rPr>
        <w:t>”</w:t>
      </w:r>
      <w:r w:rsidR="00864B11" w:rsidRPr="00845503">
        <w:rPr>
          <w:rFonts w:ascii="Cambria" w:hAnsi="Cambria" w:cs="Arial"/>
          <w:sz w:val="20"/>
          <w:szCs w:val="20"/>
          <w:lang w:val="es-CO"/>
        </w:rPr>
        <w:t>. En su documento expusieron que</w:t>
      </w:r>
      <w:r w:rsidR="002039B9" w:rsidRPr="00845503">
        <w:rPr>
          <w:rFonts w:ascii="Cambria" w:hAnsi="Cambria" w:cs="Arial"/>
          <w:sz w:val="20"/>
          <w:szCs w:val="20"/>
          <w:lang w:val="es-CO"/>
        </w:rPr>
        <w:t xml:space="preserve"> </w:t>
      </w:r>
      <w:r w:rsidR="00FD7E80" w:rsidRPr="00845503">
        <w:rPr>
          <w:rFonts w:ascii="Cambria" w:hAnsi="Cambria" w:cs="Arial"/>
          <w:sz w:val="20"/>
          <w:szCs w:val="20"/>
          <w:lang w:val="es-ES"/>
        </w:rPr>
        <w:t>“</w:t>
      </w:r>
      <w:r w:rsidR="002039B9" w:rsidRPr="00845503">
        <w:rPr>
          <w:rFonts w:ascii="Cambria" w:hAnsi="Cambria" w:cs="Arial"/>
          <w:sz w:val="20"/>
          <w:szCs w:val="20"/>
          <w:lang w:val="es-CO"/>
        </w:rPr>
        <w:t>concurrir a votar significa legitimar un proceso que – al no ser pluralista- solo es legítimo para el sistema comunista y pecaríamos de muy ingenuos si lo comparáramos con el de los países verdaderamente democráticos</w:t>
      </w:r>
      <w:r w:rsidR="00FD7E80" w:rsidRPr="00845503">
        <w:rPr>
          <w:rFonts w:ascii="Cambria" w:hAnsi="Cambria" w:cs="Arial"/>
          <w:sz w:val="20"/>
          <w:szCs w:val="20"/>
          <w:lang w:val="es-CO"/>
        </w:rPr>
        <w:t>”</w:t>
      </w:r>
      <w:r w:rsidR="002039B9" w:rsidRPr="00845503">
        <w:rPr>
          <w:rFonts w:ascii="Cambria" w:hAnsi="Cambria" w:cs="Arial"/>
          <w:sz w:val="20"/>
          <w:szCs w:val="20"/>
          <w:lang w:val="es-CO"/>
        </w:rPr>
        <w:t xml:space="preserve">. </w:t>
      </w:r>
    </w:p>
    <w:p w:rsidR="000D270D" w:rsidRPr="00845503" w:rsidRDefault="000D270D" w:rsidP="000D270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p>
    <w:p w:rsidR="000D270D" w:rsidRPr="00845503" w:rsidRDefault="00EF216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E</w:t>
      </w:r>
      <w:r w:rsidR="006D24C3" w:rsidRPr="00845503">
        <w:rPr>
          <w:rFonts w:ascii="Cambria" w:hAnsi="Cambria" w:cs="Arial"/>
          <w:sz w:val="20"/>
          <w:szCs w:val="20"/>
          <w:lang w:val="es-CO"/>
        </w:rPr>
        <w:t xml:space="preserve">l 27 de junio </w:t>
      </w:r>
      <w:r w:rsidR="00315820" w:rsidRPr="00845503">
        <w:rPr>
          <w:rFonts w:ascii="Cambria" w:hAnsi="Cambria" w:cs="Arial"/>
          <w:sz w:val="20"/>
          <w:szCs w:val="20"/>
          <w:lang w:val="es-CO"/>
        </w:rPr>
        <w:t>de 1997</w:t>
      </w:r>
      <w:r w:rsidR="000D270D" w:rsidRPr="00845503">
        <w:rPr>
          <w:rFonts w:ascii="Cambria" w:hAnsi="Cambria" w:cs="Arial"/>
          <w:sz w:val="20"/>
          <w:szCs w:val="20"/>
          <w:lang w:val="es-CO"/>
        </w:rPr>
        <w:t>,</w:t>
      </w:r>
      <w:r w:rsidR="00315820" w:rsidRPr="00845503">
        <w:rPr>
          <w:rFonts w:ascii="Cambria" w:hAnsi="Cambria" w:cs="Arial"/>
          <w:sz w:val="20"/>
          <w:szCs w:val="20"/>
          <w:lang w:val="es-CO"/>
        </w:rPr>
        <w:t xml:space="preserve"> </w:t>
      </w:r>
      <w:r w:rsidR="006D24C3" w:rsidRPr="00845503">
        <w:rPr>
          <w:rFonts w:ascii="Cambria" w:hAnsi="Cambria" w:cs="Arial"/>
          <w:sz w:val="20"/>
          <w:szCs w:val="20"/>
          <w:lang w:val="es-CO"/>
        </w:rPr>
        <w:t xml:space="preserve">el Grupo </w:t>
      </w:r>
      <w:r w:rsidR="000D270D" w:rsidRPr="00845503">
        <w:rPr>
          <w:rFonts w:ascii="Cambria" w:hAnsi="Cambria" w:cs="Arial"/>
          <w:sz w:val="20"/>
          <w:szCs w:val="20"/>
          <w:lang w:val="es-CO"/>
        </w:rPr>
        <w:t xml:space="preserve">de Trabajo </w:t>
      </w:r>
      <w:r w:rsidR="006D24C3" w:rsidRPr="00845503">
        <w:rPr>
          <w:rFonts w:ascii="Cambria" w:hAnsi="Cambria" w:cs="Arial"/>
          <w:sz w:val="20"/>
          <w:szCs w:val="20"/>
          <w:lang w:val="es-CO"/>
        </w:rPr>
        <w:t>publicó</w:t>
      </w:r>
      <w:r w:rsidR="003D08A1" w:rsidRPr="00845503">
        <w:rPr>
          <w:rFonts w:ascii="Cambria" w:hAnsi="Cambria" w:cs="Arial"/>
          <w:sz w:val="20"/>
          <w:szCs w:val="20"/>
          <w:lang w:val="es-CO"/>
        </w:rPr>
        <w:t xml:space="preserve"> </w:t>
      </w:r>
      <w:r w:rsidR="00D15519" w:rsidRPr="00845503">
        <w:rPr>
          <w:rFonts w:ascii="Cambria" w:hAnsi="Cambria" w:cs="Arial"/>
          <w:sz w:val="20"/>
          <w:szCs w:val="20"/>
          <w:lang w:val="es-CO"/>
        </w:rPr>
        <w:t>un documento de nueve páginas titulado</w:t>
      </w:r>
      <w:r w:rsidR="003D08A1" w:rsidRPr="00845503">
        <w:rPr>
          <w:rFonts w:ascii="Cambria" w:hAnsi="Cambria" w:cs="Arial"/>
          <w:sz w:val="20"/>
          <w:szCs w:val="20"/>
          <w:lang w:val="es-CO"/>
        </w:rPr>
        <w:t xml:space="preserve"> </w:t>
      </w:r>
      <w:r w:rsidR="00284816" w:rsidRPr="00845503">
        <w:rPr>
          <w:rFonts w:ascii="Cambria" w:hAnsi="Cambria" w:cs="Arial"/>
          <w:sz w:val="20"/>
          <w:szCs w:val="20"/>
          <w:lang w:val="es-ES"/>
        </w:rPr>
        <w:t>“</w:t>
      </w:r>
      <w:r w:rsidR="003D08A1" w:rsidRPr="00845503">
        <w:rPr>
          <w:rFonts w:ascii="Cambria" w:hAnsi="Cambria" w:cs="Arial"/>
          <w:sz w:val="20"/>
          <w:szCs w:val="20"/>
          <w:lang w:val="es-CO"/>
        </w:rPr>
        <w:t>La Patria es de Todos</w:t>
      </w:r>
      <w:r w:rsidR="00284816" w:rsidRPr="00845503">
        <w:rPr>
          <w:rFonts w:ascii="Cambria" w:hAnsi="Cambria" w:cs="Arial"/>
          <w:sz w:val="20"/>
          <w:szCs w:val="20"/>
          <w:lang w:val="es-CO"/>
        </w:rPr>
        <w:t>”</w:t>
      </w:r>
      <w:r w:rsidR="00B84D44" w:rsidRPr="00845503">
        <w:rPr>
          <w:rStyle w:val="FootnoteReference"/>
          <w:rFonts w:ascii="Cambria" w:hAnsi="Cambria" w:cs="Arial"/>
          <w:sz w:val="20"/>
          <w:szCs w:val="20"/>
          <w:lang w:val="es-CO"/>
        </w:rPr>
        <w:t xml:space="preserve"> </w:t>
      </w:r>
      <w:r w:rsidR="00B84D44" w:rsidRPr="00845503">
        <w:rPr>
          <w:rStyle w:val="FootnoteReference"/>
          <w:rFonts w:ascii="Cambria" w:hAnsi="Cambria" w:cs="Arial"/>
          <w:sz w:val="20"/>
          <w:szCs w:val="20"/>
          <w:lang w:val="es-CO"/>
        </w:rPr>
        <w:footnoteReference w:id="15"/>
      </w:r>
      <w:r w:rsidR="000D270D" w:rsidRPr="00845503">
        <w:rPr>
          <w:rFonts w:ascii="Cambria" w:hAnsi="Cambria" w:cs="Arial"/>
          <w:sz w:val="20"/>
          <w:szCs w:val="20"/>
          <w:lang w:val="es-CO"/>
        </w:rPr>
        <w:t xml:space="preserve">, que </w:t>
      </w:r>
      <w:r w:rsidR="002E0F47" w:rsidRPr="00845503">
        <w:rPr>
          <w:rFonts w:ascii="Cambria" w:hAnsi="Cambria" w:cs="Arial"/>
          <w:sz w:val="20"/>
          <w:szCs w:val="20"/>
          <w:lang w:val="es-CO"/>
        </w:rPr>
        <w:t>elabor</w:t>
      </w:r>
      <w:r w:rsidR="000D270D" w:rsidRPr="00845503">
        <w:rPr>
          <w:rFonts w:ascii="Cambria" w:hAnsi="Cambria" w:cs="Arial"/>
          <w:sz w:val="20"/>
          <w:szCs w:val="20"/>
          <w:lang w:val="es-CO"/>
        </w:rPr>
        <w:t>a</w:t>
      </w:r>
      <w:r w:rsidR="002E0F47" w:rsidRPr="00845503">
        <w:rPr>
          <w:rFonts w:ascii="Cambria" w:hAnsi="Cambria" w:cs="Arial"/>
          <w:sz w:val="20"/>
          <w:szCs w:val="20"/>
          <w:lang w:val="es-CO"/>
        </w:rPr>
        <w:t xml:space="preserve"> una crítica al Proyecto </w:t>
      </w:r>
      <w:r w:rsidR="00364E5B" w:rsidRPr="00845503">
        <w:rPr>
          <w:rFonts w:ascii="Cambria" w:hAnsi="Cambria" w:cs="Arial"/>
          <w:sz w:val="20"/>
          <w:szCs w:val="20"/>
          <w:lang w:val="es-CO"/>
        </w:rPr>
        <w:t xml:space="preserve">de </w:t>
      </w:r>
      <w:r w:rsidR="002E0F47" w:rsidRPr="00845503">
        <w:rPr>
          <w:rFonts w:ascii="Cambria" w:hAnsi="Cambria" w:cs="Arial"/>
          <w:sz w:val="20"/>
          <w:szCs w:val="20"/>
          <w:lang w:val="es-CO"/>
        </w:rPr>
        <w:t>Documento del V Congreso del Partido Comunista de Cuba, que sería sometido a aprobación durante la celebración de ese evento en</w:t>
      </w:r>
      <w:r w:rsidR="000D270D" w:rsidRPr="00845503">
        <w:rPr>
          <w:rFonts w:ascii="Cambria" w:hAnsi="Cambria" w:cs="Arial"/>
          <w:sz w:val="20"/>
          <w:szCs w:val="20"/>
          <w:lang w:val="es-CO"/>
        </w:rPr>
        <w:t xml:space="preserve"> el mes de octubre de 1997. El G</w:t>
      </w:r>
      <w:r w:rsidR="002E0F47" w:rsidRPr="00845503">
        <w:rPr>
          <w:rFonts w:ascii="Cambria" w:hAnsi="Cambria" w:cs="Arial"/>
          <w:sz w:val="20"/>
          <w:szCs w:val="20"/>
          <w:lang w:val="es-CO"/>
        </w:rPr>
        <w:t>rupo indicó que “como nos resulta imposible emitir aquí criterios públicos al respecto (por estar todos los medios de difusión en manos del Estado), hemos decidido plasmarlos y que de alguna forma se conozca por los cubanos de dentro y fuera de la Isla, defendiendo de ese modo nuestro derecho de opinar, porque estamos convencidos de que: LA PATRIA ES DE TODOS”.</w:t>
      </w:r>
      <w:r w:rsidR="00FD7E80" w:rsidRPr="00845503">
        <w:rPr>
          <w:rFonts w:ascii="Cambria" w:hAnsi="Cambria" w:cs="Arial"/>
          <w:sz w:val="20"/>
          <w:szCs w:val="20"/>
          <w:lang w:val="es-CO"/>
        </w:rPr>
        <w:t xml:space="preserve"> En el documento expresaron:</w:t>
      </w:r>
      <w:r w:rsidR="000D270D" w:rsidRPr="00845503">
        <w:rPr>
          <w:rFonts w:ascii="Cambria" w:hAnsi="Cambria" w:cs="Arial"/>
          <w:sz w:val="20"/>
          <w:szCs w:val="20"/>
          <w:lang w:val="es-CO"/>
        </w:rPr>
        <w:t xml:space="preserve"> </w:t>
      </w:r>
    </w:p>
    <w:p w:rsidR="00875A4B" w:rsidRPr="00845503" w:rsidRDefault="00875A4B" w:rsidP="00875A4B">
      <w:pPr>
        <w:pStyle w:val="ListParagraph"/>
        <w:rPr>
          <w:rFonts w:cs="Arial"/>
          <w:sz w:val="20"/>
          <w:szCs w:val="20"/>
          <w:lang w:val="es-CO"/>
        </w:rPr>
      </w:pPr>
    </w:p>
    <w:p w:rsidR="00875A4B" w:rsidRPr="00845503" w:rsidRDefault="00FD7E80" w:rsidP="009C22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olor w:val="000000"/>
          <w:sz w:val="20"/>
          <w:szCs w:val="20"/>
          <w:lang w:val="es-ES"/>
        </w:rPr>
      </w:pPr>
      <w:r w:rsidRPr="00845503">
        <w:rPr>
          <w:rFonts w:ascii="Cambria" w:hAnsi="Cambria"/>
          <w:sz w:val="20"/>
          <w:szCs w:val="20"/>
          <w:lang w:val="es-ES"/>
        </w:rPr>
        <w:t xml:space="preserve">[…] </w:t>
      </w:r>
      <w:r w:rsidR="00AE069E" w:rsidRPr="00845503">
        <w:rPr>
          <w:rFonts w:ascii="Cambria" w:hAnsi="Cambria"/>
          <w:color w:val="000000"/>
          <w:sz w:val="20"/>
          <w:szCs w:val="20"/>
          <w:lang w:val="es-ES"/>
        </w:rPr>
        <w:t xml:space="preserve">El Partido, atribuyéndose la condición de representante del pueblo, elaboró el documento que conmina a la ciudadanía a que participe en las reuniones de apoyo al mismo. El pueblo, sometido a las presiones del poder totalitario, asiste, y entonces ese hecho se presenta al mundo como un plebiscito de la sociedad cubana. Se dice que es la prueba más evidente e irrefutable de que el Partido representa a todo el pueblo. </w:t>
      </w:r>
      <w:r w:rsidR="00AE069E" w:rsidRPr="00845503">
        <w:rPr>
          <w:rFonts w:ascii="Cambria" w:hAnsi="Cambria"/>
          <w:sz w:val="20"/>
          <w:szCs w:val="20"/>
          <w:lang w:val="es-ES"/>
        </w:rPr>
        <w:t>[…]</w:t>
      </w:r>
      <w:r w:rsidR="00875A4B" w:rsidRPr="00845503">
        <w:rPr>
          <w:rFonts w:ascii="Cambria" w:hAnsi="Cambria"/>
          <w:sz w:val="20"/>
          <w:szCs w:val="20"/>
          <w:lang w:val="es-ES"/>
        </w:rPr>
        <w:t xml:space="preserve"> </w:t>
      </w:r>
      <w:r w:rsidR="00AE069E" w:rsidRPr="00845503">
        <w:rPr>
          <w:rFonts w:ascii="Cambria" w:hAnsi="Cambria"/>
          <w:b/>
          <w:color w:val="000000"/>
          <w:sz w:val="20"/>
          <w:szCs w:val="20"/>
          <w:lang w:val="es-ES"/>
        </w:rPr>
        <w:t>¿</w:t>
      </w:r>
      <w:r w:rsidR="00AE069E" w:rsidRPr="00845503">
        <w:rPr>
          <w:rFonts w:ascii="Cambria" w:hAnsi="Cambria"/>
          <w:color w:val="000000"/>
          <w:sz w:val="20"/>
          <w:szCs w:val="20"/>
          <w:lang w:val="es-ES"/>
        </w:rPr>
        <w:t xml:space="preserve">Qué </w:t>
      </w:r>
      <w:r w:rsidR="00A31849" w:rsidRPr="00845503">
        <w:rPr>
          <w:rFonts w:ascii="Cambria" w:hAnsi="Cambria"/>
          <w:color w:val="000000"/>
          <w:sz w:val="20"/>
          <w:szCs w:val="20"/>
          <w:lang w:val="es-ES"/>
        </w:rPr>
        <w:t>ofrece</w:t>
      </w:r>
      <w:r w:rsidR="00AE069E" w:rsidRPr="00845503">
        <w:rPr>
          <w:rFonts w:ascii="Cambria" w:hAnsi="Cambria"/>
          <w:color w:val="000000"/>
          <w:sz w:val="20"/>
          <w:szCs w:val="20"/>
          <w:lang w:val="es-ES"/>
        </w:rPr>
        <w:t xml:space="preserve"> el Partido Comunista al pueblo? </w:t>
      </w:r>
      <w:r w:rsidR="00AE069E" w:rsidRPr="00845503">
        <w:rPr>
          <w:rFonts w:ascii="Cambria" w:hAnsi="Cambria"/>
          <w:i/>
          <w:color w:val="000000"/>
          <w:sz w:val="20"/>
          <w:szCs w:val="20"/>
          <w:lang w:val="es-ES"/>
        </w:rPr>
        <w:t>Tendremos sólo aquello que seamos capaces de crear</w:t>
      </w:r>
      <w:r w:rsidR="00AE069E" w:rsidRPr="00845503">
        <w:rPr>
          <w:rFonts w:ascii="Cambria" w:hAnsi="Cambria"/>
          <w:color w:val="000000"/>
          <w:sz w:val="20"/>
          <w:szCs w:val="20"/>
          <w:lang w:val="es-ES"/>
        </w:rPr>
        <w:t xml:space="preserve">, le dice. Más que una promesa parece una lúgubre amenaza, por la proverbial ineficiencia del sistema de producción y por tradicionales limitaciones que este le impone a la ciudadanía. </w:t>
      </w:r>
      <w:r w:rsidR="00AE069E" w:rsidRPr="00845503">
        <w:rPr>
          <w:rFonts w:ascii="Cambria" w:hAnsi="Cambria"/>
          <w:i/>
          <w:color w:val="000000"/>
          <w:sz w:val="20"/>
          <w:szCs w:val="20"/>
          <w:lang w:val="es-ES"/>
        </w:rPr>
        <w:t>La lista de los problemas es enorme</w:t>
      </w:r>
      <w:r w:rsidR="00AE069E" w:rsidRPr="00845503">
        <w:rPr>
          <w:rFonts w:ascii="Cambria" w:hAnsi="Cambria"/>
          <w:color w:val="000000"/>
          <w:sz w:val="20"/>
          <w:szCs w:val="20"/>
          <w:lang w:val="es-ES"/>
        </w:rPr>
        <w:t>. No obstante, solo se anotan algunos de los problemas materiales, pero no se refieren a las carencias espirituales de nuestro pueblo y mucho menos a la falta de libertades de todo tipo. Para el Partido, están claras las tareas concretas, lo que no deja de manifiesto para el pueblo son las soluciones a los problemas, los plazos, las perspectivas</w:t>
      </w:r>
      <w:r w:rsidR="00A31849" w:rsidRPr="00845503">
        <w:rPr>
          <w:rFonts w:ascii="Cambria" w:hAnsi="Cambria"/>
          <w:color w:val="000000"/>
          <w:sz w:val="20"/>
          <w:szCs w:val="20"/>
          <w:lang w:val="es-ES"/>
        </w:rPr>
        <w:t>. [</w:t>
      </w:r>
      <w:r w:rsidR="00F5254A" w:rsidRPr="00845503">
        <w:rPr>
          <w:rFonts w:ascii="Cambria" w:hAnsi="Cambria"/>
          <w:color w:val="000000"/>
          <w:sz w:val="20"/>
          <w:szCs w:val="20"/>
          <w:lang w:val="es-ES"/>
        </w:rPr>
        <w:t>…]</w:t>
      </w:r>
      <w:r w:rsidR="00A669E3" w:rsidRPr="00845503">
        <w:rPr>
          <w:rFonts w:ascii="Cambria" w:hAnsi="Cambria"/>
          <w:color w:val="000000"/>
          <w:sz w:val="20"/>
          <w:szCs w:val="20"/>
          <w:lang w:val="es-ES"/>
        </w:rPr>
        <w:t xml:space="preserve"> </w:t>
      </w:r>
      <w:r w:rsidR="00AC2AA1" w:rsidRPr="00845503">
        <w:rPr>
          <w:rFonts w:ascii="Cambria" w:hAnsi="Cambria"/>
          <w:sz w:val="20"/>
          <w:szCs w:val="20"/>
          <w:lang w:val="es-ES"/>
        </w:rPr>
        <w:t>El</w:t>
      </w:r>
      <w:r w:rsidR="00AE069E" w:rsidRPr="00845503">
        <w:rPr>
          <w:rFonts w:ascii="Cambria" w:hAnsi="Cambria"/>
          <w:color w:val="000000"/>
          <w:sz w:val="20"/>
          <w:szCs w:val="20"/>
          <w:lang w:val="es-ES"/>
        </w:rPr>
        <w:t xml:space="preserve"> documento elaborado por el Partido Comunista no es esta alternativa, porque no ofrece nada en concreto al pueblo cubano. </w:t>
      </w:r>
      <w:r w:rsidR="007A6348" w:rsidRPr="00845503">
        <w:rPr>
          <w:rFonts w:ascii="Cambria" w:hAnsi="Cambria"/>
          <w:color w:val="000000"/>
          <w:sz w:val="20"/>
          <w:szCs w:val="20"/>
          <w:lang w:val="es-ES"/>
        </w:rPr>
        <w:t>[…]</w:t>
      </w:r>
    </w:p>
    <w:p w:rsidR="00AE069E" w:rsidRPr="00845503" w:rsidRDefault="007A6348" w:rsidP="009C22C5">
      <w:pPr>
        <w:pStyle w:val="Heading4"/>
        <w:keepNext w:val="0"/>
        <w:shd w:val="clear" w:color="auto" w:fill="FFFFFF"/>
        <w:ind w:left="720" w:right="720"/>
        <w:jc w:val="both"/>
        <w:rPr>
          <w:rFonts w:ascii="Cambria" w:hAnsi="Cambria"/>
          <w:b w:val="0"/>
          <w:color w:val="000000"/>
          <w:sz w:val="20"/>
          <w:szCs w:val="20"/>
          <w:lang w:val="es-ES"/>
        </w:rPr>
      </w:pPr>
      <w:r w:rsidRPr="00845503">
        <w:rPr>
          <w:rFonts w:ascii="Cambria" w:hAnsi="Cambria"/>
          <w:b w:val="0"/>
          <w:color w:val="000000"/>
          <w:sz w:val="20"/>
          <w:szCs w:val="20"/>
          <w:lang w:val="es-ES"/>
        </w:rPr>
        <w:t>N</w:t>
      </w:r>
      <w:r w:rsidR="00AE069E" w:rsidRPr="00845503">
        <w:rPr>
          <w:rFonts w:ascii="Cambria" w:hAnsi="Cambria"/>
          <w:b w:val="0"/>
          <w:color w:val="000000"/>
          <w:sz w:val="20"/>
          <w:szCs w:val="20"/>
          <w:lang w:val="es-ES"/>
        </w:rPr>
        <w:t>adie quiere volver a la parte negativa de los años 50, como quiere hacer ver el gobierno. Las realidades del mundo han cambiado significativamente y las de nuestro país, también. La transición hacia la democracia que queremos lograr, está basada en los principios fundamentales de la Constitución del 40, que establece derechos sociales que no tienen nada que ver con el influjo de la extensión del neoliberalismo. En realidad, la situación de hoy, con empresas extranjeras que contratan a sus trabajadores por conducto de un intermediario estatal que los explota y que ni siquiera les ofrece un vínculo laboral estable, sí podría ser calificada como neo-totalitarista. No brinda el documento la posibilidad de existencia de un Estado de Derecho, ni un sistema judicial independiente e imparcial que no permita que se rechacen las libertades y derechos individuales y el pluralismo político</w:t>
      </w:r>
      <w:r w:rsidR="000D270D" w:rsidRPr="00845503">
        <w:rPr>
          <w:rFonts w:ascii="Cambria" w:hAnsi="Cambria"/>
          <w:b w:val="0"/>
          <w:color w:val="000000"/>
          <w:sz w:val="20"/>
          <w:szCs w:val="20"/>
          <w:lang w:val="es-ES"/>
        </w:rPr>
        <w:t>.  […]</w:t>
      </w:r>
    </w:p>
    <w:p w:rsidR="00AE069E" w:rsidRPr="00845503" w:rsidRDefault="00AE069E" w:rsidP="009C22C5">
      <w:pPr>
        <w:pStyle w:val="Heading4"/>
        <w:keepNext w:val="0"/>
        <w:shd w:val="clear" w:color="auto" w:fill="FFFFFF"/>
        <w:ind w:left="720" w:right="720"/>
        <w:jc w:val="both"/>
        <w:rPr>
          <w:rFonts w:ascii="Cambria" w:hAnsi="Cambria"/>
          <w:b w:val="0"/>
          <w:color w:val="000000"/>
          <w:sz w:val="20"/>
          <w:szCs w:val="20"/>
          <w:lang w:val="es-ES"/>
        </w:rPr>
      </w:pPr>
      <w:r w:rsidRPr="00845503">
        <w:rPr>
          <w:rFonts w:ascii="Cambria" w:hAnsi="Cambria"/>
          <w:b w:val="0"/>
          <w:color w:val="000000"/>
          <w:sz w:val="20"/>
          <w:szCs w:val="20"/>
          <w:lang w:val="es-ES"/>
        </w:rPr>
        <w:lastRenderedPageBreak/>
        <w:t xml:space="preserve">Se dice que el Partido demanda de cada uno de sus integrantes pensar con su propia cabeza y expresarse libremente en el seno de las organizaciones partidistas. Entonces son 770,000 las personas que cuentan con licencia para pensar y hablar, pero el resto del pueblo, de los sin partido, de los que constituyen la mayoría de la población, no tienen posibilidad de expresarse libremente, les hace falta también su espacio. </w:t>
      </w:r>
      <w:r w:rsidR="00A669E3" w:rsidRPr="00845503">
        <w:rPr>
          <w:rFonts w:ascii="Cambria" w:hAnsi="Cambria"/>
          <w:b w:val="0"/>
          <w:color w:val="000000"/>
          <w:sz w:val="20"/>
          <w:szCs w:val="20"/>
          <w:lang w:val="es-ES"/>
        </w:rPr>
        <w:t xml:space="preserve">[…] </w:t>
      </w:r>
      <w:r w:rsidRPr="00845503">
        <w:rPr>
          <w:rFonts w:ascii="Cambria" w:hAnsi="Cambria"/>
          <w:b w:val="0"/>
          <w:color w:val="000000"/>
          <w:sz w:val="20"/>
          <w:szCs w:val="20"/>
          <w:lang w:val="es-ES"/>
        </w:rPr>
        <w:t>Lo novedoso sería que permitieran a la oposición que for</w:t>
      </w:r>
      <w:r w:rsidR="00977467" w:rsidRPr="00845503">
        <w:rPr>
          <w:rFonts w:ascii="Cambria" w:hAnsi="Cambria"/>
          <w:b w:val="0"/>
          <w:color w:val="000000"/>
          <w:sz w:val="20"/>
          <w:szCs w:val="20"/>
          <w:lang w:val="es-ES"/>
        </w:rPr>
        <w:t>mara parte del propio proceso ele</w:t>
      </w:r>
      <w:r w:rsidRPr="00845503">
        <w:rPr>
          <w:rFonts w:ascii="Cambria" w:hAnsi="Cambria"/>
          <w:b w:val="0"/>
          <w:color w:val="000000"/>
          <w:sz w:val="20"/>
          <w:szCs w:val="20"/>
          <w:lang w:val="es-ES"/>
        </w:rPr>
        <w:t>ctoral, contando con sus propios partidos y con la posibilidad de postular a su</w:t>
      </w:r>
      <w:r w:rsidR="009B3919" w:rsidRPr="00845503">
        <w:rPr>
          <w:rFonts w:ascii="Cambria" w:hAnsi="Cambria"/>
          <w:b w:val="0"/>
          <w:color w:val="000000"/>
          <w:sz w:val="20"/>
          <w:szCs w:val="20"/>
          <w:lang w:val="es-ES"/>
        </w:rPr>
        <w:t>s</w:t>
      </w:r>
      <w:r w:rsidRPr="00845503">
        <w:rPr>
          <w:rFonts w:ascii="Cambria" w:hAnsi="Cambria"/>
          <w:b w:val="0"/>
          <w:color w:val="000000"/>
          <w:sz w:val="20"/>
          <w:szCs w:val="20"/>
          <w:lang w:val="es-ES"/>
        </w:rPr>
        <w:t xml:space="preserve"> candidatos y hacer campañas políticas y dándole acceso a observadores internacionales para que supervisen las elecciones.</w:t>
      </w:r>
    </w:p>
    <w:p w:rsidR="00AE069E" w:rsidRPr="00845503" w:rsidRDefault="00FD7E80" w:rsidP="00875A4B">
      <w:pPr>
        <w:pStyle w:val="Heading4"/>
        <w:shd w:val="clear" w:color="auto" w:fill="FFFFFF"/>
        <w:ind w:left="720" w:right="720"/>
        <w:jc w:val="both"/>
        <w:rPr>
          <w:rFonts w:ascii="Cambria" w:hAnsi="Cambria"/>
          <w:b w:val="0"/>
          <w:color w:val="000000"/>
          <w:sz w:val="20"/>
          <w:szCs w:val="20"/>
          <w:lang w:val="es-ES"/>
        </w:rPr>
      </w:pPr>
      <w:r w:rsidRPr="00845503">
        <w:rPr>
          <w:rFonts w:ascii="Cambria" w:hAnsi="Cambria"/>
          <w:b w:val="0"/>
          <w:color w:val="000000"/>
          <w:sz w:val="20"/>
          <w:szCs w:val="20"/>
          <w:lang w:val="es-ES"/>
        </w:rPr>
        <w:t xml:space="preserve">[…] </w:t>
      </w:r>
      <w:r w:rsidR="00AE069E" w:rsidRPr="00845503">
        <w:rPr>
          <w:rFonts w:ascii="Cambria" w:hAnsi="Cambria"/>
          <w:b w:val="0"/>
          <w:color w:val="000000"/>
          <w:sz w:val="20"/>
          <w:szCs w:val="20"/>
          <w:lang w:val="es-ES"/>
        </w:rPr>
        <w:t>El Estado no está al servicio del ciudadano. Ni siquiera existe entre aquel y este una relación igualitaria de derechos y obligaciones recíprocas, sino que, por el contrario, el ciudadano está al servicio del Estado.</w:t>
      </w:r>
      <w:r w:rsidR="000D270D" w:rsidRPr="00845503">
        <w:rPr>
          <w:rFonts w:ascii="Cambria" w:hAnsi="Cambria"/>
          <w:b w:val="0"/>
          <w:color w:val="000000"/>
          <w:sz w:val="20"/>
          <w:szCs w:val="20"/>
          <w:lang w:val="es-ES"/>
        </w:rPr>
        <w:t xml:space="preserve"> </w:t>
      </w:r>
      <w:r w:rsidR="00AE069E" w:rsidRPr="00845503">
        <w:rPr>
          <w:rFonts w:ascii="Cambria" w:hAnsi="Cambria"/>
          <w:b w:val="0"/>
          <w:color w:val="000000"/>
          <w:sz w:val="20"/>
          <w:szCs w:val="20"/>
          <w:lang w:val="es-ES"/>
        </w:rPr>
        <w:t>Las leyes no respetan los derechos inherentes a la persona humana, como lo demuestran las innumerables denuncias de las violaciones a dichos derechos, así como las reiteradas sanciones a Cuba por esa razón en las Naciones Unidas.</w:t>
      </w:r>
    </w:p>
    <w:p w:rsidR="00AE069E" w:rsidRPr="00845503" w:rsidRDefault="00AE069E" w:rsidP="00875A4B">
      <w:pPr>
        <w:pStyle w:val="Heading4"/>
        <w:shd w:val="clear" w:color="auto" w:fill="FFFFFF"/>
        <w:ind w:left="720" w:right="720"/>
        <w:jc w:val="both"/>
        <w:rPr>
          <w:rFonts w:ascii="Cambria" w:hAnsi="Cambria"/>
          <w:b w:val="0"/>
          <w:color w:val="000000"/>
          <w:sz w:val="20"/>
          <w:szCs w:val="20"/>
          <w:lang w:val="es-ES"/>
        </w:rPr>
      </w:pPr>
      <w:r w:rsidRPr="00845503">
        <w:rPr>
          <w:rFonts w:ascii="Cambria" w:hAnsi="Cambria"/>
          <w:b w:val="0"/>
          <w:color w:val="000000"/>
          <w:sz w:val="20"/>
          <w:szCs w:val="20"/>
          <w:lang w:val="es-ES"/>
        </w:rPr>
        <w:t>El Gobierno debería solucionar problemas tales como el derecho a entrar y salir libremente del territorio nacional a los cubanos y permitir el ingreso en el país al Relator Especial de las Naciones Unidas para los Derechos Humanos y a su equipo.</w:t>
      </w:r>
      <w:r w:rsidR="00875A4B" w:rsidRPr="00845503">
        <w:rPr>
          <w:rFonts w:ascii="Cambria" w:hAnsi="Cambria"/>
          <w:b w:val="0"/>
          <w:color w:val="000000"/>
          <w:sz w:val="20"/>
          <w:szCs w:val="20"/>
          <w:lang w:val="es-ES"/>
        </w:rPr>
        <w:t>[…]</w:t>
      </w:r>
      <w:r w:rsidR="00B84D44" w:rsidRPr="00845503">
        <w:rPr>
          <w:rStyle w:val="FootnoteReference"/>
          <w:rFonts w:ascii="Cambria" w:hAnsi="Cambria"/>
          <w:b w:val="0"/>
          <w:color w:val="000000"/>
          <w:sz w:val="20"/>
          <w:szCs w:val="20"/>
          <w:lang w:val="es-ES"/>
        </w:rPr>
        <w:footnoteReference w:id="16"/>
      </w:r>
    </w:p>
    <w:p w:rsidR="00AE069E" w:rsidRPr="00845503" w:rsidRDefault="00AE069E" w:rsidP="00AE06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D9386D" w:rsidRPr="00845503" w:rsidRDefault="00D9386D"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 xml:space="preserve">El contenido de los documentos mencionados fue </w:t>
      </w:r>
      <w:r w:rsidR="009158CB" w:rsidRPr="00845503">
        <w:rPr>
          <w:rFonts w:ascii="Cambria" w:hAnsi="Cambria" w:cs="Arial"/>
          <w:sz w:val="20"/>
          <w:szCs w:val="20"/>
          <w:lang w:val="es-CO"/>
        </w:rPr>
        <w:t>difundido</w:t>
      </w:r>
      <w:r w:rsidRPr="00845503">
        <w:rPr>
          <w:rFonts w:ascii="Cambria" w:hAnsi="Cambria" w:cs="Arial"/>
          <w:sz w:val="20"/>
          <w:szCs w:val="20"/>
          <w:lang w:val="es-CO"/>
        </w:rPr>
        <w:t xml:space="preserve"> por los peticionarios a través de varios programas en la emisora </w:t>
      </w:r>
      <w:r w:rsidRPr="00845503">
        <w:rPr>
          <w:rFonts w:ascii="Cambria" w:hAnsi="Cambria" w:cs="Arial"/>
          <w:i/>
          <w:sz w:val="20"/>
          <w:szCs w:val="20"/>
          <w:lang w:val="es-CO"/>
        </w:rPr>
        <w:t>Radio Martí</w:t>
      </w:r>
      <w:r w:rsidRPr="00845503">
        <w:rPr>
          <w:rFonts w:ascii="Cambria" w:hAnsi="Cambria" w:cs="Arial"/>
          <w:sz w:val="20"/>
          <w:szCs w:val="20"/>
          <w:lang w:val="es-CO"/>
        </w:rPr>
        <w:t xml:space="preserve">, así como a través de entrevistas realizadas por medios extranjeros tales como el diario </w:t>
      </w:r>
      <w:r w:rsidR="00D86BE5" w:rsidRPr="00845503">
        <w:rPr>
          <w:rFonts w:ascii="Cambria" w:hAnsi="Cambria" w:cs="Arial"/>
          <w:i/>
          <w:sz w:val="20"/>
          <w:szCs w:val="20"/>
          <w:lang w:val="es-CO"/>
        </w:rPr>
        <w:t>Nuevo</w:t>
      </w:r>
      <w:r w:rsidRPr="00845503">
        <w:rPr>
          <w:rFonts w:ascii="Cambria" w:hAnsi="Cambria" w:cs="Arial"/>
          <w:i/>
          <w:sz w:val="20"/>
          <w:szCs w:val="20"/>
          <w:lang w:val="es-CO"/>
        </w:rPr>
        <w:t xml:space="preserve"> Herald</w:t>
      </w:r>
      <w:r w:rsidRPr="00845503">
        <w:rPr>
          <w:rFonts w:ascii="Cambria" w:hAnsi="Cambria" w:cs="Arial"/>
          <w:sz w:val="20"/>
          <w:szCs w:val="20"/>
          <w:lang w:val="es-CO"/>
        </w:rPr>
        <w:t xml:space="preserve">. Además realizaron reuniones en sus casas para dar a conocer y compartir el contenido de los documentos. </w:t>
      </w:r>
      <w:r w:rsidR="0066173E" w:rsidRPr="00845503">
        <w:rPr>
          <w:rFonts w:ascii="Cambria" w:hAnsi="Cambria" w:cs="Arial"/>
          <w:sz w:val="20"/>
          <w:szCs w:val="20"/>
          <w:lang w:val="es-CO"/>
        </w:rPr>
        <w:t xml:space="preserve"> En particular, el 27 de junio de 1997, los cuatro del Grupo celebraron una c</w:t>
      </w:r>
      <w:r w:rsidR="00D2470C" w:rsidRPr="00845503">
        <w:rPr>
          <w:rFonts w:ascii="Cambria" w:hAnsi="Cambria" w:cs="Arial"/>
          <w:sz w:val="20"/>
          <w:szCs w:val="20"/>
          <w:lang w:val="es-CO"/>
        </w:rPr>
        <w:t>onferencia de prensa en la vivie</w:t>
      </w:r>
      <w:r w:rsidR="0066173E" w:rsidRPr="00845503">
        <w:rPr>
          <w:rFonts w:ascii="Cambria" w:hAnsi="Cambria" w:cs="Arial"/>
          <w:sz w:val="20"/>
          <w:szCs w:val="20"/>
          <w:lang w:val="es-CO"/>
        </w:rPr>
        <w:t xml:space="preserve">nda de </w:t>
      </w:r>
      <w:r w:rsidR="00967821" w:rsidRPr="00845503">
        <w:rPr>
          <w:rFonts w:ascii="Cambria" w:hAnsi="Cambria" w:cs="Arial"/>
          <w:sz w:val="20"/>
          <w:szCs w:val="20"/>
          <w:lang w:val="es-CO"/>
        </w:rPr>
        <w:t>Martha</w:t>
      </w:r>
      <w:r w:rsidR="0066173E" w:rsidRPr="00845503">
        <w:rPr>
          <w:rFonts w:ascii="Cambria" w:hAnsi="Cambria" w:cs="Arial"/>
          <w:sz w:val="20"/>
          <w:szCs w:val="20"/>
          <w:lang w:val="es-CO"/>
        </w:rPr>
        <w:t xml:space="preserve"> Roque Cabello</w:t>
      </w:r>
      <w:r w:rsidR="00D86BE5" w:rsidRPr="00845503">
        <w:rPr>
          <w:rFonts w:ascii="Cambria" w:hAnsi="Cambria" w:cs="Arial"/>
          <w:sz w:val="20"/>
          <w:szCs w:val="20"/>
          <w:lang w:val="es-CO"/>
        </w:rPr>
        <w:t xml:space="preserve"> para difundir el documento “La Patria es de Todos”</w:t>
      </w:r>
      <w:r w:rsidR="00D2470C" w:rsidRPr="00845503">
        <w:rPr>
          <w:rFonts w:ascii="Cambria" w:hAnsi="Cambria" w:cs="Arial"/>
          <w:sz w:val="20"/>
          <w:szCs w:val="20"/>
          <w:lang w:val="es-CO"/>
        </w:rPr>
        <w:t>, que cont</w:t>
      </w:r>
      <w:r w:rsidR="00D86BE5" w:rsidRPr="00845503">
        <w:rPr>
          <w:rFonts w:ascii="Cambria" w:hAnsi="Cambria" w:cs="Arial"/>
          <w:sz w:val="20"/>
          <w:szCs w:val="20"/>
          <w:lang w:val="es-ES"/>
        </w:rPr>
        <w:t>ó</w:t>
      </w:r>
      <w:r w:rsidR="00D2470C" w:rsidRPr="00845503">
        <w:rPr>
          <w:rFonts w:ascii="Cambria" w:hAnsi="Cambria" w:cs="Arial"/>
          <w:sz w:val="20"/>
          <w:szCs w:val="20"/>
          <w:lang w:val="es-CO"/>
        </w:rPr>
        <w:t xml:space="preserve"> con la asistencia de prensa extranjera</w:t>
      </w:r>
      <w:r w:rsidR="00D86BE5" w:rsidRPr="00845503">
        <w:rPr>
          <w:rFonts w:ascii="Cambria" w:hAnsi="Cambria" w:cs="Arial"/>
          <w:sz w:val="20"/>
          <w:szCs w:val="20"/>
          <w:lang w:val="es-CO"/>
        </w:rPr>
        <w:t xml:space="preserve"> y diplomáticos en el país. E</w:t>
      </w:r>
      <w:r w:rsidR="00D2470C" w:rsidRPr="00845503">
        <w:rPr>
          <w:rFonts w:ascii="Cambria" w:hAnsi="Cambria" w:cs="Arial"/>
          <w:sz w:val="20"/>
          <w:szCs w:val="20"/>
          <w:lang w:val="es-CO"/>
        </w:rPr>
        <w:t xml:space="preserve">l 30 de junio, Roca </w:t>
      </w:r>
      <w:r w:rsidR="00A31849" w:rsidRPr="00845503">
        <w:rPr>
          <w:rFonts w:ascii="Cambria" w:hAnsi="Cambria" w:cs="Arial"/>
          <w:sz w:val="20"/>
          <w:szCs w:val="20"/>
          <w:lang w:val="es-CO"/>
        </w:rPr>
        <w:t>Antúnez</w:t>
      </w:r>
      <w:r w:rsidR="00D2470C" w:rsidRPr="00845503">
        <w:rPr>
          <w:rFonts w:ascii="Cambria" w:hAnsi="Cambria" w:cs="Arial"/>
          <w:sz w:val="20"/>
          <w:szCs w:val="20"/>
          <w:lang w:val="es-CO"/>
        </w:rPr>
        <w:t xml:space="preserve"> y Roque </w:t>
      </w:r>
      <w:r w:rsidR="00D86BE5" w:rsidRPr="00845503">
        <w:rPr>
          <w:rFonts w:ascii="Cambria" w:hAnsi="Cambria" w:cs="Arial"/>
          <w:sz w:val="20"/>
          <w:szCs w:val="20"/>
          <w:lang w:val="es-CO"/>
        </w:rPr>
        <w:t>C</w:t>
      </w:r>
      <w:r w:rsidR="00D2470C" w:rsidRPr="00845503">
        <w:rPr>
          <w:rFonts w:ascii="Cambria" w:hAnsi="Cambria" w:cs="Arial"/>
          <w:sz w:val="20"/>
          <w:szCs w:val="20"/>
          <w:lang w:val="es-CO"/>
        </w:rPr>
        <w:t xml:space="preserve">abello dieron entrevistas a la emisora </w:t>
      </w:r>
      <w:r w:rsidR="00D2470C" w:rsidRPr="00845503">
        <w:rPr>
          <w:rFonts w:ascii="Cambria" w:hAnsi="Cambria" w:cs="Arial"/>
          <w:i/>
          <w:sz w:val="20"/>
          <w:szCs w:val="20"/>
          <w:lang w:val="es-CO"/>
        </w:rPr>
        <w:t>Radio Marti</w:t>
      </w:r>
      <w:r w:rsidR="00D2470C" w:rsidRPr="00845503">
        <w:rPr>
          <w:rFonts w:ascii="Cambria" w:hAnsi="Cambria" w:cs="Arial"/>
          <w:sz w:val="20"/>
          <w:szCs w:val="20"/>
          <w:lang w:val="es-CO"/>
        </w:rPr>
        <w:t xml:space="preserve"> </w:t>
      </w:r>
      <w:r w:rsidR="00D86BE5" w:rsidRPr="00845503">
        <w:rPr>
          <w:rFonts w:ascii="Cambria" w:hAnsi="Cambria" w:cs="Arial"/>
          <w:sz w:val="20"/>
          <w:szCs w:val="20"/>
          <w:lang w:val="es-CO"/>
        </w:rPr>
        <w:t xml:space="preserve">y al diario </w:t>
      </w:r>
      <w:r w:rsidR="00D86BE5" w:rsidRPr="00845503">
        <w:rPr>
          <w:rFonts w:ascii="Cambria" w:hAnsi="Cambria" w:cs="Arial"/>
          <w:i/>
          <w:sz w:val="20"/>
          <w:szCs w:val="20"/>
          <w:lang w:val="es-CO"/>
        </w:rPr>
        <w:t>Nuevo Herald</w:t>
      </w:r>
      <w:r w:rsidR="00D86BE5" w:rsidRPr="00845503">
        <w:rPr>
          <w:rFonts w:ascii="Cambria" w:hAnsi="Cambria" w:cs="Arial"/>
          <w:sz w:val="20"/>
          <w:szCs w:val="20"/>
          <w:lang w:val="es-CO"/>
        </w:rPr>
        <w:t xml:space="preserve"> </w:t>
      </w:r>
      <w:r w:rsidR="00D2470C" w:rsidRPr="00845503">
        <w:rPr>
          <w:rFonts w:ascii="Cambria" w:hAnsi="Cambria" w:cs="Arial"/>
          <w:sz w:val="20"/>
          <w:szCs w:val="20"/>
          <w:lang w:val="es-CO"/>
        </w:rPr>
        <w:t xml:space="preserve">sobre </w:t>
      </w:r>
      <w:r w:rsidR="00E37F71" w:rsidRPr="00845503">
        <w:rPr>
          <w:rFonts w:ascii="Cambria" w:hAnsi="Cambria" w:cs="Arial"/>
          <w:sz w:val="20"/>
          <w:szCs w:val="20"/>
          <w:lang w:val="es-CO"/>
        </w:rPr>
        <w:t>dicho</w:t>
      </w:r>
      <w:r w:rsidR="00D2470C" w:rsidRPr="00845503">
        <w:rPr>
          <w:rFonts w:ascii="Cambria" w:hAnsi="Cambria" w:cs="Arial"/>
          <w:sz w:val="20"/>
          <w:szCs w:val="20"/>
          <w:lang w:val="es-CO"/>
        </w:rPr>
        <w:t xml:space="preserve"> documento</w:t>
      </w:r>
      <w:r w:rsidR="00B84D44" w:rsidRPr="00845503">
        <w:rPr>
          <w:rStyle w:val="FootnoteReference"/>
          <w:rFonts w:ascii="Cambria" w:hAnsi="Cambria" w:cs="Arial"/>
          <w:sz w:val="20"/>
          <w:szCs w:val="20"/>
          <w:lang w:val="es-CO"/>
        </w:rPr>
        <w:footnoteReference w:id="17"/>
      </w:r>
      <w:r w:rsidR="00D2470C" w:rsidRPr="00845503">
        <w:rPr>
          <w:rFonts w:ascii="Cambria" w:hAnsi="Cambria" w:cs="Arial"/>
          <w:sz w:val="20"/>
          <w:szCs w:val="20"/>
          <w:lang w:val="es-CO"/>
        </w:rPr>
        <w:t>.</w:t>
      </w:r>
    </w:p>
    <w:p w:rsidR="005227D1" w:rsidRPr="00845503" w:rsidRDefault="005227D1" w:rsidP="005227D1">
      <w:pPr>
        <w:pStyle w:val="ListParagraph"/>
        <w:rPr>
          <w:rFonts w:cs="Arial"/>
          <w:sz w:val="20"/>
          <w:szCs w:val="20"/>
          <w:lang w:val="es-CO"/>
        </w:rPr>
      </w:pPr>
    </w:p>
    <w:p w:rsidR="005227D1" w:rsidRPr="00A14219" w:rsidRDefault="00BC5A9C" w:rsidP="009C22C5">
      <w:pPr>
        <w:pStyle w:val="Heading3"/>
        <w:numPr>
          <w:ilvl w:val="0"/>
          <w:numId w:val="66"/>
        </w:numPr>
        <w:spacing w:before="0" w:after="0"/>
        <w:ind w:left="1440" w:hanging="720"/>
        <w:jc w:val="both"/>
        <w:rPr>
          <w:rFonts w:ascii="Cambria" w:hAnsi="Cambria"/>
          <w:sz w:val="20"/>
          <w:szCs w:val="20"/>
          <w:lang w:val="es-ES"/>
        </w:rPr>
      </w:pPr>
      <w:bookmarkStart w:id="9" w:name="_Toc505951342"/>
      <w:r w:rsidRPr="00A14219">
        <w:rPr>
          <w:rFonts w:ascii="Cambria" w:hAnsi="Cambria"/>
          <w:sz w:val="20"/>
          <w:szCs w:val="20"/>
          <w:lang w:val="es-ES"/>
        </w:rPr>
        <w:t>Sobre la d</w:t>
      </w:r>
      <w:r w:rsidR="005227D1" w:rsidRPr="00A14219">
        <w:rPr>
          <w:rFonts w:ascii="Cambria" w:hAnsi="Cambria"/>
          <w:sz w:val="20"/>
          <w:szCs w:val="20"/>
          <w:lang w:val="es-ES"/>
        </w:rPr>
        <w:t xml:space="preserve">etención y </w:t>
      </w:r>
      <w:r w:rsidRPr="00A14219">
        <w:rPr>
          <w:rFonts w:ascii="Cambria" w:hAnsi="Cambria"/>
          <w:sz w:val="20"/>
          <w:szCs w:val="20"/>
          <w:lang w:val="es-ES"/>
        </w:rPr>
        <w:t>p</w:t>
      </w:r>
      <w:r w:rsidR="005227D1" w:rsidRPr="00A14219">
        <w:rPr>
          <w:rFonts w:ascii="Cambria" w:hAnsi="Cambria"/>
          <w:sz w:val="20"/>
          <w:szCs w:val="20"/>
          <w:lang w:val="es-ES"/>
        </w:rPr>
        <w:t>roceso penal con</w:t>
      </w:r>
      <w:r w:rsidR="006A4BA5" w:rsidRPr="00A14219">
        <w:rPr>
          <w:rFonts w:ascii="Cambria" w:hAnsi="Cambria"/>
          <w:sz w:val="20"/>
          <w:szCs w:val="20"/>
          <w:lang w:val="es-ES"/>
        </w:rPr>
        <w:t xml:space="preserve">tra </w:t>
      </w:r>
      <w:r w:rsidR="001A0D13" w:rsidRPr="00A14219">
        <w:rPr>
          <w:rFonts w:ascii="Cambria" w:hAnsi="Cambria"/>
          <w:sz w:val="20"/>
          <w:szCs w:val="20"/>
          <w:lang w:val="es-ES"/>
        </w:rPr>
        <w:t xml:space="preserve">los integrantes del Grupo de Trabajo de la Disidencia Interna, </w:t>
      </w:r>
      <w:r w:rsidR="006A4BA5" w:rsidRPr="00A14219">
        <w:rPr>
          <w:rFonts w:ascii="Cambria" w:hAnsi="Cambria"/>
          <w:sz w:val="20"/>
          <w:szCs w:val="20"/>
          <w:lang w:val="es-ES"/>
        </w:rPr>
        <w:t>Vladimiro Roca Antúnez, René</w:t>
      </w:r>
      <w:r w:rsidR="005227D1" w:rsidRPr="00A14219">
        <w:rPr>
          <w:rFonts w:ascii="Cambria" w:hAnsi="Cambria"/>
          <w:sz w:val="20"/>
          <w:szCs w:val="20"/>
          <w:lang w:val="es-ES"/>
        </w:rPr>
        <w:t xml:space="preserve"> Gómez Manzano, </w:t>
      </w:r>
      <w:r w:rsidR="00967821" w:rsidRPr="00A14219">
        <w:rPr>
          <w:rFonts w:ascii="Cambria" w:hAnsi="Cambria"/>
          <w:sz w:val="20"/>
          <w:szCs w:val="20"/>
          <w:lang w:val="es-ES"/>
        </w:rPr>
        <w:t>Martha</w:t>
      </w:r>
      <w:r w:rsidR="005227D1" w:rsidRPr="00A14219">
        <w:rPr>
          <w:rFonts w:ascii="Cambria" w:hAnsi="Cambria"/>
          <w:sz w:val="20"/>
          <w:szCs w:val="20"/>
          <w:lang w:val="es-ES"/>
        </w:rPr>
        <w:t xml:space="preserve"> Beatriz Roque Cabello y Félix Bonne Carcassés</w:t>
      </w:r>
      <w:bookmarkEnd w:id="9"/>
    </w:p>
    <w:p w:rsidR="005227D1" w:rsidRPr="00845503" w:rsidRDefault="005227D1" w:rsidP="0046202E">
      <w:pPr>
        <w:pStyle w:val="ListParagraph"/>
        <w:ind w:left="0"/>
        <w:jc w:val="both"/>
        <w:rPr>
          <w:rFonts w:cs="Arial"/>
          <w:color w:val="auto"/>
          <w:sz w:val="20"/>
          <w:szCs w:val="20"/>
          <w:lang w:val="es-CO"/>
        </w:rPr>
      </w:pPr>
    </w:p>
    <w:p w:rsidR="00C3527D" w:rsidRPr="00845503" w:rsidRDefault="00D86BE5"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El</w:t>
      </w:r>
      <w:r w:rsidR="00D15519" w:rsidRPr="00845503">
        <w:rPr>
          <w:rFonts w:ascii="Cambria" w:hAnsi="Cambria" w:cs="Arial"/>
          <w:sz w:val="20"/>
          <w:szCs w:val="20"/>
          <w:lang w:val="es-CO"/>
        </w:rPr>
        <w:t xml:space="preserve"> 16 de julio de 1997</w:t>
      </w:r>
      <w:r w:rsidRPr="00845503">
        <w:rPr>
          <w:rFonts w:ascii="Cambria" w:hAnsi="Cambria" w:cs="Arial"/>
          <w:sz w:val="20"/>
          <w:szCs w:val="20"/>
          <w:lang w:val="es-CO"/>
        </w:rPr>
        <w:t xml:space="preserve">, semanas después de la difusión del último </w:t>
      </w:r>
      <w:r w:rsidR="00A31849" w:rsidRPr="00845503">
        <w:rPr>
          <w:rFonts w:ascii="Cambria" w:hAnsi="Cambria" w:cs="Arial"/>
          <w:sz w:val="20"/>
          <w:szCs w:val="20"/>
          <w:lang w:val="es-CO"/>
        </w:rPr>
        <w:t>boletín</w:t>
      </w:r>
      <w:r w:rsidRPr="00845503">
        <w:rPr>
          <w:rFonts w:ascii="Cambria" w:hAnsi="Cambria" w:cs="Arial"/>
          <w:sz w:val="20"/>
          <w:szCs w:val="20"/>
          <w:lang w:val="es-CO"/>
        </w:rPr>
        <w:t xml:space="preserve">, </w:t>
      </w:r>
      <w:r w:rsidRPr="00845503">
        <w:rPr>
          <w:rFonts w:ascii="Cambria" w:hAnsi="Cambria" w:cs="Arial"/>
          <w:sz w:val="20"/>
          <w:szCs w:val="20"/>
          <w:lang w:val="es-ES"/>
        </w:rPr>
        <w:t>“</w:t>
      </w:r>
      <w:r w:rsidRPr="00845503">
        <w:rPr>
          <w:rFonts w:ascii="Cambria" w:hAnsi="Cambria" w:cs="Arial"/>
          <w:sz w:val="20"/>
          <w:szCs w:val="20"/>
          <w:lang w:val="es-CO"/>
        </w:rPr>
        <w:t>La Patria es de Todos”,</w:t>
      </w:r>
      <w:r w:rsidR="00D15519" w:rsidRPr="00845503">
        <w:rPr>
          <w:rFonts w:ascii="Cambria" w:hAnsi="Cambria" w:cs="Arial"/>
          <w:sz w:val="20"/>
          <w:szCs w:val="20"/>
          <w:lang w:val="es-CO"/>
        </w:rPr>
        <w:t xml:space="preserve"> </w:t>
      </w:r>
      <w:r w:rsidR="001A0D13" w:rsidRPr="00845503">
        <w:rPr>
          <w:rFonts w:ascii="Cambria" w:hAnsi="Cambria" w:cs="Arial"/>
          <w:sz w:val="20"/>
          <w:szCs w:val="20"/>
          <w:lang w:val="es-CO"/>
        </w:rPr>
        <w:t xml:space="preserve">los cuatro integrantes del Grupo de Trabajo de la Disidencia Interna, </w:t>
      </w:r>
      <w:r w:rsidRPr="00845503">
        <w:rPr>
          <w:rFonts w:ascii="Cambria" w:hAnsi="Cambria" w:cs="Arial"/>
          <w:sz w:val="20"/>
          <w:szCs w:val="20"/>
          <w:lang w:val="es-CO"/>
        </w:rPr>
        <w:t>Vladimiro Roca</w:t>
      </w:r>
      <w:r w:rsidR="00D9386D" w:rsidRPr="00845503">
        <w:rPr>
          <w:rFonts w:ascii="Cambria" w:hAnsi="Cambria" w:cs="Arial"/>
          <w:sz w:val="20"/>
          <w:szCs w:val="20"/>
          <w:lang w:val="es-CO"/>
        </w:rPr>
        <w:t>, Ren</w:t>
      </w:r>
      <w:r w:rsidR="00864B11" w:rsidRPr="00845503">
        <w:rPr>
          <w:rFonts w:ascii="Cambria" w:hAnsi="Cambria" w:cs="Arial"/>
          <w:sz w:val="20"/>
          <w:szCs w:val="20"/>
          <w:lang w:val="es-CO"/>
        </w:rPr>
        <w:t>é</w:t>
      </w:r>
      <w:r w:rsidR="00D9386D" w:rsidRPr="00845503">
        <w:rPr>
          <w:rFonts w:ascii="Cambria" w:hAnsi="Cambria" w:cs="Arial"/>
          <w:sz w:val="20"/>
          <w:szCs w:val="20"/>
          <w:lang w:val="es-CO"/>
        </w:rPr>
        <w:t xml:space="preserve"> Gómez Manzano, </w:t>
      </w:r>
      <w:r w:rsidR="00967821" w:rsidRPr="00845503">
        <w:rPr>
          <w:rFonts w:ascii="Cambria" w:hAnsi="Cambria" w:cs="Arial"/>
          <w:sz w:val="20"/>
          <w:szCs w:val="20"/>
          <w:lang w:val="es-CO"/>
        </w:rPr>
        <w:t>Martha</w:t>
      </w:r>
      <w:r w:rsidR="00D9386D" w:rsidRPr="00845503">
        <w:rPr>
          <w:rFonts w:ascii="Cambria" w:hAnsi="Cambria" w:cs="Arial"/>
          <w:sz w:val="20"/>
          <w:szCs w:val="20"/>
          <w:lang w:val="es-CO"/>
        </w:rPr>
        <w:t xml:space="preserve"> Roque Cabello y Félix Bonne Carcassés</w:t>
      </w:r>
      <w:r w:rsidR="001A0D13" w:rsidRPr="00845503">
        <w:rPr>
          <w:rFonts w:ascii="Cambria" w:hAnsi="Cambria" w:cs="Arial"/>
          <w:sz w:val="20"/>
          <w:szCs w:val="20"/>
          <w:lang w:val="es-CO"/>
        </w:rPr>
        <w:t>,</w:t>
      </w:r>
      <w:r w:rsidR="00D9386D" w:rsidRPr="00845503">
        <w:rPr>
          <w:rFonts w:ascii="Cambria" w:hAnsi="Cambria" w:cs="Arial"/>
          <w:sz w:val="20"/>
          <w:szCs w:val="20"/>
          <w:lang w:val="es-CO"/>
        </w:rPr>
        <w:t xml:space="preserve"> fueron detenidos en la Habana por la Policía de Seguridad del Estado y fueron conducidos al centro de detención Villa Marista</w:t>
      </w:r>
      <w:r w:rsidR="0002716B" w:rsidRPr="00845503">
        <w:rPr>
          <w:rFonts w:ascii="Cambria" w:hAnsi="Cambria" w:cs="Arial"/>
          <w:sz w:val="20"/>
          <w:szCs w:val="20"/>
          <w:lang w:val="es-CO"/>
        </w:rPr>
        <w:t xml:space="preserve"> donde permanecieron </w:t>
      </w:r>
      <w:r w:rsidR="007E2F5F" w:rsidRPr="00845503">
        <w:rPr>
          <w:rFonts w:ascii="Cambria" w:hAnsi="Cambria" w:cs="Arial"/>
          <w:sz w:val="20"/>
          <w:szCs w:val="20"/>
          <w:lang w:val="es-CO"/>
        </w:rPr>
        <w:t xml:space="preserve">sin contacto </w:t>
      </w:r>
      <w:r w:rsidR="00266AAC" w:rsidRPr="00845503">
        <w:rPr>
          <w:rFonts w:ascii="Cambria" w:hAnsi="Cambria" w:cs="Arial"/>
          <w:sz w:val="20"/>
          <w:szCs w:val="20"/>
          <w:lang w:val="es-CO"/>
        </w:rPr>
        <w:t>de sus</w:t>
      </w:r>
      <w:r w:rsidR="007E2F5F" w:rsidRPr="00845503">
        <w:rPr>
          <w:rFonts w:ascii="Cambria" w:hAnsi="Cambria" w:cs="Arial"/>
          <w:sz w:val="20"/>
          <w:szCs w:val="20"/>
          <w:lang w:val="es-CO"/>
        </w:rPr>
        <w:t xml:space="preserve"> familiares</w:t>
      </w:r>
      <w:r w:rsidR="0002716B" w:rsidRPr="00845503">
        <w:rPr>
          <w:rFonts w:ascii="Cambria" w:hAnsi="Cambria" w:cs="Arial"/>
          <w:sz w:val="20"/>
          <w:szCs w:val="20"/>
          <w:lang w:val="es-CO"/>
        </w:rPr>
        <w:t xml:space="preserve"> por </w:t>
      </w:r>
      <w:r w:rsidR="00364E5B" w:rsidRPr="00845503">
        <w:rPr>
          <w:rFonts w:ascii="Cambria" w:hAnsi="Cambria" w:cs="Arial"/>
          <w:sz w:val="20"/>
          <w:szCs w:val="20"/>
          <w:lang w:val="es-CO"/>
        </w:rPr>
        <w:t>catorce</w:t>
      </w:r>
      <w:r w:rsidR="0002716B" w:rsidRPr="00845503">
        <w:rPr>
          <w:rFonts w:ascii="Cambria" w:hAnsi="Cambria" w:cs="Arial"/>
          <w:sz w:val="20"/>
          <w:szCs w:val="20"/>
          <w:lang w:val="es-CO"/>
        </w:rPr>
        <w:t xml:space="preserve"> días</w:t>
      </w:r>
      <w:r w:rsidR="00D9386D" w:rsidRPr="00845503">
        <w:rPr>
          <w:rFonts w:ascii="Cambria" w:hAnsi="Cambria" w:cs="Arial"/>
          <w:sz w:val="20"/>
          <w:szCs w:val="20"/>
          <w:lang w:val="es-CO"/>
        </w:rPr>
        <w:t xml:space="preserve">. </w:t>
      </w:r>
      <w:r w:rsidR="008209A9" w:rsidRPr="00845503">
        <w:rPr>
          <w:rFonts w:ascii="Cambria" w:hAnsi="Cambria" w:cs="Arial"/>
          <w:sz w:val="20"/>
          <w:szCs w:val="20"/>
          <w:lang w:val="es-CO"/>
        </w:rPr>
        <w:t>La primera visita solo se permitió hasta el 30</w:t>
      </w:r>
      <w:r w:rsidR="00EE7FF9" w:rsidRPr="00845503">
        <w:rPr>
          <w:rFonts w:ascii="Cambria" w:hAnsi="Cambria" w:cs="Arial"/>
          <w:sz w:val="20"/>
          <w:szCs w:val="20"/>
          <w:lang w:val="es-CO"/>
        </w:rPr>
        <w:t xml:space="preserve"> de julio</w:t>
      </w:r>
      <w:r w:rsidR="00CC2D25" w:rsidRPr="00845503">
        <w:rPr>
          <w:rStyle w:val="FootnoteReference"/>
          <w:rFonts w:ascii="Cambria" w:hAnsi="Cambria" w:cs="Arial"/>
          <w:sz w:val="20"/>
          <w:szCs w:val="20"/>
          <w:lang w:val="es-CO"/>
        </w:rPr>
        <w:footnoteReference w:id="18"/>
      </w:r>
      <w:r w:rsidR="008209A9" w:rsidRPr="00845503">
        <w:rPr>
          <w:rFonts w:ascii="Cambria" w:hAnsi="Cambria" w:cs="Arial"/>
          <w:sz w:val="20"/>
          <w:szCs w:val="20"/>
          <w:lang w:val="es-CO"/>
        </w:rPr>
        <w:t xml:space="preserve">. </w:t>
      </w:r>
      <w:r w:rsidR="00364E5B" w:rsidRPr="00845503">
        <w:rPr>
          <w:rFonts w:ascii="Cambria" w:hAnsi="Cambria" w:cs="Arial"/>
          <w:sz w:val="20"/>
          <w:szCs w:val="20"/>
          <w:lang w:val="es-CO"/>
        </w:rPr>
        <w:t xml:space="preserve">Asimismo, permanecieron detenidos sin acceso al aire libre durante 36 días. </w:t>
      </w:r>
    </w:p>
    <w:p w:rsidR="00C3527D" w:rsidRPr="00845503" w:rsidRDefault="00C3527D" w:rsidP="00C3527D">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CO"/>
        </w:rPr>
      </w:pPr>
    </w:p>
    <w:p w:rsidR="00B17B75" w:rsidRPr="00845503" w:rsidRDefault="000D2638"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 xml:space="preserve">En este periodo, la Fiscalía habría emitido un “Auto Fiscal”, al que no pudieron tener acceso los detenidos </w:t>
      </w:r>
      <w:r w:rsidR="00266AAC" w:rsidRPr="00845503">
        <w:rPr>
          <w:rFonts w:ascii="Cambria" w:hAnsi="Cambria" w:cs="Arial"/>
          <w:sz w:val="20"/>
          <w:szCs w:val="20"/>
          <w:lang w:val="es-CO"/>
        </w:rPr>
        <w:t>o</w:t>
      </w:r>
      <w:r w:rsidRPr="00845503">
        <w:rPr>
          <w:rFonts w:ascii="Cambria" w:hAnsi="Cambria" w:cs="Arial"/>
          <w:sz w:val="20"/>
          <w:szCs w:val="20"/>
          <w:lang w:val="es-CO"/>
        </w:rPr>
        <w:t xml:space="preserve"> sus familiares. El Auto habría ordenado la prisión provisional de los integrantes del Grupo por la presunta comisión del delito de propaganda enemiga</w:t>
      </w:r>
      <w:r w:rsidRPr="00845503">
        <w:rPr>
          <w:rStyle w:val="FootnoteReference"/>
          <w:rFonts w:ascii="Cambria" w:hAnsi="Cambria" w:cs="Arial"/>
          <w:sz w:val="20"/>
          <w:szCs w:val="20"/>
          <w:lang w:val="es-CO"/>
        </w:rPr>
        <w:footnoteReference w:id="19"/>
      </w:r>
      <w:r w:rsidR="00266AAC" w:rsidRPr="00845503">
        <w:rPr>
          <w:rFonts w:ascii="Cambria" w:hAnsi="Cambria" w:cs="Arial"/>
          <w:sz w:val="20"/>
          <w:szCs w:val="20"/>
          <w:lang w:val="es-CO"/>
        </w:rPr>
        <w:t>.</w:t>
      </w:r>
    </w:p>
    <w:p w:rsidR="008209A9" w:rsidRPr="00845503" w:rsidRDefault="008209A9" w:rsidP="0046202E">
      <w:pPr>
        <w:pStyle w:val="ListParagraph"/>
        <w:ind w:left="0"/>
        <w:jc w:val="both"/>
        <w:rPr>
          <w:rFonts w:cs="Arial"/>
          <w:color w:val="auto"/>
          <w:sz w:val="20"/>
          <w:szCs w:val="20"/>
          <w:lang w:val="es-CO"/>
        </w:rPr>
      </w:pPr>
    </w:p>
    <w:p w:rsidR="008209A9" w:rsidRPr="00845503" w:rsidRDefault="00822502"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lastRenderedPageBreak/>
        <w:t xml:space="preserve">En octubre de 1997, </w:t>
      </w:r>
      <w:r w:rsidR="003B3004" w:rsidRPr="00845503">
        <w:rPr>
          <w:rFonts w:ascii="Cambria" w:hAnsi="Cambria" w:cs="Arial"/>
          <w:sz w:val="20"/>
          <w:szCs w:val="20"/>
          <w:lang w:val="es-CO"/>
        </w:rPr>
        <w:t>los cuatro detenidos</w:t>
      </w:r>
      <w:r w:rsidRPr="00845503">
        <w:rPr>
          <w:rFonts w:ascii="Cambria" w:hAnsi="Cambria" w:cs="Arial"/>
          <w:sz w:val="20"/>
          <w:szCs w:val="20"/>
          <w:lang w:val="es-CO"/>
        </w:rPr>
        <w:t xml:space="preserve"> </w:t>
      </w:r>
      <w:r w:rsidR="00EB50FE" w:rsidRPr="00845503">
        <w:rPr>
          <w:rFonts w:ascii="Cambria" w:hAnsi="Cambria" w:cs="Arial"/>
          <w:sz w:val="20"/>
          <w:szCs w:val="20"/>
          <w:lang w:val="es-CO"/>
        </w:rPr>
        <w:t xml:space="preserve">fueron trasladados a diferentes centros penitenciarios de alta seguridad, </w:t>
      </w:r>
      <w:r w:rsidR="00967821" w:rsidRPr="00845503">
        <w:rPr>
          <w:rFonts w:ascii="Cambria" w:hAnsi="Cambria" w:cs="Arial"/>
          <w:sz w:val="20"/>
          <w:szCs w:val="20"/>
          <w:lang w:val="es-CO"/>
        </w:rPr>
        <w:t>Martha</w:t>
      </w:r>
      <w:r w:rsidR="00EB50FE" w:rsidRPr="00845503">
        <w:rPr>
          <w:rFonts w:ascii="Cambria" w:hAnsi="Cambria" w:cs="Arial"/>
          <w:sz w:val="20"/>
          <w:szCs w:val="20"/>
          <w:lang w:val="es-CO"/>
        </w:rPr>
        <w:t xml:space="preserve"> Beatriz Roque Cabello fue trasladada a la prisión de Mato Negro; Félix Bonne Carcassés fue trasladado a la cárcel Guanajay, en la provincia de  Pinar del Rio; René Gómez Manzano fue trasladado a la cárcel de Agüica, provincia de Matanzas; </w:t>
      </w:r>
      <w:r w:rsidR="00777925" w:rsidRPr="00845503">
        <w:rPr>
          <w:rFonts w:ascii="Cambria" w:hAnsi="Cambria" w:cs="Arial"/>
          <w:sz w:val="20"/>
          <w:szCs w:val="20"/>
          <w:lang w:val="es-CO"/>
        </w:rPr>
        <w:t>y Vladimiro Roca Antúnez fue trasladado a la cárcel de Ariza, provincia de Cienfuegos</w:t>
      </w:r>
      <w:r w:rsidR="001C2B58" w:rsidRPr="00845503">
        <w:rPr>
          <w:rStyle w:val="FootnoteReference"/>
          <w:rFonts w:ascii="Cambria" w:hAnsi="Cambria" w:cs="Arial"/>
          <w:sz w:val="20"/>
          <w:szCs w:val="20"/>
          <w:lang w:val="es-CO"/>
        </w:rPr>
        <w:footnoteReference w:id="20"/>
      </w:r>
      <w:r w:rsidR="00777925" w:rsidRPr="00845503">
        <w:rPr>
          <w:rFonts w:ascii="Cambria" w:hAnsi="Cambria" w:cs="Arial"/>
          <w:sz w:val="20"/>
          <w:szCs w:val="20"/>
          <w:lang w:val="es-CO"/>
        </w:rPr>
        <w:t xml:space="preserve">. </w:t>
      </w:r>
    </w:p>
    <w:p w:rsidR="00066F13" w:rsidRPr="00845503" w:rsidRDefault="00066F13" w:rsidP="0046202E">
      <w:pPr>
        <w:pStyle w:val="ListParagraph"/>
        <w:ind w:left="0"/>
        <w:jc w:val="both"/>
        <w:rPr>
          <w:rFonts w:cs="Arial"/>
          <w:color w:val="auto"/>
          <w:sz w:val="20"/>
          <w:szCs w:val="20"/>
          <w:lang w:val="es-CO"/>
        </w:rPr>
      </w:pPr>
    </w:p>
    <w:p w:rsidR="00ED1356" w:rsidRPr="00845503" w:rsidRDefault="00675FD5"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 xml:space="preserve">Los familiares de </w:t>
      </w:r>
      <w:r w:rsidR="001C5CB6" w:rsidRPr="00845503">
        <w:rPr>
          <w:rFonts w:ascii="Cambria" w:hAnsi="Cambria" w:cs="Arial"/>
          <w:sz w:val="20"/>
          <w:szCs w:val="20"/>
          <w:lang w:val="es-CO"/>
        </w:rPr>
        <w:t>los cuatro detenidos</w:t>
      </w:r>
      <w:r w:rsidR="00EE7FF9" w:rsidRPr="00845503">
        <w:rPr>
          <w:rFonts w:ascii="Cambria" w:hAnsi="Cambria" w:cs="Arial"/>
          <w:sz w:val="20"/>
          <w:szCs w:val="20"/>
          <w:lang w:val="es-CO"/>
        </w:rPr>
        <w:t xml:space="preserve"> presentaron un</w:t>
      </w:r>
      <w:r w:rsidRPr="00845503">
        <w:rPr>
          <w:rFonts w:ascii="Cambria" w:hAnsi="Cambria" w:cs="Arial"/>
          <w:sz w:val="20"/>
          <w:szCs w:val="20"/>
          <w:lang w:val="es-CO"/>
        </w:rPr>
        <w:t xml:space="preserve"> recurso de </w:t>
      </w:r>
      <w:r w:rsidRPr="00845503">
        <w:rPr>
          <w:rFonts w:ascii="Cambria" w:hAnsi="Cambria" w:cs="Arial"/>
          <w:i/>
          <w:sz w:val="20"/>
          <w:szCs w:val="20"/>
          <w:lang w:val="es-CO"/>
        </w:rPr>
        <w:t>habeas corpus</w:t>
      </w:r>
      <w:r w:rsidRPr="00845503">
        <w:rPr>
          <w:rFonts w:ascii="Cambria" w:hAnsi="Cambria" w:cs="Arial"/>
          <w:sz w:val="20"/>
          <w:szCs w:val="20"/>
          <w:lang w:val="es-CO"/>
        </w:rPr>
        <w:t xml:space="preserve"> el </w:t>
      </w:r>
      <w:r w:rsidR="00DF2BF4" w:rsidRPr="00845503">
        <w:rPr>
          <w:rFonts w:ascii="Cambria" w:hAnsi="Cambria" w:cs="Arial"/>
          <w:sz w:val="20"/>
          <w:szCs w:val="20"/>
          <w:lang w:val="es-CO"/>
        </w:rPr>
        <w:t>30 de julio de 1998</w:t>
      </w:r>
      <w:r w:rsidR="008161F7" w:rsidRPr="00845503">
        <w:rPr>
          <w:rFonts w:ascii="Cambria" w:hAnsi="Cambria" w:cs="Arial"/>
          <w:sz w:val="20"/>
          <w:szCs w:val="20"/>
          <w:lang w:val="es-CO"/>
        </w:rPr>
        <w:t xml:space="preserve"> ante la Sala de los </w:t>
      </w:r>
      <w:r w:rsidR="00ED1356" w:rsidRPr="00845503">
        <w:rPr>
          <w:rFonts w:ascii="Cambria" w:hAnsi="Cambria" w:cs="Arial"/>
          <w:sz w:val="20"/>
          <w:szCs w:val="20"/>
          <w:lang w:val="es-CO"/>
        </w:rPr>
        <w:t>D</w:t>
      </w:r>
      <w:r w:rsidR="008161F7" w:rsidRPr="00845503">
        <w:rPr>
          <w:rFonts w:ascii="Cambria" w:hAnsi="Cambria" w:cs="Arial"/>
          <w:sz w:val="20"/>
          <w:szCs w:val="20"/>
          <w:lang w:val="es-CO"/>
        </w:rPr>
        <w:t>elitos contra la Seguridad del Estado</w:t>
      </w:r>
      <w:r w:rsidR="00ED1356" w:rsidRPr="00845503">
        <w:rPr>
          <w:rFonts w:ascii="Cambria" w:hAnsi="Cambria" w:cs="Arial"/>
          <w:sz w:val="20"/>
          <w:szCs w:val="20"/>
          <w:lang w:val="es-CO"/>
        </w:rPr>
        <w:t xml:space="preserve">, de acuerdo con lo dispuesto en el </w:t>
      </w:r>
      <w:r w:rsidR="00A31849" w:rsidRPr="00845503">
        <w:rPr>
          <w:rFonts w:ascii="Cambria" w:hAnsi="Cambria" w:cs="Arial"/>
          <w:sz w:val="20"/>
          <w:szCs w:val="20"/>
          <w:lang w:val="es-CO"/>
        </w:rPr>
        <w:t>artículo</w:t>
      </w:r>
      <w:r w:rsidR="00ED1356" w:rsidRPr="00845503">
        <w:rPr>
          <w:rFonts w:ascii="Cambria" w:hAnsi="Cambria" w:cs="Arial"/>
          <w:sz w:val="20"/>
          <w:szCs w:val="20"/>
          <w:lang w:val="es-CO"/>
        </w:rPr>
        <w:t xml:space="preserve"> 467 de la ley de procedimiento penal.</w:t>
      </w:r>
      <w:r w:rsidR="00FD2E9D" w:rsidRPr="00845503">
        <w:rPr>
          <w:rFonts w:ascii="Cambria" w:hAnsi="Cambria" w:cs="Arial"/>
          <w:sz w:val="20"/>
          <w:szCs w:val="20"/>
          <w:lang w:val="es-CO"/>
        </w:rPr>
        <w:t xml:space="preserve"> </w:t>
      </w:r>
      <w:r w:rsidR="005F3E13" w:rsidRPr="00845503">
        <w:rPr>
          <w:rFonts w:ascii="Cambria" w:hAnsi="Cambria" w:cs="Arial"/>
          <w:sz w:val="20"/>
          <w:szCs w:val="20"/>
          <w:lang w:val="es-CO"/>
        </w:rPr>
        <w:t xml:space="preserve">En este recurso, alegaron que </w:t>
      </w:r>
      <w:r w:rsidR="007B4E7D" w:rsidRPr="00845503">
        <w:rPr>
          <w:rFonts w:ascii="Cambria" w:hAnsi="Cambria" w:cs="Arial"/>
          <w:sz w:val="20"/>
          <w:szCs w:val="20"/>
          <w:lang w:val="es-CO"/>
        </w:rPr>
        <w:t xml:space="preserve">“la prisión provisional nunca deberá exceder la pena mínima aplicable al delito” y en el “delito de propaganda enemiga, del que parece se acusa a estos cuatro detenidos, la pena </w:t>
      </w:r>
      <w:r w:rsidR="00A31849" w:rsidRPr="00845503">
        <w:rPr>
          <w:rFonts w:ascii="Cambria" w:hAnsi="Cambria" w:cs="Arial"/>
          <w:sz w:val="20"/>
          <w:szCs w:val="20"/>
          <w:lang w:val="es-CO"/>
        </w:rPr>
        <w:t>mínima</w:t>
      </w:r>
      <w:r w:rsidR="007B4E7D" w:rsidRPr="00845503">
        <w:rPr>
          <w:rFonts w:ascii="Cambria" w:hAnsi="Cambria" w:cs="Arial"/>
          <w:sz w:val="20"/>
          <w:szCs w:val="20"/>
          <w:lang w:val="es-CO"/>
        </w:rPr>
        <w:t xml:space="preserve"> aplicable es de un año, término ya cumplido por ellos”. Señalaron que </w:t>
      </w:r>
      <w:r w:rsidR="000C78AD" w:rsidRPr="00845503">
        <w:rPr>
          <w:rFonts w:ascii="Cambria" w:hAnsi="Cambria" w:cs="Arial"/>
          <w:sz w:val="20"/>
          <w:szCs w:val="20"/>
          <w:lang w:val="es-CO"/>
        </w:rPr>
        <w:t>“</w:t>
      </w:r>
      <w:r w:rsidR="007B4E7D" w:rsidRPr="00845503">
        <w:rPr>
          <w:rFonts w:ascii="Cambria" w:hAnsi="Cambria" w:cs="Arial"/>
          <w:sz w:val="20"/>
          <w:szCs w:val="20"/>
          <w:lang w:val="es-CO"/>
        </w:rPr>
        <w:t>estos cuatro intelectuales pací</w:t>
      </w:r>
      <w:r w:rsidR="005F3E13" w:rsidRPr="00845503">
        <w:rPr>
          <w:rFonts w:ascii="Cambria" w:hAnsi="Cambria" w:cs="Arial"/>
          <w:sz w:val="20"/>
          <w:szCs w:val="20"/>
          <w:lang w:val="es-CO"/>
        </w:rPr>
        <w:t>ficos están efectivamente privados de la libertad por auto de prisión provisional</w:t>
      </w:r>
      <w:r w:rsidR="007B4E7D" w:rsidRPr="00845503">
        <w:rPr>
          <w:rFonts w:ascii="Cambria" w:hAnsi="Cambria" w:cs="Arial"/>
          <w:sz w:val="20"/>
          <w:szCs w:val="20"/>
          <w:lang w:val="es-CO"/>
        </w:rPr>
        <w:t>”</w:t>
      </w:r>
      <w:r w:rsidR="005F3E13" w:rsidRPr="00845503">
        <w:rPr>
          <w:rFonts w:ascii="Cambria" w:hAnsi="Cambria" w:cs="Arial"/>
          <w:sz w:val="20"/>
          <w:szCs w:val="20"/>
          <w:lang w:val="es-CO"/>
        </w:rPr>
        <w:t xml:space="preserve">, </w:t>
      </w:r>
      <w:r w:rsidR="007B4E7D" w:rsidRPr="00845503">
        <w:rPr>
          <w:rFonts w:ascii="Cambria" w:hAnsi="Cambria" w:cs="Arial"/>
          <w:sz w:val="20"/>
          <w:szCs w:val="20"/>
          <w:lang w:val="es-CO"/>
        </w:rPr>
        <w:t>sin embargo, “los efectos del auto de prisió</w:t>
      </w:r>
      <w:r w:rsidR="005F3E13" w:rsidRPr="00845503">
        <w:rPr>
          <w:rFonts w:ascii="Cambria" w:hAnsi="Cambria" w:cs="Arial"/>
          <w:sz w:val="20"/>
          <w:szCs w:val="20"/>
          <w:lang w:val="es-CO"/>
        </w:rPr>
        <w:t>n provisional no son – ni pueden ser- infinitos (de ahí que sea provisional</w:t>
      </w:r>
      <w:r w:rsidR="000C78AD" w:rsidRPr="00845503">
        <w:rPr>
          <w:rFonts w:ascii="Cambria" w:hAnsi="Cambria" w:cs="Arial"/>
          <w:sz w:val="20"/>
          <w:szCs w:val="20"/>
          <w:lang w:val="es-CO"/>
        </w:rPr>
        <w:t xml:space="preserve">), </w:t>
      </w:r>
      <w:r w:rsidR="005F3E13" w:rsidRPr="00845503">
        <w:rPr>
          <w:rFonts w:ascii="Cambria" w:hAnsi="Cambria" w:cs="Arial"/>
          <w:sz w:val="20"/>
          <w:szCs w:val="20"/>
          <w:lang w:val="es-CO"/>
        </w:rPr>
        <w:t>sino que tienen que estar muy bien enmarcados y delimitados por leyes</w:t>
      </w:r>
      <w:r w:rsidR="000C78AD" w:rsidRPr="00845503">
        <w:rPr>
          <w:rFonts w:ascii="Cambria" w:hAnsi="Cambria" w:cs="Arial"/>
          <w:sz w:val="20"/>
          <w:szCs w:val="20"/>
          <w:lang w:val="es-CO"/>
        </w:rPr>
        <w:t>, so pena de que puedan dejar de responder al calificativo de provisional</w:t>
      </w:r>
      <w:r w:rsidR="001C1D04" w:rsidRPr="00845503">
        <w:rPr>
          <w:rFonts w:ascii="Cambria" w:hAnsi="Cambria" w:cs="Arial"/>
          <w:sz w:val="20"/>
          <w:szCs w:val="20"/>
          <w:lang w:val="es-ES"/>
        </w:rPr>
        <w:t>”</w:t>
      </w:r>
      <w:r w:rsidR="00073A8C" w:rsidRPr="00845503">
        <w:rPr>
          <w:rStyle w:val="FootnoteReference"/>
          <w:rFonts w:ascii="Cambria" w:hAnsi="Cambria" w:cs="Arial"/>
          <w:sz w:val="20"/>
          <w:szCs w:val="20"/>
          <w:lang w:val="es-ES"/>
        </w:rPr>
        <w:footnoteReference w:id="21"/>
      </w:r>
      <w:r w:rsidR="000C78AD" w:rsidRPr="00845503">
        <w:rPr>
          <w:rFonts w:ascii="Cambria" w:hAnsi="Cambria" w:cs="Arial"/>
          <w:sz w:val="20"/>
          <w:szCs w:val="20"/>
          <w:lang w:val="es-CO"/>
        </w:rPr>
        <w:t xml:space="preserve">.  </w:t>
      </w:r>
      <w:r w:rsidR="007C6D9F" w:rsidRPr="00845503">
        <w:rPr>
          <w:rFonts w:ascii="Cambria" w:hAnsi="Cambria" w:cs="Arial"/>
          <w:sz w:val="20"/>
          <w:szCs w:val="20"/>
          <w:lang w:val="es-CO"/>
        </w:rPr>
        <w:t>El 31 de julio de 1998, el</w:t>
      </w:r>
      <w:r w:rsidR="001C1D04" w:rsidRPr="00845503">
        <w:rPr>
          <w:rFonts w:ascii="Cambria" w:hAnsi="Cambria" w:cs="Arial"/>
          <w:sz w:val="20"/>
          <w:szCs w:val="20"/>
          <w:lang w:val="es-CO"/>
        </w:rPr>
        <w:t xml:space="preserve"> recurso </w:t>
      </w:r>
      <w:r w:rsidR="007C6D9F" w:rsidRPr="00845503">
        <w:rPr>
          <w:rFonts w:ascii="Cambria" w:hAnsi="Cambria" w:cs="Arial"/>
          <w:sz w:val="20"/>
          <w:szCs w:val="20"/>
          <w:lang w:val="es-CO"/>
        </w:rPr>
        <w:t xml:space="preserve">fue declarado </w:t>
      </w:r>
      <w:r w:rsidR="007C6D9F" w:rsidRPr="00845503">
        <w:rPr>
          <w:rFonts w:ascii="Cambria" w:hAnsi="Cambria" w:cs="Arial"/>
          <w:sz w:val="20"/>
          <w:szCs w:val="20"/>
          <w:lang w:val="es-ES"/>
        </w:rPr>
        <w:t>“</w:t>
      </w:r>
      <w:r w:rsidR="007C6D9F" w:rsidRPr="00845503">
        <w:rPr>
          <w:rFonts w:ascii="Cambria" w:hAnsi="Cambria" w:cs="Arial"/>
          <w:sz w:val="20"/>
          <w:szCs w:val="20"/>
          <w:lang w:val="es-CO"/>
        </w:rPr>
        <w:t xml:space="preserve">no ha lugar”, ya que </w:t>
      </w:r>
      <w:r w:rsidR="00A31849" w:rsidRPr="00845503">
        <w:rPr>
          <w:rFonts w:ascii="Cambria" w:hAnsi="Cambria" w:cs="Arial"/>
          <w:sz w:val="20"/>
          <w:szCs w:val="20"/>
          <w:lang w:val="es-CO"/>
        </w:rPr>
        <w:t>existiría</w:t>
      </w:r>
      <w:r w:rsidR="007C6D9F" w:rsidRPr="00845503">
        <w:rPr>
          <w:rFonts w:ascii="Cambria" w:hAnsi="Cambria" w:cs="Arial"/>
          <w:sz w:val="20"/>
          <w:szCs w:val="20"/>
          <w:lang w:val="es-CO"/>
        </w:rPr>
        <w:t xml:space="preserve"> un auto del fiscal que hace inadmisible este recurso</w:t>
      </w:r>
      <w:r w:rsidR="00266AAC" w:rsidRPr="00845503">
        <w:rPr>
          <w:rStyle w:val="FootnoteReference"/>
          <w:rFonts w:ascii="Cambria" w:hAnsi="Cambria" w:cs="Arial"/>
          <w:sz w:val="20"/>
          <w:szCs w:val="20"/>
          <w:lang w:val="es-CO"/>
        </w:rPr>
        <w:footnoteReference w:id="22"/>
      </w:r>
      <w:r w:rsidR="007C6D9F" w:rsidRPr="00845503">
        <w:rPr>
          <w:rFonts w:ascii="Cambria" w:hAnsi="Cambria" w:cs="Arial"/>
          <w:sz w:val="20"/>
          <w:szCs w:val="20"/>
          <w:lang w:val="es-CO"/>
        </w:rPr>
        <w:t>.</w:t>
      </w:r>
      <w:r w:rsidR="00C11FBC" w:rsidRPr="00845503">
        <w:rPr>
          <w:rFonts w:ascii="Cambria" w:hAnsi="Cambria" w:cs="Arial"/>
          <w:sz w:val="20"/>
          <w:szCs w:val="20"/>
          <w:lang w:val="es-CO"/>
        </w:rPr>
        <w:t xml:space="preserve">  </w:t>
      </w:r>
    </w:p>
    <w:p w:rsidR="00ED1356" w:rsidRPr="00845503" w:rsidRDefault="00ED1356" w:rsidP="00ED1356">
      <w:pPr>
        <w:pStyle w:val="ListParagraph"/>
        <w:rPr>
          <w:rFonts w:cs="Arial"/>
          <w:sz w:val="20"/>
          <w:szCs w:val="20"/>
          <w:lang w:val="es-CO"/>
        </w:rPr>
      </w:pPr>
    </w:p>
    <w:p w:rsidR="00C3527D" w:rsidRPr="00845503" w:rsidRDefault="00C3527D"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El 21 de septiembre de 1998 los familiares de los cuatro detenidos presentaron tres escritos a la Fiscalía General de la República en la que solicitaron información sobre el estado del proceso y los cargos por los que habría sido acusados y permanecerían detenidos. Indicaron “hoy catorce meses de tenerlos en prisión, podemos constatar lo imprescindible de saber ya, a ciencia cierta, oficialmente y con toda precisión, de qué delito específico se les acusa”. Asimismo, insistieron que “ya cumplieron con creces la pena mínima aplicable al delito de propaganda enemiga, señalado en el AUTO del Fiscal, [… por lo que] procede de OFICIO, cambiarles la medida cautelar de prisión provisional”</w:t>
      </w:r>
      <w:r w:rsidRPr="00845503">
        <w:rPr>
          <w:rStyle w:val="FootnoteReference"/>
          <w:rFonts w:ascii="Cambria" w:hAnsi="Cambria" w:cs="Arial"/>
          <w:sz w:val="20"/>
          <w:szCs w:val="20"/>
          <w:lang w:val="es-CO"/>
        </w:rPr>
        <w:footnoteReference w:id="23"/>
      </w:r>
      <w:r w:rsidRPr="00845503">
        <w:rPr>
          <w:rFonts w:ascii="Cambria" w:hAnsi="Cambria" w:cs="Arial"/>
          <w:sz w:val="20"/>
          <w:szCs w:val="20"/>
          <w:lang w:val="es-CO"/>
        </w:rPr>
        <w:t>.</w:t>
      </w:r>
    </w:p>
    <w:p w:rsidR="00C3527D" w:rsidRPr="00845503" w:rsidRDefault="00C3527D" w:rsidP="00C3527D">
      <w:pPr>
        <w:pStyle w:val="ListParagraph"/>
        <w:rPr>
          <w:rFonts w:cs="Arial"/>
          <w:sz w:val="20"/>
          <w:szCs w:val="20"/>
          <w:lang w:val="es-CO"/>
        </w:rPr>
      </w:pPr>
    </w:p>
    <w:p w:rsidR="00BC5A9C" w:rsidRPr="00845503" w:rsidRDefault="00C3527D"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El 24</w:t>
      </w:r>
      <w:r w:rsidR="00F47B33" w:rsidRPr="00845503">
        <w:rPr>
          <w:rFonts w:ascii="Cambria" w:hAnsi="Cambria" w:cs="Arial"/>
          <w:sz w:val="20"/>
          <w:szCs w:val="20"/>
          <w:lang w:val="es-CO"/>
        </w:rPr>
        <w:t xml:space="preserve"> </w:t>
      </w:r>
      <w:r w:rsidR="00BB5875" w:rsidRPr="00845503">
        <w:rPr>
          <w:rFonts w:ascii="Cambria" w:hAnsi="Cambria" w:cs="Arial"/>
          <w:sz w:val="20"/>
          <w:szCs w:val="20"/>
          <w:lang w:val="es-CO"/>
        </w:rPr>
        <w:t xml:space="preserve">de </w:t>
      </w:r>
      <w:r w:rsidR="00F47B33" w:rsidRPr="00845503">
        <w:rPr>
          <w:rFonts w:ascii="Cambria" w:hAnsi="Cambria" w:cs="Arial"/>
          <w:sz w:val="20"/>
          <w:szCs w:val="20"/>
          <w:lang w:val="es-CO"/>
        </w:rPr>
        <w:t>septiembre de 1998,</w:t>
      </w:r>
      <w:r w:rsidR="00BB5875" w:rsidRPr="00845503">
        <w:rPr>
          <w:rFonts w:ascii="Cambria" w:hAnsi="Cambria" w:cs="Arial"/>
          <w:sz w:val="20"/>
          <w:szCs w:val="20"/>
          <w:lang w:val="es-CO"/>
        </w:rPr>
        <w:t xml:space="preserve"> la Fiscalía </w:t>
      </w:r>
      <w:r w:rsidRPr="00845503">
        <w:rPr>
          <w:rFonts w:ascii="Cambria" w:hAnsi="Cambria" w:cs="Arial"/>
          <w:sz w:val="20"/>
          <w:szCs w:val="20"/>
          <w:lang w:val="es-CO"/>
        </w:rPr>
        <w:t>publicó</w:t>
      </w:r>
      <w:r w:rsidR="005F3E13" w:rsidRPr="00845503">
        <w:rPr>
          <w:rFonts w:ascii="Cambria" w:hAnsi="Cambria" w:cs="Arial"/>
          <w:sz w:val="20"/>
          <w:szCs w:val="20"/>
          <w:lang w:val="es-CO"/>
        </w:rPr>
        <w:t xml:space="preserve"> su escrito de conclusiones provisionales acusatorias</w:t>
      </w:r>
      <w:r w:rsidR="00073A8C" w:rsidRPr="00845503">
        <w:rPr>
          <w:rStyle w:val="FootnoteReference"/>
          <w:rFonts w:ascii="Cambria" w:hAnsi="Cambria" w:cs="Arial"/>
          <w:sz w:val="20"/>
          <w:szCs w:val="20"/>
          <w:lang w:val="es-CO"/>
        </w:rPr>
        <w:footnoteReference w:id="24"/>
      </w:r>
      <w:r w:rsidR="005F3E13" w:rsidRPr="00845503">
        <w:rPr>
          <w:rFonts w:ascii="Cambria" w:hAnsi="Cambria" w:cs="Arial"/>
          <w:sz w:val="20"/>
          <w:szCs w:val="20"/>
          <w:lang w:val="es-CO"/>
        </w:rPr>
        <w:t xml:space="preserve">, en el cual solicitó </w:t>
      </w:r>
      <w:r w:rsidRPr="00845503">
        <w:rPr>
          <w:rFonts w:ascii="Cambria" w:hAnsi="Cambria" w:cs="Arial"/>
          <w:sz w:val="20"/>
          <w:szCs w:val="20"/>
          <w:lang w:val="es-CO"/>
        </w:rPr>
        <w:t xml:space="preserve">a la Sala de Delitos de Seguridad del Estado </w:t>
      </w:r>
      <w:r w:rsidR="00B61B5F" w:rsidRPr="00845503">
        <w:rPr>
          <w:rFonts w:ascii="Cambria" w:hAnsi="Cambria" w:cs="Arial"/>
          <w:sz w:val="20"/>
          <w:szCs w:val="20"/>
          <w:lang w:val="es-CO"/>
        </w:rPr>
        <w:t>“abrir la causa a juicio oral</w:t>
      </w:r>
      <w:r w:rsidR="00B61B5F" w:rsidRPr="00845503">
        <w:rPr>
          <w:rFonts w:ascii="Cambria" w:hAnsi="Cambria" w:cs="Arial"/>
          <w:sz w:val="20"/>
          <w:szCs w:val="20"/>
          <w:lang w:val="es-ES"/>
        </w:rPr>
        <w:t>”</w:t>
      </w:r>
      <w:r w:rsidR="005F3E13" w:rsidRPr="00845503">
        <w:rPr>
          <w:rFonts w:ascii="Cambria" w:hAnsi="Cambria" w:cs="Arial"/>
          <w:sz w:val="20"/>
          <w:szCs w:val="20"/>
          <w:lang w:val="es-CO"/>
        </w:rPr>
        <w:t xml:space="preserve"> y </w:t>
      </w:r>
      <w:r w:rsidR="00EE7FF9" w:rsidRPr="00845503">
        <w:rPr>
          <w:rFonts w:ascii="Cambria" w:hAnsi="Cambria" w:cs="Arial"/>
          <w:sz w:val="20"/>
          <w:szCs w:val="20"/>
          <w:lang w:val="es-CO"/>
        </w:rPr>
        <w:t xml:space="preserve">acusó </w:t>
      </w:r>
      <w:r w:rsidR="00A16606" w:rsidRPr="00845503">
        <w:rPr>
          <w:rFonts w:ascii="Cambria" w:hAnsi="Cambria" w:cs="Arial"/>
          <w:sz w:val="20"/>
          <w:szCs w:val="20"/>
          <w:lang w:val="es-CO"/>
        </w:rPr>
        <w:t xml:space="preserve">a Vladimiro Roca Antúnez, </w:t>
      </w:r>
      <w:r w:rsidR="007364FC" w:rsidRPr="00845503">
        <w:rPr>
          <w:rFonts w:ascii="Cambria" w:hAnsi="Cambria" w:cs="Arial"/>
          <w:sz w:val="20"/>
          <w:szCs w:val="20"/>
          <w:lang w:val="es-CO"/>
        </w:rPr>
        <w:t>René</w:t>
      </w:r>
      <w:r w:rsidR="00A16606" w:rsidRPr="00845503">
        <w:rPr>
          <w:rFonts w:ascii="Cambria" w:hAnsi="Cambria" w:cs="Arial"/>
          <w:sz w:val="20"/>
          <w:szCs w:val="20"/>
          <w:lang w:val="es-CO"/>
        </w:rPr>
        <w:t xml:space="preserve"> Gómez Manzano, </w:t>
      </w:r>
      <w:r w:rsidR="00967821" w:rsidRPr="00845503">
        <w:rPr>
          <w:rFonts w:ascii="Cambria" w:hAnsi="Cambria" w:cs="Arial"/>
          <w:sz w:val="20"/>
          <w:szCs w:val="20"/>
          <w:lang w:val="es-CO"/>
        </w:rPr>
        <w:t>Martha</w:t>
      </w:r>
      <w:r w:rsidR="00A16606" w:rsidRPr="00845503">
        <w:rPr>
          <w:rFonts w:ascii="Cambria" w:hAnsi="Cambria" w:cs="Arial"/>
          <w:sz w:val="20"/>
          <w:szCs w:val="20"/>
          <w:lang w:val="es-CO"/>
        </w:rPr>
        <w:t xml:space="preserve"> Beatriz Roque Cabello y Félix Bonne Carcassés </w:t>
      </w:r>
      <w:r w:rsidR="00BB5875" w:rsidRPr="00845503">
        <w:rPr>
          <w:rFonts w:ascii="Cambria" w:hAnsi="Cambria" w:cs="Arial"/>
          <w:sz w:val="20"/>
          <w:szCs w:val="20"/>
          <w:lang w:val="es-CO"/>
        </w:rPr>
        <w:t>de</w:t>
      </w:r>
      <w:r w:rsidR="00EE7FF9" w:rsidRPr="00845503">
        <w:rPr>
          <w:rFonts w:ascii="Cambria" w:hAnsi="Cambria" w:cs="Arial"/>
          <w:sz w:val="20"/>
          <w:szCs w:val="20"/>
          <w:lang w:val="es-CO"/>
        </w:rPr>
        <w:t xml:space="preserve"> la comisión de</w:t>
      </w:r>
      <w:r w:rsidR="00BB5875" w:rsidRPr="00845503">
        <w:rPr>
          <w:rFonts w:ascii="Cambria" w:hAnsi="Cambria" w:cs="Arial"/>
          <w:sz w:val="20"/>
          <w:szCs w:val="20"/>
          <w:lang w:val="es-CO"/>
        </w:rPr>
        <w:t xml:space="preserve"> </w:t>
      </w:r>
      <w:r w:rsidR="00EE7FF9" w:rsidRPr="00845503">
        <w:rPr>
          <w:rFonts w:ascii="Cambria" w:hAnsi="Cambria" w:cs="Arial"/>
          <w:sz w:val="20"/>
          <w:szCs w:val="20"/>
          <w:lang w:val="es-CO"/>
        </w:rPr>
        <w:t>“</w:t>
      </w:r>
      <w:r w:rsidR="00BB5875" w:rsidRPr="00845503">
        <w:rPr>
          <w:rFonts w:ascii="Cambria" w:hAnsi="Cambria" w:cs="Arial"/>
          <w:sz w:val="20"/>
          <w:szCs w:val="20"/>
          <w:lang w:val="es-CO"/>
        </w:rPr>
        <w:t xml:space="preserve">otros actos </w:t>
      </w:r>
      <w:r w:rsidR="00F47B33" w:rsidRPr="00845503">
        <w:rPr>
          <w:rFonts w:ascii="Cambria" w:hAnsi="Cambria" w:cs="Arial"/>
          <w:sz w:val="20"/>
          <w:szCs w:val="20"/>
          <w:lang w:val="es-CO"/>
        </w:rPr>
        <w:t>contra la seguridad del Estado en relación con el delito de sedición</w:t>
      </w:r>
      <w:r w:rsidR="00EE7FF9" w:rsidRPr="00845503">
        <w:rPr>
          <w:rFonts w:ascii="Cambria" w:hAnsi="Cambria" w:cs="Arial"/>
          <w:sz w:val="20"/>
          <w:szCs w:val="20"/>
          <w:lang w:val="es-CO"/>
        </w:rPr>
        <w:t>”</w:t>
      </w:r>
      <w:r w:rsidR="00A16606" w:rsidRPr="00845503">
        <w:rPr>
          <w:rFonts w:ascii="Cambria" w:hAnsi="Cambria" w:cs="Arial"/>
          <w:sz w:val="20"/>
          <w:szCs w:val="20"/>
          <w:lang w:val="es-CO"/>
        </w:rPr>
        <w:t xml:space="preserve">, tipificados </w:t>
      </w:r>
      <w:r w:rsidR="00A16606" w:rsidRPr="00845503">
        <w:rPr>
          <w:rFonts w:ascii="Cambria" w:hAnsi="Cambria"/>
          <w:iCs/>
          <w:sz w:val="20"/>
          <w:szCs w:val="20"/>
          <w:lang w:val="es-US"/>
        </w:rPr>
        <w:t>en los artículos 100 y 125 del Código Penal vigente.</w:t>
      </w:r>
      <w:r w:rsidR="00F47B33" w:rsidRPr="00845503">
        <w:rPr>
          <w:rFonts w:ascii="Cambria" w:hAnsi="Cambria" w:cs="Arial"/>
          <w:sz w:val="20"/>
          <w:szCs w:val="20"/>
          <w:lang w:val="es-CO"/>
        </w:rPr>
        <w:t xml:space="preserve"> </w:t>
      </w:r>
      <w:r w:rsidR="00B463A5" w:rsidRPr="00845503">
        <w:rPr>
          <w:rFonts w:ascii="Cambria" w:hAnsi="Cambria" w:cs="Arial"/>
          <w:sz w:val="20"/>
          <w:szCs w:val="20"/>
          <w:lang w:val="es-CO"/>
        </w:rPr>
        <w:t xml:space="preserve">La Fiscalía </w:t>
      </w:r>
      <w:r w:rsidR="00A16606" w:rsidRPr="00845503">
        <w:rPr>
          <w:rFonts w:ascii="Cambria" w:hAnsi="Cambria" w:cs="Arial"/>
          <w:sz w:val="20"/>
          <w:szCs w:val="20"/>
          <w:lang w:val="es-CO"/>
        </w:rPr>
        <w:t xml:space="preserve">concluyó </w:t>
      </w:r>
      <w:r w:rsidR="00B463A5" w:rsidRPr="00845503">
        <w:rPr>
          <w:rFonts w:ascii="Cambria" w:hAnsi="Cambria" w:cs="Arial"/>
          <w:sz w:val="20"/>
          <w:szCs w:val="20"/>
          <w:lang w:val="es-CO"/>
        </w:rPr>
        <w:t>que los acusados “decidieron de mutuo acuerdo proceder a elaboración y difusión de diversas exhortaciones dirigidas a distintos sectores sociales dentro y fuera del país, en las que invitaban expresamente a subvertir nuestro orden estatal socialista mediante un boicot a las elecciones convocadas para el año 199</w:t>
      </w:r>
      <w:r w:rsidR="007F2EBB" w:rsidRPr="00845503">
        <w:rPr>
          <w:rFonts w:ascii="Cambria" w:hAnsi="Cambria" w:cs="Arial"/>
          <w:sz w:val="20"/>
          <w:szCs w:val="20"/>
          <w:lang w:val="es-CO"/>
        </w:rPr>
        <w:t>7 y el incumplimiento de lo dispuesto en la ley de la inversión extranjera  […] Actos que sin requerir del empleo de las armas ni el uso de la violencia, estaban inequívocamente dirigidos a socavar la estabilidad del Estado cubano”</w:t>
      </w:r>
      <w:r w:rsidR="006F60AA" w:rsidRPr="00845503">
        <w:rPr>
          <w:rStyle w:val="FootnoteReference"/>
          <w:rFonts w:ascii="Cambria" w:hAnsi="Cambria" w:cs="Arial"/>
          <w:sz w:val="20"/>
          <w:szCs w:val="20"/>
          <w:lang w:val="es-CO"/>
        </w:rPr>
        <w:footnoteReference w:id="25"/>
      </w:r>
      <w:r w:rsidR="007F2EBB" w:rsidRPr="00845503">
        <w:rPr>
          <w:rFonts w:ascii="Cambria" w:hAnsi="Cambria" w:cs="Arial"/>
          <w:sz w:val="20"/>
          <w:szCs w:val="20"/>
          <w:lang w:val="es-CO"/>
        </w:rPr>
        <w:t xml:space="preserve">. </w:t>
      </w:r>
    </w:p>
    <w:p w:rsidR="00BC5A9C" w:rsidRPr="00845503" w:rsidRDefault="00BC5A9C" w:rsidP="00BC5A9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p>
    <w:p w:rsidR="004E3686" w:rsidRPr="00845503" w:rsidRDefault="00B55368"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En su escrito</w:t>
      </w:r>
      <w:r w:rsidR="00BC5A9C" w:rsidRPr="00845503">
        <w:rPr>
          <w:rFonts w:ascii="Cambria" w:hAnsi="Cambria" w:cs="Arial"/>
          <w:sz w:val="20"/>
          <w:szCs w:val="20"/>
          <w:lang w:val="es-CO"/>
        </w:rPr>
        <w:t>,</w:t>
      </w:r>
      <w:r w:rsidRPr="00845503">
        <w:rPr>
          <w:rFonts w:ascii="Cambria" w:hAnsi="Cambria" w:cs="Arial"/>
          <w:sz w:val="20"/>
          <w:szCs w:val="20"/>
          <w:lang w:val="es-CO"/>
        </w:rPr>
        <w:t xml:space="preserve"> la Fiscalía </w:t>
      </w:r>
      <w:r w:rsidR="00C3795C" w:rsidRPr="00845503">
        <w:rPr>
          <w:rFonts w:ascii="Cambria" w:hAnsi="Cambria" w:cs="Arial"/>
          <w:sz w:val="20"/>
          <w:szCs w:val="20"/>
          <w:lang w:val="es-CO"/>
        </w:rPr>
        <w:t>estableció</w:t>
      </w:r>
      <w:r w:rsidR="00BB2F04" w:rsidRPr="00845503">
        <w:rPr>
          <w:rFonts w:ascii="Cambria" w:hAnsi="Cambria" w:cs="Arial"/>
          <w:sz w:val="20"/>
          <w:szCs w:val="20"/>
          <w:lang w:val="es-CO"/>
        </w:rPr>
        <w:t xml:space="preserve"> </w:t>
      </w:r>
      <w:r w:rsidR="00C3795C" w:rsidRPr="00845503">
        <w:rPr>
          <w:rFonts w:ascii="Cambria" w:hAnsi="Cambria" w:cs="Arial"/>
          <w:sz w:val="20"/>
          <w:szCs w:val="20"/>
          <w:lang w:val="es-CO"/>
        </w:rPr>
        <w:t>que los acusados “amparados en lo que di</w:t>
      </w:r>
      <w:r w:rsidR="006F60AA" w:rsidRPr="00845503">
        <w:rPr>
          <w:rFonts w:ascii="Cambria" w:hAnsi="Cambria" w:cs="Arial"/>
          <w:sz w:val="20"/>
          <w:szCs w:val="20"/>
          <w:lang w:val="es-CO"/>
        </w:rPr>
        <w:t>j</w:t>
      </w:r>
      <w:r w:rsidR="00C3795C" w:rsidRPr="00845503">
        <w:rPr>
          <w:rFonts w:ascii="Cambria" w:hAnsi="Cambria" w:cs="Arial"/>
          <w:sz w:val="20"/>
          <w:szCs w:val="20"/>
          <w:lang w:val="es-CO"/>
        </w:rPr>
        <w:t xml:space="preserve">eron llamar ‘Grupo de Trabajo de la Disidencia Interna’, </w:t>
      </w:r>
      <w:r w:rsidR="00A31849" w:rsidRPr="00845503">
        <w:rPr>
          <w:rFonts w:ascii="Cambria" w:hAnsi="Cambria" w:cs="Arial"/>
          <w:sz w:val="20"/>
          <w:szCs w:val="20"/>
          <w:lang w:val="es-CO"/>
        </w:rPr>
        <w:t>confeccionaron</w:t>
      </w:r>
      <w:r w:rsidR="00C3795C" w:rsidRPr="00845503">
        <w:rPr>
          <w:rFonts w:ascii="Cambria" w:hAnsi="Cambria" w:cs="Arial"/>
          <w:sz w:val="20"/>
          <w:szCs w:val="20"/>
          <w:lang w:val="es-CO"/>
        </w:rPr>
        <w:t xml:space="preserve">, aprobaron y firmaron” varios documentos </w:t>
      </w:r>
      <w:r w:rsidR="004E3686" w:rsidRPr="00845503">
        <w:rPr>
          <w:rFonts w:ascii="Cambria" w:hAnsi="Cambria" w:cs="Arial"/>
          <w:sz w:val="20"/>
          <w:szCs w:val="20"/>
          <w:lang w:val="es-CO"/>
        </w:rPr>
        <w:t xml:space="preserve">con </w:t>
      </w:r>
      <w:r w:rsidR="004E3686" w:rsidRPr="00845503">
        <w:rPr>
          <w:rFonts w:ascii="Cambria" w:hAnsi="Cambria" w:cs="Arial"/>
          <w:sz w:val="20"/>
          <w:szCs w:val="20"/>
          <w:lang w:val="es-CO"/>
        </w:rPr>
        <w:lastRenderedPageBreak/>
        <w:t>“fines desestabilizadores” y como parte</w:t>
      </w:r>
      <w:r w:rsidR="00C3795C" w:rsidRPr="00845503">
        <w:rPr>
          <w:rFonts w:ascii="Cambria" w:hAnsi="Cambria" w:cs="Arial"/>
          <w:sz w:val="20"/>
          <w:szCs w:val="20"/>
          <w:lang w:val="es-CO"/>
        </w:rPr>
        <w:t xml:space="preserve"> un “plan </w:t>
      </w:r>
      <w:r w:rsidR="00A31849" w:rsidRPr="00845503">
        <w:rPr>
          <w:rFonts w:ascii="Cambria" w:hAnsi="Cambria" w:cs="Arial"/>
          <w:sz w:val="20"/>
          <w:szCs w:val="20"/>
          <w:lang w:val="es-CO"/>
        </w:rPr>
        <w:t>antijurídico</w:t>
      </w:r>
      <w:r w:rsidR="00C3795C" w:rsidRPr="00845503">
        <w:rPr>
          <w:rFonts w:ascii="Cambria" w:hAnsi="Cambria" w:cs="Arial"/>
          <w:sz w:val="20"/>
          <w:szCs w:val="20"/>
          <w:lang w:val="es-CO"/>
        </w:rPr>
        <w:t>”</w:t>
      </w:r>
      <w:r w:rsidR="004E3686" w:rsidRPr="00845503">
        <w:rPr>
          <w:rFonts w:ascii="Cambria" w:hAnsi="Cambria" w:cs="Arial"/>
          <w:sz w:val="20"/>
          <w:szCs w:val="20"/>
          <w:lang w:val="es-CO"/>
        </w:rPr>
        <w:t>. La Fiscal</w:t>
      </w:r>
      <w:r w:rsidR="00611606" w:rsidRPr="00845503">
        <w:rPr>
          <w:rFonts w:ascii="Cambria" w:hAnsi="Cambria" w:cs="Arial"/>
          <w:sz w:val="20"/>
          <w:szCs w:val="20"/>
          <w:lang w:val="es-CO"/>
        </w:rPr>
        <w:t>í</w:t>
      </w:r>
      <w:r w:rsidR="004E3686" w:rsidRPr="00845503">
        <w:rPr>
          <w:rFonts w:ascii="Cambria" w:hAnsi="Cambria" w:cs="Arial"/>
          <w:sz w:val="20"/>
          <w:szCs w:val="20"/>
          <w:lang w:val="es-CO"/>
        </w:rPr>
        <w:t>a hizo referencia a los siguientes textos:</w:t>
      </w:r>
      <w:r w:rsidR="00C3795C" w:rsidRPr="00845503">
        <w:rPr>
          <w:rFonts w:ascii="Cambria" w:hAnsi="Cambria" w:cs="Arial"/>
          <w:sz w:val="20"/>
          <w:szCs w:val="20"/>
          <w:lang w:val="es-CO"/>
        </w:rPr>
        <w:t xml:space="preserve"> “Llamamiento al Exilio”, “Carta a los inversionistas”, </w:t>
      </w:r>
      <w:r w:rsidR="004E3686" w:rsidRPr="00845503">
        <w:rPr>
          <w:rFonts w:ascii="Cambria" w:hAnsi="Cambria" w:cs="Arial"/>
          <w:sz w:val="20"/>
          <w:szCs w:val="20"/>
          <w:lang w:val="es-CO"/>
        </w:rPr>
        <w:t xml:space="preserve">“Los Principios Arcos”, </w:t>
      </w:r>
      <w:r w:rsidR="00C3795C" w:rsidRPr="00845503">
        <w:rPr>
          <w:rFonts w:ascii="Cambria" w:hAnsi="Cambria" w:cs="Arial"/>
          <w:sz w:val="20"/>
          <w:szCs w:val="20"/>
          <w:lang w:val="es-CO"/>
        </w:rPr>
        <w:t>“Llamamiento a la abstención” y “La Patria es de Todos”</w:t>
      </w:r>
      <w:r w:rsidR="004E3686" w:rsidRPr="00845503">
        <w:rPr>
          <w:rFonts w:ascii="Cambria" w:hAnsi="Cambria" w:cs="Arial"/>
          <w:sz w:val="20"/>
          <w:szCs w:val="20"/>
          <w:lang w:val="es-CO"/>
        </w:rPr>
        <w:t xml:space="preserve">. </w:t>
      </w:r>
      <w:r w:rsidR="004C4A06" w:rsidRPr="00845503">
        <w:rPr>
          <w:rFonts w:ascii="Cambria" w:hAnsi="Cambria" w:cs="Arial"/>
          <w:sz w:val="20"/>
          <w:szCs w:val="20"/>
          <w:lang w:val="es-CO"/>
        </w:rPr>
        <w:t xml:space="preserve">Según el ente acusador dichas publicaciones </w:t>
      </w:r>
      <w:r w:rsidR="00210A90" w:rsidRPr="00845503">
        <w:rPr>
          <w:rFonts w:ascii="Cambria" w:hAnsi="Cambria" w:cs="Arial"/>
          <w:sz w:val="20"/>
          <w:szCs w:val="20"/>
          <w:lang w:val="es-CO"/>
        </w:rPr>
        <w:t xml:space="preserve">invitaban </w:t>
      </w:r>
      <w:r w:rsidR="00586F5F" w:rsidRPr="00845503">
        <w:rPr>
          <w:rFonts w:ascii="Cambria" w:hAnsi="Cambria" w:cs="Arial"/>
          <w:sz w:val="20"/>
          <w:szCs w:val="20"/>
          <w:lang w:val="es-CO"/>
        </w:rPr>
        <w:t>a actuar en contra de la normatividad existente en el país</w:t>
      </w:r>
      <w:r w:rsidR="004601E1" w:rsidRPr="00845503">
        <w:rPr>
          <w:rFonts w:ascii="Cambria" w:hAnsi="Cambria" w:cs="Arial"/>
          <w:sz w:val="20"/>
          <w:szCs w:val="20"/>
          <w:lang w:val="es-CO"/>
        </w:rPr>
        <w:t xml:space="preserve">. </w:t>
      </w:r>
      <w:r w:rsidR="004E3686" w:rsidRPr="00845503">
        <w:rPr>
          <w:rFonts w:ascii="Cambria" w:hAnsi="Cambria" w:cs="Arial"/>
          <w:sz w:val="20"/>
          <w:szCs w:val="20"/>
          <w:lang w:val="es-CO"/>
        </w:rPr>
        <w:t>Por ejemplo, la Fiscal</w:t>
      </w:r>
      <w:r w:rsidR="0017718C" w:rsidRPr="00845503">
        <w:rPr>
          <w:rFonts w:ascii="Cambria" w:hAnsi="Cambria" w:cs="Arial"/>
          <w:sz w:val="20"/>
          <w:szCs w:val="20"/>
          <w:lang w:val="es-CO"/>
        </w:rPr>
        <w:t>ía indicó</w:t>
      </w:r>
      <w:r w:rsidR="004E3686" w:rsidRPr="00845503">
        <w:rPr>
          <w:rFonts w:ascii="Cambria" w:hAnsi="Cambria" w:cs="Arial"/>
          <w:sz w:val="20"/>
          <w:szCs w:val="20"/>
          <w:lang w:val="es-CO"/>
        </w:rPr>
        <w:t xml:space="preserve"> que</w:t>
      </w:r>
      <w:r w:rsidR="0017718C" w:rsidRPr="00845503">
        <w:rPr>
          <w:rFonts w:ascii="Cambria" w:hAnsi="Cambria" w:cs="Arial"/>
          <w:sz w:val="20"/>
          <w:szCs w:val="20"/>
          <w:lang w:val="es-CO"/>
        </w:rPr>
        <w:t>:</w:t>
      </w:r>
    </w:p>
    <w:p w:rsidR="004E3686" w:rsidRPr="00845503" w:rsidRDefault="004E3686" w:rsidP="004E3686">
      <w:pPr>
        <w:pStyle w:val="ListParagraph"/>
        <w:rPr>
          <w:rFonts w:cs="Arial"/>
          <w:sz w:val="20"/>
          <w:szCs w:val="20"/>
          <w:lang w:val="es-CO"/>
        </w:rPr>
      </w:pPr>
    </w:p>
    <w:p w:rsidR="004E3686" w:rsidRPr="00845503" w:rsidRDefault="0017718C" w:rsidP="00875A4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CO"/>
        </w:rPr>
      </w:pPr>
      <w:r w:rsidRPr="00845503">
        <w:rPr>
          <w:rFonts w:ascii="Cambria" w:hAnsi="Cambria" w:cs="Arial"/>
          <w:sz w:val="20"/>
          <w:szCs w:val="20"/>
          <w:lang w:val="es-CO"/>
        </w:rPr>
        <w:t>Con el propó</w:t>
      </w:r>
      <w:r w:rsidR="004E3686" w:rsidRPr="00845503">
        <w:rPr>
          <w:rFonts w:ascii="Cambria" w:hAnsi="Cambria" w:cs="Arial"/>
          <w:sz w:val="20"/>
          <w:szCs w:val="20"/>
          <w:lang w:val="es-CO"/>
        </w:rPr>
        <w:t xml:space="preserve">sito criminoso descrito, los cuatro acusados confeccionaron, aprobaron y firmaron </w:t>
      </w:r>
      <w:r w:rsidR="00C3527D" w:rsidRPr="00845503">
        <w:rPr>
          <w:rFonts w:ascii="Cambria" w:hAnsi="Cambria" w:cs="Arial"/>
          <w:sz w:val="20"/>
          <w:szCs w:val="20"/>
          <w:lang w:val="es-CO"/>
        </w:rPr>
        <w:t>[</w:t>
      </w:r>
      <w:r w:rsidR="004E3686" w:rsidRPr="00845503">
        <w:rPr>
          <w:rFonts w:ascii="Cambria" w:hAnsi="Cambria" w:cs="Arial"/>
          <w:sz w:val="20"/>
          <w:szCs w:val="20"/>
          <w:lang w:val="es-CO"/>
        </w:rPr>
        <w:t>…</w:t>
      </w:r>
      <w:r w:rsidR="00C3527D" w:rsidRPr="00845503">
        <w:rPr>
          <w:rFonts w:ascii="Cambria" w:hAnsi="Cambria" w:cs="Arial"/>
          <w:sz w:val="20"/>
          <w:szCs w:val="20"/>
          <w:lang w:val="es-CO"/>
        </w:rPr>
        <w:t>]</w:t>
      </w:r>
      <w:r w:rsidR="004E3686" w:rsidRPr="00845503">
        <w:rPr>
          <w:rFonts w:ascii="Cambria" w:hAnsi="Cambria" w:cs="Arial"/>
          <w:sz w:val="20"/>
          <w:szCs w:val="20"/>
          <w:lang w:val="es-CO"/>
        </w:rPr>
        <w:t xml:space="preserve"> otro documento titulado ‘</w:t>
      </w:r>
      <w:r w:rsidR="00A31849" w:rsidRPr="00845503">
        <w:rPr>
          <w:rFonts w:ascii="Cambria" w:hAnsi="Cambria" w:cs="Arial"/>
          <w:sz w:val="20"/>
          <w:szCs w:val="20"/>
          <w:lang w:val="es-CO"/>
        </w:rPr>
        <w:t>llamamiento de</w:t>
      </w:r>
      <w:r w:rsidR="004E3686" w:rsidRPr="00845503">
        <w:rPr>
          <w:rFonts w:ascii="Cambria" w:hAnsi="Cambria" w:cs="Arial"/>
          <w:sz w:val="20"/>
          <w:szCs w:val="20"/>
          <w:lang w:val="es-CO"/>
        </w:rPr>
        <w:t xml:space="preserve"> los compatriotas del exilio’ cuyo texto invita a los cubanos que residen en el exterior a que junto a las remesas monetarias enviadas a sus familiares en Cuba </w:t>
      </w:r>
      <w:r w:rsidR="00C3527D" w:rsidRPr="00845503">
        <w:rPr>
          <w:rFonts w:ascii="Cambria" w:hAnsi="Cambria" w:cs="Arial"/>
          <w:sz w:val="20"/>
          <w:szCs w:val="20"/>
          <w:lang w:val="es-CO"/>
        </w:rPr>
        <w:t>[</w:t>
      </w:r>
      <w:r w:rsidR="004E3686" w:rsidRPr="00845503">
        <w:rPr>
          <w:rFonts w:ascii="Cambria" w:hAnsi="Cambria" w:cs="Arial"/>
          <w:sz w:val="20"/>
          <w:szCs w:val="20"/>
          <w:lang w:val="es-CO"/>
        </w:rPr>
        <w:t>…</w:t>
      </w:r>
      <w:r w:rsidR="00C3527D" w:rsidRPr="00845503">
        <w:rPr>
          <w:rFonts w:ascii="Cambria" w:hAnsi="Cambria" w:cs="Arial"/>
          <w:sz w:val="20"/>
          <w:szCs w:val="20"/>
          <w:lang w:val="es-CO"/>
        </w:rPr>
        <w:t>]</w:t>
      </w:r>
      <w:r w:rsidR="004E3686" w:rsidRPr="00845503">
        <w:rPr>
          <w:rFonts w:ascii="Cambria" w:hAnsi="Cambria" w:cs="Arial"/>
          <w:sz w:val="20"/>
          <w:szCs w:val="20"/>
          <w:lang w:val="es-CO"/>
        </w:rPr>
        <w:t xml:space="preserve"> les remitan </w:t>
      </w:r>
      <w:r w:rsidR="00DA5950" w:rsidRPr="00845503">
        <w:rPr>
          <w:rFonts w:ascii="Cambria" w:hAnsi="Cambria" w:cs="Arial"/>
          <w:sz w:val="20"/>
          <w:szCs w:val="20"/>
          <w:lang w:val="es-CO"/>
        </w:rPr>
        <w:t>‘</w:t>
      </w:r>
      <w:r w:rsidR="004E3686" w:rsidRPr="00845503">
        <w:rPr>
          <w:rFonts w:ascii="Cambria" w:hAnsi="Cambria" w:cs="Arial"/>
          <w:sz w:val="20"/>
          <w:szCs w:val="20"/>
          <w:lang w:val="es-CO"/>
        </w:rPr>
        <w:t>firmes exhortaciones</w:t>
      </w:r>
      <w:r w:rsidR="00DA5950" w:rsidRPr="00845503">
        <w:rPr>
          <w:rFonts w:ascii="Cambria" w:hAnsi="Cambria" w:cs="Arial"/>
          <w:sz w:val="20"/>
          <w:szCs w:val="20"/>
          <w:lang w:val="es-CO"/>
        </w:rPr>
        <w:t>’</w:t>
      </w:r>
      <w:r w:rsidR="004E3686" w:rsidRPr="00845503">
        <w:rPr>
          <w:rFonts w:ascii="Cambria" w:hAnsi="Cambria" w:cs="Arial"/>
          <w:sz w:val="20"/>
          <w:szCs w:val="20"/>
          <w:lang w:val="es-CO"/>
        </w:rPr>
        <w:t xml:space="preserve"> </w:t>
      </w:r>
      <w:r w:rsidR="00C3527D" w:rsidRPr="00845503">
        <w:rPr>
          <w:rFonts w:ascii="Cambria" w:hAnsi="Cambria" w:cs="Arial"/>
          <w:sz w:val="20"/>
          <w:szCs w:val="20"/>
          <w:lang w:val="es-CO"/>
        </w:rPr>
        <w:t>[</w:t>
      </w:r>
      <w:r w:rsidR="004E3686" w:rsidRPr="00845503">
        <w:rPr>
          <w:rFonts w:ascii="Cambria" w:hAnsi="Cambria" w:cs="Arial"/>
          <w:sz w:val="20"/>
          <w:szCs w:val="20"/>
          <w:lang w:val="es-CO"/>
        </w:rPr>
        <w:t>…</w:t>
      </w:r>
      <w:r w:rsidR="00C3527D" w:rsidRPr="00845503">
        <w:rPr>
          <w:rFonts w:ascii="Cambria" w:hAnsi="Cambria" w:cs="Arial"/>
          <w:sz w:val="20"/>
          <w:szCs w:val="20"/>
          <w:lang w:val="es-CO"/>
        </w:rPr>
        <w:t>]</w:t>
      </w:r>
      <w:r w:rsidR="00DA5950" w:rsidRPr="00845503">
        <w:rPr>
          <w:rFonts w:ascii="Cambria" w:hAnsi="Cambria" w:cs="Arial"/>
          <w:sz w:val="20"/>
          <w:szCs w:val="20"/>
          <w:lang w:val="es-CO"/>
        </w:rPr>
        <w:t xml:space="preserve"> para que se sumen a la ejecución de actos de desobediencia cí</w:t>
      </w:r>
      <w:r w:rsidR="004E3686" w:rsidRPr="00845503">
        <w:rPr>
          <w:rFonts w:ascii="Cambria" w:hAnsi="Cambria" w:cs="Arial"/>
          <w:sz w:val="20"/>
          <w:szCs w:val="20"/>
          <w:lang w:val="es-CO"/>
        </w:rPr>
        <w:t>vica,</w:t>
      </w:r>
      <w:r w:rsidR="00DA5950" w:rsidRPr="00845503">
        <w:rPr>
          <w:rFonts w:ascii="Cambria" w:hAnsi="Cambria" w:cs="Arial"/>
          <w:sz w:val="20"/>
          <w:szCs w:val="20"/>
          <w:lang w:val="es-CO"/>
        </w:rPr>
        <w:t xml:space="preserve"> dentro de supuestos marcos pací</w:t>
      </w:r>
      <w:r w:rsidR="004E3686" w:rsidRPr="00845503">
        <w:rPr>
          <w:rFonts w:ascii="Cambria" w:hAnsi="Cambria" w:cs="Arial"/>
          <w:sz w:val="20"/>
          <w:szCs w:val="20"/>
          <w:lang w:val="es-CO"/>
        </w:rPr>
        <w:t>ficos, tales como no integrar las organizaciones de masas, creadas para defender</w:t>
      </w:r>
      <w:r w:rsidR="00DA5950" w:rsidRPr="00845503">
        <w:rPr>
          <w:rFonts w:ascii="Cambria" w:hAnsi="Cambria" w:cs="Arial"/>
          <w:sz w:val="20"/>
          <w:szCs w:val="20"/>
          <w:lang w:val="es-CO"/>
        </w:rPr>
        <w:t xml:space="preserve"> y salvaguardar nuestro orden social, no asistir a los actos </w:t>
      </w:r>
      <w:r w:rsidR="00A31849" w:rsidRPr="00845503">
        <w:rPr>
          <w:rFonts w:ascii="Cambria" w:hAnsi="Cambria" w:cs="Arial"/>
          <w:sz w:val="20"/>
          <w:szCs w:val="20"/>
          <w:lang w:val="es-CO"/>
        </w:rPr>
        <w:t>públicos</w:t>
      </w:r>
      <w:r w:rsidR="00DA5950" w:rsidRPr="00845503">
        <w:rPr>
          <w:rFonts w:ascii="Cambria" w:hAnsi="Cambria" w:cs="Arial"/>
          <w:sz w:val="20"/>
          <w:szCs w:val="20"/>
          <w:lang w:val="es-CO"/>
        </w:rPr>
        <w:t xml:space="preserve"> y no votar en las elecciones que se celebrarían en el mes de octubre de 1997, convocando abiertamente a la violación de las disposiciones gubernamentales aprobadas para el envío de tales contribuciones</w:t>
      </w:r>
      <w:r w:rsidR="006F60AA" w:rsidRPr="00845503">
        <w:rPr>
          <w:rStyle w:val="FootnoteReference"/>
          <w:rFonts w:ascii="Cambria" w:hAnsi="Cambria" w:cs="Arial"/>
          <w:sz w:val="20"/>
          <w:szCs w:val="20"/>
          <w:lang w:val="es-CO"/>
        </w:rPr>
        <w:footnoteReference w:id="26"/>
      </w:r>
      <w:r w:rsidR="00DA5950" w:rsidRPr="00845503">
        <w:rPr>
          <w:rFonts w:ascii="Cambria" w:hAnsi="Cambria" w:cs="Arial"/>
          <w:sz w:val="20"/>
          <w:szCs w:val="20"/>
          <w:lang w:val="es-CO"/>
        </w:rPr>
        <w:t xml:space="preserve">. </w:t>
      </w:r>
    </w:p>
    <w:p w:rsidR="004E3686" w:rsidRPr="00845503" w:rsidRDefault="004E3686" w:rsidP="004E3686">
      <w:pPr>
        <w:pStyle w:val="ListParagraph"/>
        <w:rPr>
          <w:rFonts w:cs="Arial"/>
          <w:sz w:val="20"/>
          <w:szCs w:val="20"/>
          <w:lang w:val="es-CO"/>
        </w:rPr>
      </w:pPr>
    </w:p>
    <w:p w:rsidR="00576EB4" w:rsidRPr="00845503" w:rsidRDefault="004601E1"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 xml:space="preserve">La Fiscalía indicó que </w:t>
      </w:r>
      <w:r w:rsidR="006C7106" w:rsidRPr="00845503">
        <w:rPr>
          <w:rFonts w:ascii="Cambria" w:hAnsi="Cambria" w:cs="Arial"/>
          <w:sz w:val="20"/>
          <w:szCs w:val="20"/>
          <w:lang w:val="es-CO"/>
        </w:rPr>
        <w:t xml:space="preserve">los acusados además habían utilizado espacios en </w:t>
      </w:r>
      <w:r w:rsidR="006C7106" w:rsidRPr="00845503">
        <w:rPr>
          <w:rFonts w:ascii="Cambria" w:hAnsi="Cambria" w:cs="Arial"/>
          <w:i/>
          <w:sz w:val="20"/>
          <w:szCs w:val="20"/>
          <w:lang w:val="es-CO"/>
        </w:rPr>
        <w:t>Radio Martí</w:t>
      </w:r>
      <w:r w:rsidR="006C7106" w:rsidRPr="00845503">
        <w:rPr>
          <w:rFonts w:ascii="Cambria" w:hAnsi="Cambria" w:cs="Arial"/>
          <w:sz w:val="20"/>
          <w:szCs w:val="20"/>
          <w:lang w:val="es-CO"/>
        </w:rPr>
        <w:t xml:space="preserve"> en varias ocasiones para difundir el contenido de los documentos y además  </w:t>
      </w:r>
      <w:r w:rsidR="00A16606" w:rsidRPr="00845503">
        <w:rPr>
          <w:rFonts w:ascii="Cambria" w:hAnsi="Cambria" w:cs="Arial"/>
          <w:sz w:val="20"/>
          <w:szCs w:val="20"/>
          <w:lang w:val="es-CO"/>
        </w:rPr>
        <w:t xml:space="preserve">indicó </w:t>
      </w:r>
      <w:r w:rsidR="006C7106" w:rsidRPr="00845503">
        <w:rPr>
          <w:rFonts w:ascii="Cambria" w:hAnsi="Cambria" w:cs="Arial"/>
          <w:sz w:val="20"/>
          <w:szCs w:val="20"/>
          <w:lang w:val="es-CO"/>
        </w:rPr>
        <w:t xml:space="preserve">que “pretendiendo una mayor difusión </w:t>
      </w:r>
      <w:r w:rsidR="00AB5BB2" w:rsidRPr="00845503">
        <w:rPr>
          <w:rFonts w:ascii="Cambria" w:hAnsi="Cambria" w:cs="Arial"/>
          <w:sz w:val="20"/>
          <w:szCs w:val="20"/>
          <w:lang w:val="es-CO"/>
        </w:rPr>
        <w:t xml:space="preserve">y </w:t>
      </w:r>
      <w:r w:rsidR="006C7106" w:rsidRPr="00845503">
        <w:rPr>
          <w:rFonts w:ascii="Cambria" w:hAnsi="Cambria" w:cs="Arial"/>
          <w:sz w:val="20"/>
          <w:szCs w:val="20"/>
          <w:lang w:val="es-CO"/>
        </w:rPr>
        <w:t>no conformes</w:t>
      </w:r>
      <w:r w:rsidR="00AB5BB2" w:rsidRPr="00845503">
        <w:rPr>
          <w:rFonts w:ascii="Cambria" w:hAnsi="Cambria" w:cs="Arial"/>
          <w:sz w:val="20"/>
          <w:szCs w:val="20"/>
          <w:lang w:val="es-CO"/>
        </w:rPr>
        <w:t xml:space="preserve"> con el uso de la radio, los acusados convocaron a una conferencia de prensa</w:t>
      </w:r>
      <w:r w:rsidR="00870E46" w:rsidRPr="00845503">
        <w:rPr>
          <w:rFonts w:ascii="Cambria" w:hAnsi="Cambria" w:cs="Arial"/>
          <w:sz w:val="20"/>
          <w:szCs w:val="20"/>
          <w:lang w:val="es-CO"/>
        </w:rPr>
        <w:t xml:space="preserve"> en la casa del acusado Roca Antúnez […] a la que asistieron numerosos representantes de agencias extranjeras”. </w:t>
      </w:r>
      <w:r w:rsidR="00DC2A02" w:rsidRPr="00845503">
        <w:rPr>
          <w:rFonts w:ascii="Cambria" w:hAnsi="Cambria" w:cs="Arial"/>
          <w:sz w:val="20"/>
          <w:szCs w:val="20"/>
          <w:lang w:val="es-CO"/>
        </w:rPr>
        <w:t xml:space="preserve">La Fiscalía señaló que en los diferentes espacios de </w:t>
      </w:r>
      <w:r w:rsidR="00DC2A02" w:rsidRPr="00845503">
        <w:rPr>
          <w:rFonts w:ascii="Cambria" w:hAnsi="Cambria" w:cs="Arial"/>
          <w:i/>
          <w:sz w:val="20"/>
          <w:szCs w:val="20"/>
          <w:lang w:val="es-CO"/>
        </w:rPr>
        <w:t>Radio Martí</w:t>
      </w:r>
      <w:r w:rsidR="00DC2A02" w:rsidRPr="00845503">
        <w:rPr>
          <w:rFonts w:ascii="Cambria" w:hAnsi="Cambria" w:cs="Arial"/>
          <w:sz w:val="20"/>
          <w:szCs w:val="20"/>
          <w:lang w:val="es-CO"/>
        </w:rPr>
        <w:t xml:space="preserve"> en los que participaron los acusados así como en la rueda de prensa con medios extranjeros, realizaron un llamado a la abstenci</w:t>
      </w:r>
      <w:r w:rsidR="0027392A" w:rsidRPr="00845503">
        <w:rPr>
          <w:rFonts w:ascii="Cambria" w:hAnsi="Cambria" w:cs="Arial"/>
          <w:sz w:val="20"/>
          <w:szCs w:val="20"/>
          <w:lang w:val="es-CO"/>
        </w:rPr>
        <w:t xml:space="preserve">ón en las elecciones convocadas para octubre de 1997. </w:t>
      </w:r>
      <w:r w:rsidR="00E21F6A" w:rsidRPr="00845503">
        <w:rPr>
          <w:rFonts w:ascii="Cambria" w:hAnsi="Cambria" w:cs="Arial"/>
          <w:sz w:val="20"/>
          <w:szCs w:val="20"/>
          <w:lang w:val="es-CO"/>
        </w:rPr>
        <w:t>Est</w:t>
      </w:r>
      <w:r w:rsidR="006F60AA" w:rsidRPr="00845503">
        <w:rPr>
          <w:rFonts w:ascii="Cambria" w:hAnsi="Cambria" w:cs="Arial"/>
          <w:sz w:val="20"/>
          <w:szCs w:val="20"/>
          <w:lang w:val="es-CO"/>
        </w:rPr>
        <w:t>a</w:t>
      </w:r>
      <w:r w:rsidR="00E21F6A" w:rsidRPr="00845503">
        <w:rPr>
          <w:rFonts w:ascii="Cambria" w:hAnsi="Cambria" w:cs="Arial"/>
          <w:sz w:val="20"/>
          <w:szCs w:val="20"/>
          <w:lang w:val="es-CO"/>
        </w:rPr>
        <w:t>s mism</w:t>
      </w:r>
      <w:r w:rsidR="006F60AA" w:rsidRPr="00845503">
        <w:rPr>
          <w:rFonts w:ascii="Cambria" w:hAnsi="Cambria" w:cs="Arial"/>
          <w:sz w:val="20"/>
          <w:szCs w:val="20"/>
          <w:lang w:val="es-CO"/>
        </w:rPr>
        <w:t>a</w:t>
      </w:r>
      <w:r w:rsidR="00E21F6A" w:rsidRPr="00845503">
        <w:rPr>
          <w:rFonts w:ascii="Cambria" w:hAnsi="Cambria" w:cs="Arial"/>
          <w:sz w:val="20"/>
          <w:szCs w:val="20"/>
          <w:lang w:val="es-CO"/>
        </w:rPr>
        <w:t xml:space="preserve">s </w:t>
      </w:r>
      <w:r w:rsidR="006F60AA" w:rsidRPr="00845503">
        <w:rPr>
          <w:rFonts w:ascii="Cambria" w:hAnsi="Cambria" w:cs="Arial"/>
          <w:sz w:val="20"/>
          <w:szCs w:val="20"/>
          <w:lang w:val="es-CO"/>
        </w:rPr>
        <w:t>acusaciones fueron hecha</w:t>
      </w:r>
      <w:r w:rsidR="00E21F6A" w:rsidRPr="00845503">
        <w:rPr>
          <w:rFonts w:ascii="Cambria" w:hAnsi="Cambria" w:cs="Arial"/>
          <w:sz w:val="20"/>
          <w:szCs w:val="20"/>
          <w:lang w:val="es-CO"/>
        </w:rPr>
        <w:t xml:space="preserve">s </w:t>
      </w:r>
      <w:r w:rsidR="006F60AA" w:rsidRPr="00845503">
        <w:rPr>
          <w:rFonts w:ascii="Cambria" w:hAnsi="Cambria" w:cs="Arial"/>
          <w:sz w:val="20"/>
          <w:szCs w:val="20"/>
          <w:lang w:val="es-CO"/>
        </w:rPr>
        <w:t xml:space="preserve">por la Fiscalia </w:t>
      </w:r>
      <w:r w:rsidR="00E21F6A" w:rsidRPr="00845503">
        <w:rPr>
          <w:rFonts w:ascii="Cambria" w:hAnsi="Cambria" w:cs="Arial"/>
          <w:sz w:val="20"/>
          <w:szCs w:val="20"/>
          <w:lang w:val="es-CO"/>
        </w:rPr>
        <w:t>respecto a entrevistas</w:t>
      </w:r>
      <w:r w:rsidR="00A16606" w:rsidRPr="00845503">
        <w:rPr>
          <w:rFonts w:ascii="Cambria" w:hAnsi="Cambria" w:cs="Arial"/>
          <w:sz w:val="20"/>
          <w:szCs w:val="20"/>
          <w:lang w:val="es-CO"/>
        </w:rPr>
        <w:t>,</w:t>
      </w:r>
      <w:r w:rsidR="00E21F6A" w:rsidRPr="00845503">
        <w:rPr>
          <w:rFonts w:ascii="Cambria" w:hAnsi="Cambria" w:cs="Arial"/>
          <w:sz w:val="20"/>
          <w:szCs w:val="20"/>
          <w:lang w:val="es-CO"/>
        </w:rPr>
        <w:t xml:space="preserve"> así como una rueda de prensa organizada para la divulgación del documento </w:t>
      </w:r>
      <w:r w:rsidR="00A16606" w:rsidRPr="00845503">
        <w:rPr>
          <w:rFonts w:ascii="Cambria" w:hAnsi="Cambria" w:cs="Arial"/>
          <w:sz w:val="20"/>
          <w:szCs w:val="20"/>
          <w:lang w:val="es-CO"/>
        </w:rPr>
        <w:t>“</w:t>
      </w:r>
      <w:r w:rsidR="00E21F6A" w:rsidRPr="00845503">
        <w:rPr>
          <w:rFonts w:ascii="Cambria" w:hAnsi="Cambria" w:cs="Arial"/>
          <w:sz w:val="20"/>
          <w:szCs w:val="20"/>
          <w:lang w:val="es-CO"/>
        </w:rPr>
        <w:t>La Patria es de todos</w:t>
      </w:r>
      <w:r w:rsidR="00A16606" w:rsidRPr="00845503">
        <w:rPr>
          <w:rFonts w:ascii="Cambria" w:hAnsi="Cambria" w:cs="Arial"/>
          <w:sz w:val="20"/>
          <w:szCs w:val="20"/>
          <w:lang w:val="es-CO"/>
        </w:rPr>
        <w:t>”</w:t>
      </w:r>
      <w:r w:rsidR="00E21F6A" w:rsidRPr="00845503">
        <w:rPr>
          <w:rFonts w:ascii="Cambria" w:hAnsi="Cambria" w:cs="Arial"/>
          <w:sz w:val="20"/>
          <w:szCs w:val="20"/>
          <w:lang w:val="es-CO"/>
        </w:rPr>
        <w:t xml:space="preserve">. </w:t>
      </w:r>
    </w:p>
    <w:p w:rsidR="00A07076" w:rsidRPr="00845503" w:rsidRDefault="00A07076" w:rsidP="00A07076">
      <w:pPr>
        <w:pStyle w:val="ListParagraph"/>
        <w:rPr>
          <w:rFonts w:cs="Arial"/>
          <w:sz w:val="20"/>
          <w:szCs w:val="20"/>
          <w:lang w:val="es-CO"/>
        </w:rPr>
      </w:pPr>
    </w:p>
    <w:p w:rsidR="00A07076" w:rsidRPr="00845503" w:rsidRDefault="00A07076"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 xml:space="preserve">La Fiscalía afirmó que </w:t>
      </w:r>
      <w:r w:rsidR="00BB2F04" w:rsidRPr="00845503">
        <w:rPr>
          <w:rFonts w:ascii="Cambria" w:hAnsi="Cambria" w:cs="Arial"/>
          <w:sz w:val="20"/>
          <w:szCs w:val="20"/>
          <w:lang w:val="es-CO"/>
        </w:rPr>
        <w:t>“</w:t>
      </w:r>
      <w:r w:rsidR="000D270D" w:rsidRPr="00845503">
        <w:rPr>
          <w:rFonts w:ascii="Cambria" w:hAnsi="Cambria" w:cs="Arial"/>
          <w:sz w:val="20"/>
          <w:szCs w:val="20"/>
          <w:lang w:val="es-CO"/>
        </w:rPr>
        <w:t>ninguno de los acusados está</w:t>
      </w:r>
      <w:r w:rsidRPr="00845503">
        <w:rPr>
          <w:rFonts w:ascii="Cambria" w:hAnsi="Cambria" w:cs="Arial"/>
          <w:sz w:val="20"/>
          <w:szCs w:val="20"/>
          <w:lang w:val="es-CO"/>
        </w:rPr>
        <w:t xml:space="preserve"> vinculado a nuestras organizaciones de masas y sus principales relaciones las mantienen con contrarrevolucionarios, especialmente con los que residen fuera de Cuba, quienes los abastecen material y monetariamente para el desempeño de su actuar delictivo y les garantizan un nivel de vida por encima de sus posibilidades</w:t>
      </w:r>
      <w:r w:rsidR="00BB2F04" w:rsidRPr="00845503">
        <w:rPr>
          <w:rFonts w:ascii="Cambria" w:hAnsi="Cambria" w:cs="Arial"/>
          <w:sz w:val="20"/>
          <w:szCs w:val="20"/>
          <w:lang w:val="es-ES"/>
        </w:rPr>
        <w:t xml:space="preserve">”. </w:t>
      </w:r>
    </w:p>
    <w:p w:rsidR="00611606" w:rsidRPr="00845503" w:rsidRDefault="00611606" w:rsidP="00611606">
      <w:pPr>
        <w:pStyle w:val="ListParagraph"/>
        <w:rPr>
          <w:rFonts w:cs="Arial"/>
          <w:sz w:val="20"/>
          <w:szCs w:val="20"/>
          <w:lang w:val="es-CO"/>
        </w:rPr>
      </w:pPr>
    </w:p>
    <w:p w:rsidR="005A5276" w:rsidRPr="00845503" w:rsidRDefault="003F78A3"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El</w:t>
      </w:r>
      <w:r w:rsidR="006323AA" w:rsidRPr="00845503">
        <w:rPr>
          <w:rFonts w:ascii="Cambria" w:hAnsi="Cambria" w:cs="Arial"/>
          <w:sz w:val="20"/>
          <w:szCs w:val="20"/>
          <w:lang w:val="es-CO"/>
        </w:rPr>
        <w:t xml:space="preserve"> 9 de octubre de 1998</w:t>
      </w:r>
      <w:r w:rsidRPr="00845503">
        <w:rPr>
          <w:rFonts w:ascii="Cambria" w:hAnsi="Cambria" w:cs="Arial"/>
          <w:sz w:val="20"/>
          <w:szCs w:val="20"/>
          <w:lang w:val="es-CO"/>
        </w:rPr>
        <w:t xml:space="preserve">, </w:t>
      </w:r>
      <w:r w:rsidR="001C0927" w:rsidRPr="00845503">
        <w:rPr>
          <w:rFonts w:ascii="Cambria" w:hAnsi="Cambria" w:cs="Arial"/>
          <w:sz w:val="20"/>
          <w:szCs w:val="20"/>
          <w:lang w:val="es-CO"/>
        </w:rPr>
        <w:t>los familiares solicitaron a la</w:t>
      </w:r>
      <w:r w:rsidRPr="00845503">
        <w:rPr>
          <w:rFonts w:ascii="Cambria" w:hAnsi="Cambria" w:cs="Arial"/>
          <w:sz w:val="20"/>
          <w:szCs w:val="20"/>
          <w:lang w:val="es-CO"/>
        </w:rPr>
        <w:t xml:space="preserve"> </w:t>
      </w:r>
      <w:r w:rsidR="001C0927" w:rsidRPr="00845503">
        <w:rPr>
          <w:rFonts w:ascii="Cambria" w:hAnsi="Cambria" w:cs="Arial"/>
          <w:sz w:val="20"/>
          <w:szCs w:val="20"/>
          <w:lang w:val="es-CO"/>
        </w:rPr>
        <w:t xml:space="preserve">Sala de Delitos contra la Seguridad Nacional del </w:t>
      </w:r>
      <w:r w:rsidRPr="00845503">
        <w:rPr>
          <w:rFonts w:ascii="Cambria" w:hAnsi="Cambria" w:cs="Arial"/>
          <w:sz w:val="20"/>
          <w:szCs w:val="20"/>
          <w:lang w:val="es-CO"/>
        </w:rPr>
        <w:t>Tribunal Provi</w:t>
      </w:r>
      <w:r w:rsidR="001C0927" w:rsidRPr="00845503">
        <w:rPr>
          <w:rFonts w:ascii="Cambria" w:hAnsi="Cambria" w:cs="Arial"/>
          <w:sz w:val="20"/>
          <w:szCs w:val="20"/>
          <w:lang w:val="es-CO"/>
        </w:rPr>
        <w:t xml:space="preserve">ncial </w:t>
      </w:r>
      <w:r w:rsidRPr="00845503">
        <w:rPr>
          <w:rFonts w:ascii="Cambria" w:hAnsi="Cambria" w:cs="Arial"/>
          <w:sz w:val="20"/>
          <w:szCs w:val="20"/>
          <w:lang w:val="es-CO"/>
        </w:rPr>
        <w:t>de la Habana, “cambio de medida para los detenidos”, conforme las disposiciones legales vigentes. En particular, insistieron que ya “</w:t>
      </w:r>
      <w:r w:rsidR="00804210" w:rsidRPr="00845503">
        <w:rPr>
          <w:rFonts w:ascii="Cambria" w:hAnsi="Cambria" w:cs="Arial"/>
          <w:sz w:val="20"/>
          <w:szCs w:val="20"/>
          <w:lang w:val="es-CO"/>
        </w:rPr>
        <w:t>tanto en la acusació</w:t>
      </w:r>
      <w:r w:rsidRPr="00845503">
        <w:rPr>
          <w:rFonts w:ascii="Cambria" w:hAnsi="Cambria" w:cs="Arial"/>
          <w:sz w:val="20"/>
          <w:szCs w:val="20"/>
          <w:lang w:val="es-CO"/>
        </w:rPr>
        <w:t xml:space="preserve">n del AUTO (‘propaganda enemiga’) como en la actual de </w:t>
      </w:r>
      <w:r w:rsidR="00A31849" w:rsidRPr="00845503">
        <w:rPr>
          <w:rFonts w:ascii="Cambria" w:hAnsi="Cambria" w:cs="Arial"/>
          <w:sz w:val="20"/>
          <w:szCs w:val="20"/>
          <w:lang w:val="es-CO"/>
        </w:rPr>
        <w:t>Sedición</w:t>
      </w:r>
      <w:r w:rsidRPr="00845503">
        <w:rPr>
          <w:rFonts w:ascii="Cambria" w:hAnsi="Cambria" w:cs="Arial"/>
          <w:sz w:val="20"/>
          <w:szCs w:val="20"/>
          <w:lang w:val="es-CO"/>
        </w:rPr>
        <w:t xml:space="preserve"> ‘C’</w:t>
      </w:r>
      <w:r w:rsidR="00804210" w:rsidRPr="00845503">
        <w:rPr>
          <w:rFonts w:ascii="Cambria" w:hAnsi="Cambria" w:cs="Arial"/>
          <w:sz w:val="20"/>
          <w:szCs w:val="20"/>
          <w:lang w:val="es-CO"/>
        </w:rPr>
        <w:t>, la pena mí</w:t>
      </w:r>
      <w:r w:rsidRPr="00845503">
        <w:rPr>
          <w:rFonts w:ascii="Cambria" w:hAnsi="Cambria" w:cs="Arial"/>
          <w:sz w:val="20"/>
          <w:szCs w:val="20"/>
          <w:lang w:val="es-CO"/>
        </w:rPr>
        <w:t>nima era</w:t>
      </w:r>
      <w:r w:rsidR="00804210" w:rsidRPr="00845503">
        <w:rPr>
          <w:rFonts w:ascii="Cambria" w:hAnsi="Cambria" w:cs="Arial"/>
          <w:sz w:val="20"/>
          <w:szCs w:val="20"/>
          <w:lang w:val="es-CO"/>
        </w:rPr>
        <w:t>,</w:t>
      </w:r>
      <w:r w:rsidRPr="00845503">
        <w:rPr>
          <w:rFonts w:ascii="Cambria" w:hAnsi="Cambria" w:cs="Arial"/>
          <w:sz w:val="20"/>
          <w:szCs w:val="20"/>
          <w:lang w:val="es-CO"/>
        </w:rPr>
        <w:t xml:space="preserve"> y es</w:t>
      </w:r>
      <w:r w:rsidR="00804210" w:rsidRPr="00845503">
        <w:rPr>
          <w:rFonts w:ascii="Cambria" w:hAnsi="Cambria" w:cs="Arial"/>
          <w:sz w:val="20"/>
          <w:szCs w:val="20"/>
          <w:lang w:val="es-CO"/>
        </w:rPr>
        <w:t>,</w:t>
      </w:r>
      <w:r w:rsidRPr="00845503">
        <w:rPr>
          <w:rFonts w:ascii="Cambria" w:hAnsi="Cambria" w:cs="Arial"/>
          <w:sz w:val="20"/>
          <w:szCs w:val="20"/>
          <w:lang w:val="es-CO"/>
        </w:rPr>
        <w:t xml:space="preserve"> de un año ya cumplido con creces”</w:t>
      </w:r>
      <w:r w:rsidR="00075DC4" w:rsidRPr="00845503">
        <w:rPr>
          <w:rStyle w:val="FootnoteReference"/>
          <w:rFonts w:ascii="Cambria" w:hAnsi="Cambria" w:cs="Arial"/>
          <w:sz w:val="20"/>
          <w:szCs w:val="20"/>
          <w:lang w:val="es-CO"/>
        </w:rPr>
        <w:footnoteReference w:id="27"/>
      </w:r>
      <w:r w:rsidRPr="00845503">
        <w:rPr>
          <w:rFonts w:ascii="Cambria" w:hAnsi="Cambria" w:cs="Arial"/>
          <w:sz w:val="20"/>
          <w:szCs w:val="20"/>
          <w:lang w:val="es-CO"/>
        </w:rPr>
        <w:t>.</w:t>
      </w:r>
      <w:r w:rsidR="00C11FBC" w:rsidRPr="00845503">
        <w:rPr>
          <w:rFonts w:ascii="Cambria" w:hAnsi="Cambria" w:cs="Arial"/>
          <w:sz w:val="20"/>
          <w:szCs w:val="20"/>
          <w:lang w:val="es-CO"/>
        </w:rPr>
        <w:t xml:space="preserve"> </w:t>
      </w:r>
      <w:r w:rsidR="005A5276" w:rsidRPr="00845503">
        <w:rPr>
          <w:rFonts w:ascii="Cambria" w:hAnsi="Cambria" w:cs="Arial"/>
          <w:sz w:val="20"/>
          <w:szCs w:val="20"/>
          <w:lang w:val="es-CO"/>
        </w:rPr>
        <w:t xml:space="preserve"> Estas solicitudes no fueron respondidas</w:t>
      </w:r>
      <w:r w:rsidR="0071141F" w:rsidRPr="00845503">
        <w:rPr>
          <w:rStyle w:val="FootnoteReference"/>
          <w:rFonts w:ascii="Cambria" w:hAnsi="Cambria" w:cs="Arial"/>
          <w:sz w:val="20"/>
          <w:szCs w:val="20"/>
          <w:lang w:val="es-CO"/>
        </w:rPr>
        <w:footnoteReference w:id="28"/>
      </w:r>
      <w:r w:rsidR="005A5276" w:rsidRPr="00845503">
        <w:rPr>
          <w:rFonts w:ascii="Cambria" w:hAnsi="Cambria" w:cs="Arial"/>
          <w:sz w:val="20"/>
          <w:szCs w:val="20"/>
          <w:lang w:val="es-CO"/>
        </w:rPr>
        <w:t>.</w:t>
      </w:r>
    </w:p>
    <w:p w:rsidR="005A5276" w:rsidRPr="00845503" w:rsidRDefault="005A5276" w:rsidP="005A5276">
      <w:pPr>
        <w:pStyle w:val="ListParagraph"/>
        <w:rPr>
          <w:rFonts w:cs="Arial"/>
          <w:sz w:val="20"/>
          <w:szCs w:val="20"/>
          <w:lang w:val="es-CO"/>
        </w:rPr>
      </w:pPr>
    </w:p>
    <w:p w:rsidR="005A5276" w:rsidRPr="00845503" w:rsidRDefault="00822502"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El</w:t>
      </w:r>
      <w:r w:rsidR="00FD2E9D" w:rsidRPr="00845503">
        <w:rPr>
          <w:rFonts w:ascii="Cambria" w:hAnsi="Cambria" w:cs="Arial"/>
          <w:sz w:val="20"/>
          <w:szCs w:val="20"/>
          <w:lang w:val="es-CO"/>
        </w:rPr>
        <w:t xml:space="preserve"> 14 de octubre de 1998</w:t>
      </w:r>
      <w:r w:rsidRPr="00845503">
        <w:rPr>
          <w:rFonts w:ascii="Cambria" w:hAnsi="Cambria" w:cs="Arial"/>
          <w:sz w:val="20"/>
          <w:szCs w:val="20"/>
          <w:lang w:val="es-CO"/>
        </w:rPr>
        <w:t xml:space="preserve">, los familiares de los detenidos interpusieron un nuevo recurso de </w:t>
      </w:r>
      <w:r w:rsidRPr="00845503">
        <w:rPr>
          <w:rFonts w:ascii="Cambria" w:hAnsi="Cambria" w:cs="Arial"/>
          <w:i/>
          <w:sz w:val="20"/>
          <w:szCs w:val="20"/>
          <w:lang w:val="es-CO"/>
        </w:rPr>
        <w:t>habeas corpus</w:t>
      </w:r>
      <w:r w:rsidR="00FD2E9D" w:rsidRPr="00845503">
        <w:rPr>
          <w:rFonts w:ascii="Cambria" w:hAnsi="Cambria" w:cs="Arial"/>
          <w:sz w:val="20"/>
          <w:szCs w:val="20"/>
          <w:lang w:val="es-CO"/>
        </w:rPr>
        <w:t xml:space="preserve"> ante el Tribunal Supremo Popular, </w:t>
      </w:r>
      <w:r w:rsidR="00C11FBC" w:rsidRPr="00845503">
        <w:rPr>
          <w:rFonts w:ascii="Cambria" w:hAnsi="Cambria" w:cs="Arial"/>
          <w:sz w:val="20"/>
          <w:szCs w:val="20"/>
          <w:lang w:val="es-CO"/>
        </w:rPr>
        <w:t xml:space="preserve">en el que alegaron la ilegalidad de la detención </w:t>
      </w:r>
      <w:r w:rsidR="00A31849" w:rsidRPr="00845503">
        <w:rPr>
          <w:rFonts w:ascii="Cambria" w:hAnsi="Cambria" w:cs="Arial"/>
          <w:sz w:val="20"/>
          <w:szCs w:val="20"/>
          <w:lang w:val="es-CO"/>
        </w:rPr>
        <w:t>prolongada</w:t>
      </w:r>
      <w:r w:rsidR="00C11FBC" w:rsidRPr="00845503">
        <w:rPr>
          <w:rFonts w:ascii="Cambria" w:hAnsi="Cambria" w:cs="Arial"/>
          <w:sz w:val="20"/>
          <w:szCs w:val="20"/>
          <w:lang w:val="es-CO"/>
        </w:rPr>
        <w:t xml:space="preserve"> sin juicio</w:t>
      </w:r>
      <w:r w:rsidR="0071141F" w:rsidRPr="00845503">
        <w:rPr>
          <w:rStyle w:val="FootnoteReference"/>
          <w:rFonts w:ascii="Cambria" w:hAnsi="Cambria" w:cs="Arial"/>
          <w:sz w:val="20"/>
          <w:szCs w:val="20"/>
          <w:lang w:val="es-CO"/>
        </w:rPr>
        <w:footnoteReference w:id="29"/>
      </w:r>
      <w:r w:rsidR="00C11FBC" w:rsidRPr="00845503">
        <w:rPr>
          <w:rFonts w:ascii="Cambria" w:hAnsi="Cambria" w:cs="Arial"/>
          <w:sz w:val="20"/>
          <w:szCs w:val="20"/>
          <w:lang w:val="es-CO"/>
        </w:rPr>
        <w:t xml:space="preserve">. </w:t>
      </w:r>
      <w:r w:rsidR="00FD2E9D" w:rsidRPr="00845503">
        <w:rPr>
          <w:rFonts w:ascii="Cambria" w:hAnsi="Cambria" w:cs="Arial"/>
          <w:sz w:val="20"/>
          <w:szCs w:val="20"/>
          <w:lang w:val="es-CO"/>
        </w:rPr>
        <w:t xml:space="preserve"> </w:t>
      </w:r>
      <w:r w:rsidR="000D270D" w:rsidRPr="00845503">
        <w:rPr>
          <w:rFonts w:ascii="Cambria" w:hAnsi="Cambria" w:cs="Arial"/>
          <w:sz w:val="20"/>
          <w:szCs w:val="20"/>
          <w:lang w:val="es-CO"/>
        </w:rPr>
        <w:t>El recurso fue rechazado “</w:t>
      </w:r>
      <w:r w:rsidR="005A5276" w:rsidRPr="00845503">
        <w:rPr>
          <w:rFonts w:ascii="Cambria" w:hAnsi="Cambria" w:cs="Arial"/>
          <w:sz w:val="20"/>
          <w:szCs w:val="20"/>
          <w:lang w:val="es-CO"/>
        </w:rPr>
        <w:t>de plano</w:t>
      </w:r>
      <w:r w:rsidR="000D270D" w:rsidRPr="00845503">
        <w:rPr>
          <w:rFonts w:ascii="Cambria" w:hAnsi="Cambria" w:cs="Arial"/>
          <w:sz w:val="20"/>
          <w:szCs w:val="20"/>
          <w:lang w:val="es-CO"/>
        </w:rPr>
        <w:t>”</w:t>
      </w:r>
      <w:r w:rsidR="005A5276" w:rsidRPr="00845503">
        <w:rPr>
          <w:rFonts w:ascii="Cambria" w:hAnsi="Cambria" w:cs="Arial"/>
          <w:sz w:val="20"/>
          <w:szCs w:val="20"/>
          <w:lang w:val="es-CO"/>
        </w:rPr>
        <w:t xml:space="preserve"> el 16 de octubre</w:t>
      </w:r>
      <w:r w:rsidR="00EC272D" w:rsidRPr="00845503">
        <w:rPr>
          <w:rFonts w:ascii="Cambria" w:hAnsi="Cambria" w:cs="Arial"/>
          <w:sz w:val="20"/>
          <w:szCs w:val="20"/>
          <w:lang w:val="es-CO"/>
        </w:rPr>
        <w:t xml:space="preserve"> por el Tribunal, que consideró</w:t>
      </w:r>
      <w:r w:rsidR="005A5276" w:rsidRPr="00845503">
        <w:rPr>
          <w:rFonts w:ascii="Cambria" w:hAnsi="Cambria" w:cs="Arial"/>
          <w:sz w:val="20"/>
          <w:szCs w:val="20"/>
          <w:lang w:val="es-CO"/>
        </w:rPr>
        <w:t xml:space="preserve"> que el recurso no era procedente</w:t>
      </w:r>
      <w:r w:rsidR="00BD4B5D" w:rsidRPr="00845503">
        <w:rPr>
          <w:rStyle w:val="FootnoteReference"/>
          <w:rFonts w:ascii="Cambria" w:hAnsi="Cambria" w:cs="Arial"/>
          <w:sz w:val="20"/>
          <w:szCs w:val="20"/>
          <w:lang w:val="es-CO"/>
        </w:rPr>
        <w:footnoteReference w:id="30"/>
      </w:r>
      <w:r w:rsidR="005A5276" w:rsidRPr="00845503">
        <w:rPr>
          <w:rFonts w:ascii="Cambria" w:hAnsi="Cambria" w:cs="Arial"/>
          <w:sz w:val="20"/>
          <w:szCs w:val="20"/>
          <w:lang w:val="es-CO"/>
        </w:rPr>
        <w:t xml:space="preserve">. </w:t>
      </w:r>
    </w:p>
    <w:p w:rsidR="005A5276" w:rsidRPr="00845503" w:rsidRDefault="005A5276" w:rsidP="005A52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p>
    <w:p w:rsidR="00804210" w:rsidRPr="00845503" w:rsidRDefault="00C11FBC"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El</w:t>
      </w:r>
      <w:r w:rsidR="00EF1712" w:rsidRPr="00845503">
        <w:rPr>
          <w:rFonts w:ascii="Cambria" w:hAnsi="Cambria" w:cs="Arial"/>
          <w:sz w:val="20"/>
          <w:szCs w:val="20"/>
          <w:lang w:val="es-CO"/>
        </w:rPr>
        <w:t xml:space="preserve"> 4 de noviembre y el </w:t>
      </w:r>
      <w:r w:rsidR="00112F58" w:rsidRPr="00845503">
        <w:rPr>
          <w:rFonts w:ascii="Cambria" w:hAnsi="Cambria" w:cs="Arial"/>
          <w:sz w:val="20"/>
          <w:szCs w:val="20"/>
          <w:lang w:val="es-CO"/>
        </w:rPr>
        <w:t>21 de diciembre</w:t>
      </w:r>
      <w:r w:rsidR="005A5276" w:rsidRPr="00845503">
        <w:rPr>
          <w:rFonts w:ascii="Cambria" w:hAnsi="Cambria" w:cs="Arial"/>
          <w:sz w:val="20"/>
          <w:szCs w:val="20"/>
          <w:lang w:val="es-CO"/>
        </w:rPr>
        <w:t xml:space="preserve"> </w:t>
      </w:r>
      <w:r w:rsidR="00112F58" w:rsidRPr="00845503">
        <w:rPr>
          <w:rFonts w:ascii="Cambria" w:hAnsi="Cambria" w:cs="Arial"/>
          <w:sz w:val="20"/>
          <w:szCs w:val="20"/>
          <w:lang w:val="es-CO"/>
        </w:rPr>
        <w:t>de 1998</w:t>
      </w:r>
      <w:r w:rsidR="000D270D" w:rsidRPr="00845503">
        <w:rPr>
          <w:rFonts w:ascii="Cambria" w:hAnsi="Cambria" w:cs="Arial"/>
          <w:sz w:val="20"/>
          <w:szCs w:val="20"/>
          <w:lang w:val="es-CO"/>
        </w:rPr>
        <w:t>,</w:t>
      </w:r>
      <w:r w:rsidR="00112F58" w:rsidRPr="00845503">
        <w:rPr>
          <w:rFonts w:ascii="Cambria" w:hAnsi="Cambria" w:cs="Arial"/>
          <w:sz w:val="20"/>
          <w:szCs w:val="20"/>
          <w:lang w:val="es-CO"/>
        </w:rPr>
        <w:t xml:space="preserve"> </w:t>
      </w:r>
      <w:r w:rsidR="00325451" w:rsidRPr="00845503">
        <w:rPr>
          <w:rFonts w:ascii="Cambria" w:hAnsi="Cambria" w:cs="Arial"/>
          <w:sz w:val="20"/>
          <w:szCs w:val="20"/>
          <w:lang w:val="es-CO"/>
        </w:rPr>
        <w:t>Jorge R. Gómez indicó mediante escritos al Tribunal que su</w:t>
      </w:r>
      <w:r w:rsidR="005A5276" w:rsidRPr="00845503">
        <w:rPr>
          <w:rFonts w:ascii="Cambria" w:hAnsi="Cambria" w:cs="Arial"/>
          <w:sz w:val="20"/>
          <w:szCs w:val="20"/>
          <w:lang w:val="es-CO"/>
        </w:rPr>
        <w:t xml:space="preserve"> hermano de René Gómez Manzano</w:t>
      </w:r>
      <w:r w:rsidR="00325451" w:rsidRPr="00845503">
        <w:rPr>
          <w:rFonts w:ascii="Cambria" w:hAnsi="Cambria" w:cs="Arial"/>
          <w:sz w:val="20"/>
          <w:szCs w:val="20"/>
          <w:lang w:val="es-CO"/>
        </w:rPr>
        <w:t xml:space="preserve"> deseaba</w:t>
      </w:r>
      <w:r w:rsidR="005A5276" w:rsidRPr="00845503">
        <w:rPr>
          <w:rFonts w:ascii="Cambria" w:hAnsi="Cambria" w:cs="Arial"/>
          <w:sz w:val="20"/>
          <w:szCs w:val="20"/>
          <w:lang w:val="es-CO"/>
        </w:rPr>
        <w:t xml:space="preserve"> asumir su propia defensa</w:t>
      </w:r>
      <w:r w:rsidR="00325451" w:rsidRPr="00845503">
        <w:rPr>
          <w:rStyle w:val="FootnoteReference"/>
          <w:rFonts w:ascii="Cambria" w:hAnsi="Cambria" w:cs="Arial"/>
          <w:sz w:val="20"/>
          <w:szCs w:val="20"/>
          <w:lang w:val="es-CO"/>
        </w:rPr>
        <w:footnoteReference w:id="31"/>
      </w:r>
      <w:r w:rsidR="005A5276" w:rsidRPr="00845503">
        <w:rPr>
          <w:rFonts w:ascii="Cambria" w:hAnsi="Cambria" w:cs="Arial"/>
          <w:sz w:val="20"/>
          <w:szCs w:val="20"/>
          <w:lang w:val="es-CO"/>
        </w:rPr>
        <w:t xml:space="preserve">. </w:t>
      </w:r>
      <w:r w:rsidR="00112F58" w:rsidRPr="00845503">
        <w:rPr>
          <w:rFonts w:ascii="Cambria" w:hAnsi="Cambria" w:cs="Arial"/>
          <w:sz w:val="20"/>
          <w:szCs w:val="20"/>
          <w:lang w:val="es-CO"/>
        </w:rPr>
        <w:t xml:space="preserve">Asimismo, mediante escrito de </w:t>
      </w:r>
      <w:r w:rsidRPr="00845503">
        <w:rPr>
          <w:rFonts w:ascii="Cambria" w:hAnsi="Cambria" w:cs="Arial"/>
          <w:sz w:val="20"/>
          <w:szCs w:val="20"/>
          <w:lang w:val="es-CO"/>
        </w:rPr>
        <w:t xml:space="preserve">21 de diciembre  de 1998 </w:t>
      </w:r>
      <w:r w:rsidR="00112F58" w:rsidRPr="00845503">
        <w:rPr>
          <w:rFonts w:ascii="Cambria" w:hAnsi="Cambria" w:cs="Arial"/>
          <w:sz w:val="20"/>
          <w:szCs w:val="20"/>
          <w:lang w:val="es-CO"/>
        </w:rPr>
        <w:t>los familiares reiteraron</w:t>
      </w:r>
      <w:r w:rsidRPr="00845503">
        <w:rPr>
          <w:rFonts w:ascii="Cambria" w:hAnsi="Cambria" w:cs="Arial"/>
          <w:sz w:val="20"/>
          <w:szCs w:val="20"/>
          <w:lang w:val="es-CO"/>
        </w:rPr>
        <w:t xml:space="preserve"> las solicitudes de liberación, y cuestionaron una vez más la legalidad de las detenciones</w:t>
      </w:r>
      <w:r w:rsidR="000B7EE1" w:rsidRPr="00845503">
        <w:rPr>
          <w:rStyle w:val="FootnoteReference"/>
          <w:rFonts w:ascii="Cambria" w:hAnsi="Cambria" w:cs="Arial"/>
          <w:sz w:val="20"/>
          <w:szCs w:val="20"/>
          <w:lang w:val="es-CO"/>
        </w:rPr>
        <w:footnoteReference w:id="32"/>
      </w:r>
      <w:r w:rsidRPr="00845503">
        <w:rPr>
          <w:rFonts w:ascii="Cambria" w:hAnsi="Cambria" w:cs="Arial"/>
          <w:sz w:val="20"/>
          <w:szCs w:val="20"/>
          <w:lang w:val="es-CO"/>
        </w:rPr>
        <w:t xml:space="preserve">. </w:t>
      </w:r>
      <w:r w:rsidR="005A5276" w:rsidRPr="00845503">
        <w:rPr>
          <w:rFonts w:ascii="Cambria" w:hAnsi="Cambria" w:cs="Arial"/>
          <w:sz w:val="20"/>
          <w:szCs w:val="20"/>
          <w:lang w:val="es-CO"/>
        </w:rPr>
        <w:t>Ninguna de estas solicitudes habría tenido respuesta</w:t>
      </w:r>
      <w:r w:rsidR="000B7EE1" w:rsidRPr="00845503">
        <w:rPr>
          <w:rStyle w:val="FootnoteReference"/>
          <w:rFonts w:ascii="Cambria" w:hAnsi="Cambria" w:cs="Arial"/>
          <w:sz w:val="20"/>
          <w:szCs w:val="20"/>
          <w:lang w:val="es-CO"/>
        </w:rPr>
        <w:footnoteReference w:id="33"/>
      </w:r>
      <w:r w:rsidR="005A5276" w:rsidRPr="00845503">
        <w:rPr>
          <w:rFonts w:ascii="Cambria" w:hAnsi="Cambria" w:cs="Arial"/>
          <w:sz w:val="20"/>
          <w:szCs w:val="20"/>
          <w:lang w:val="es-CO"/>
        </w:rPr>
        <w:t>.</w:t>
      </w:r>
    </w:p>
    <w:p w:rsidR="00054C9C" w:rsidRPr="00845503" w:rsidRDefault="00054C9C" w:rsidP="00054C9C">
      <w:pPr>
        <w:pStyle w:val="ListParagraph"/>
        <w:rPr>
          <w:rFonts w:cs="Arial"/>
          <w:sz w:val="20"/>
          <w:szCs w:val="20"/>
          <w:lang w:val="es-CO"/>
        </w:rPr>
      </w:pPr>
    </w:p>
    <w:p w:rsidR="00054C9C" w:rsidRPr="00845503" w:rsidRDefault="00054C9C"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El 23 de febrero de 1999</w:t>
      </w:r>
      <w:r w:rsidR="000D270D" w:rsidRPr="00845503">
        <w:rPr>
          <w:rFonts w:ascii="Cambria" w:hAnsi="Cambria" w:cs="Arial"/>
          <w:sz w:val="20"/>
          <w:szCs w:val="20"/>
          <w:lang w:val="es-CO"/>
        </w:rPr>
        <w:t>,</w:t>
      </w:r>
      <w:r w:rsidRPr="00845503">
        <w:rPr>
          <w:rFonts w:ascii="Cambria" w:hAnsi="Cambria" w:cs="Arial"/>
          <w:sz w:val="20"/>
          <w:szCs w:val="20"/>
          <w:lang w:val="es-CO"/>
        </w:rPr>
        <w:t xml:space="preserve"> los cuatro detenidos fueron trasladados a la sede de la Seguridad del Estado cubana, conocida como Villa Marista, en la ciudad de la Habana</w:t>
      </w:r>
      <w:r w:rsidR="00337376" w:rsidRPr="00845503">
        <w:rPr>
          <w:rStyle w:val="FootnoteReference"/>
          <w:rFonts w:ascii="Cambria" w:hAnsi="Cambria" w:cs="Arial"/>
          <w:sz w:val="20"/>
          <w:szCs w:val="20"/>
          <w:lang w:val="es-CO"/>
        </w:rPr>
        <w:footnoteReference w:id="34"/>
      </w:r>
      <w:r w:rsidRPr="00845503">
        <w:rPr>
          <w:rFonts w:ascii="Cambria" w:hAnsi="Cambria" w:cs="Arial"/>
          <w:sz w:val="20"/>
          <w:szCs w:val="20"/>
          <w:lang w:val="es-CO"/>
        </w:rPr>
        <w:t>.</w:t>
      </w:r>
    </w:p>
    <w:p w:rsidR="00EF1712" w:rsidRPr="00845503" w:rsidRDefault="00EF1712" w:rsidP="00EF1712">
      <w:pPr>
        <w:pStyle w:val="ListParagraph"/>
        <w:rPr>
          <w:rFonts w:cs="Arial"/>
          <w:sz w:val="20"/>
          <w:szCs w:val="20"/>
          <w:lang w:val="es-CO"/>
        </w:rPr>
      </w:pPr>
    </w:p>
    <w:p w:rsidR="00EF1712" w:rsidRPr="00845503" w:rsidRDefault="00EC272D"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El 1 de marzo de 1999</w:t>
      </w:r>
      <w:r w:rsidR="00EF1712" w:rsidRPr="00845503">
        <w:rPr>
          <w:rFonts w:ascii="Cambria" w:hAnsi="Cambria" w:cs="Arial"/>
          <w:sz w:val="20"/>
          <w:szCs w:val="20"/>
          <w:lang w:val="es-CO"/>
        </w:rPr>
        <w:t>, se llevó a cabo el juicio oral</w:t>
      </w:r>
      <w:r w:rsidRPr="00845503">
        <w:rPr>
          <w:rFonts w:ascii="Cambria" w:hAnsi="Cambria" w:cs="Arial"/>
          <w:sz w:val="20"/>
          <w:szCs w:val="20"/>
          <w:lang w:val="es-CO"/>
        </w:rPr>
        <w:t xml:space="preserve"> contra los imputados</w:t>
      </w:r>
      <w:r w:rsidR="001642DD" w:rsidRPr="00845503">
        <w:rPr>
          <w:rFonts w:ascii="Cambria" w:hAnsi="Cambria" w:cs="Arial"/>
          <w:sz w:val="20"/>
          <w:szCs w:val="20"/>
          <w:lang w:val="es-CO"/>
        </w:rPr>
        <w:t xml:space="preserve"> “a puertas cerradas”</w:t>
      </w:r>
      <w:r w:rsidR="00EF1712" w:rsidRPr="00845503">
        <w:rPr>
          <w:rFonts w:ascii="Cambria" w:hAnsi="Cambria" w:cs="Arial"/>
          <w:sz w:val="20"/>
          <w:szCs w:val="20"/>
          <w:lang w:val="es-CO"/>
        </w:rPr>
        <w:t xml:space="preserve">. En esa oportunidad, el presidente de la Sala informó verbalmente que no </w:t>
      </w:r>
      <w:r w:rsidR="00A31849" w:rsidRPr="00845503">
        <w:rPr>
          <w:rFonts w:ascii="Cambria" w:hAnsi="Cambria" w:cs="Arial"/>
          <w:sz w:val="20"/>
          <w:szCs w:val="20"/>
          <w:lang w:val="es-CO"/>
        </w:rPr>
        <w:t>accedía</w:t>
      </w:r>
      <w:r w:rsidR="00EF1712" w:rsidRPr="00845503">
        <w:rPr>
          <w:rFonts w:ascii="Cambria" w:hAnsi="Cambria" w:cs="Arial"/>
          <w:sz w:val="20"/>
          <w:szCs w:val="20"/>
          <w:lang w:val="es-CO"/>
        </w:rPr>
        <w:t xml:space="preserve">  a la solicitud de propia defensa del acusado René Gómez Manzano, dado qu</w:t>
      </w:r>
      <w:r w:rsidR="00112F58" w:rsidRPr="00845503">
        <w:rPr>
          <w:rFonts w:ascii="Cambria" w:hAnsi="Cambria" w:cs="Arial"/>
          <w:sz w:val="20"/>
          <w:szCs w:val="20"/>
          <w:lang w:val="es-CO"/>
        </w:rPr>
        <w:t>e</w:t>
      </w:r>
      <w:r w:rsidR="00EF1712" w:rsidRPr="00845503">
        <w:rPr>
          <w:rFonts w:ascii="Cambria" w:hAnsi="Cambria" w:cs="Arial"/>
          <w:sz w:val="20"/>
          <w:szCs w:val="20"/>
          <w:lang w:val="es-CO"/>
        </w:rPr>
        <w:t xml:space="preserve"> el acusado había sido </w:t>
      </w:r>
      <w:r w:rsidR="00112F58" w:rsidRPr="00845503">
        <w:rPr>
          <w:rFonts w:ascii="Cambria" w:hAnsi="Cambria" w:cs="Arial"/>
          <w:sz w:val="20"/>
          <w:szCs w:val="20"/>
          <w:lang w:val="es-CO"/>
        </w:rPr>
        <w:t>“</w:t>
      </w:r>
      <w:r w:rsidR="00EF1712" w:rsidRPr="00845503">
        <w:rPr>
          <w:rFonts w:ascii="Cambria" w:hAnsi="Cambria" w:cs="Arial"/>
          <w:sz w:val="20"/>
          <w:szCs w:val="20"/>
          <w:lang w:val="es-CO"/>
        </w:rPr>
        <w:t xml:space="preserve">expulsado de la </w:t>
      </w:r>
      <w:r w:rsidR="00A31849" w:rsidRPr="00845503">
        <w:rPr>
          <w:rFonts w:ascii="Cambria" w:hAnsi="Cambria" w:cs="Arial"/>
          <w:sz w:val="20"/>
          <w:szCs w:val="20"/>
          <w:lang w:val="es-CO"/>
        </w:rPr>
        <w:t>Organización</w:t>
      </w:r>
      <w:r w:rsidR="00EF1712" w:rsidRPr="00845503">
        <w:rPr>
          <w:rFonts w:ascii="Cambria" w:hAnsi="Cambria" w:cs="Arial"/>
          <w:sz w:val="20"/>
          <w:szCs w:val="20"/>
          <w:lang w:val="es-CO"/>
        </w:rPr>
        <w:t xml:space="preserve"> Nacional de Bufetes Colectivos y de la Unión Nacional de Juristas de Cuba</w:t>
      </w:r>
      <w:r w:rsidR="00112F58" w:rsidRPr="00845503">
        <w:rPr>
          <w:rFonts w:ascii="Cambria" w:hAnsi="Cambria" w:cs="Arial"/>
          <w:sz w:val="20"/>
          <w:szCs w:val="20"/>
          <w:lang w:val="es-CO"/>
        </w:rPr>
        <w:t>”</w:t>
      </w:r>
      <w:r w:rsidR="00337376" w:rsidRPr="00845503">
        <w:rPr>
          <w:rStyle w:val="FootnoteReference"/>
          <w:rFonts w:ascii="Cambria" w:hAnsi="Cambria" w:cs="Arial"/>
          <w:sz w:val="20"/>
          <w:szCs w:val="20"/>
          <w:lang w:val="es-CO"/>
        </w:rPr>
        <w:footnoteReference w:id="35"/>
      </w:r>
      <w:r w:rsidR="00EF1712" w:rsidRPr="00845503">
        <w:rPr>
          <w:rFonts w:ascii="Cambria" w:hAnsi="Cambria" w:cs="Arial"/>
          <w:sz w:val="20"/>
          <w:szCs w:val="20"/>
          <w:lang w:val="es-CO"/>
        </w:rPr>
        <w:t xml:space="preserve">. </w:t>
      </w:r>
    </w:p>
    <w:p w:rsidR="00804210" w:rsidRPr="00845503" w:rsidRDefault="00804210" w:rsidP="00804210">
      <w:pPr>
        <w:pStyle w:val="ListParagraph"/>
        <w:rPr>
          <w:iCs/>
          <w:sz w:val="20"/>
          <w:szCs w:val="20"/>
          <w:lang w:val="es-US"/>
        </w:rPr>
      </w:pPr>
    </w:p>
    <w:p w:rsidR="00804210" w:rsidRPr="00845503" w:rsidRDefault="001C5CB6"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iCs/>
          <w:sz w:val="20"/>
          <w:szCs w:val="20"/>
          <w:lang w:val="es-US"/>
        </w:rPr>
        <w:t xml:space="preserve">El </w:t>
      </w:r>
      <w:r w:rsidR="004B71C7" w:rsidRPr="00845503">
        <w:rPr>
          <w:rFonts w:ascii="Cambria" w:hAnsi="Cambria"/>
          <w:iCs/>
          <w:sz w:val="20"/>
          <w:szCs w:val="20"/>
          <w:lang w:val="es-US"/>
        </w:rPr>
        <w:t>4 de marzo de 1999</w:t>
      </w:r>
      <w:r w:rsidR="00A16606" w:rsidRPr="00845503">
        <w:rPr>
          <w:rFonts w:ascii="Cambria" w:hAnsi="Cambria"/>
          <w:iCs/>
          <w:sz w:val="20"/>
          <w:szCs w:val="20"/>
          <w:lang w:val="es-US"/>
        </w:rPr>
        <w:t xml:space="preserve">, </w:t>
      </w:r>
      <w:r w:rsidR="004B71C7" w:rsidRPr="00845503">
        <w:rPr>
          <w:rFonts w:ascii="Cambria" w:hAnsi="Cambria"/>
          <w:iCs/>
          <w:sz w:val="20"/>
          <w:szCs w:val="20"/>
          <w:lang w:val="es-US"/>
        </w:rPr>
        <w:t xml:space="preserve">el Tribunal </w:t>
      </w:r>
      <w:r w:rsidR="00406376" w:rsidRPr="00845503">
        <w:rPr>
          <w:rFonts w:ascii="Cambria" w:hAnsi="Cambria"/>
          <w:iCs/>
          <w:sz w:val="20"/>
          <w:szCs w:val="20"/>
          <w:lang w:val="es-US"/>
        </w:rPr>
        <w:t xml:space="preserve">Provincial Popular de la Habana condenó a </w:t>
      </w:r>
      <w:r w:rsidR="00E53B9E" w:rsidRPr="00845503">
        <w:rPr>
          <w:rFonts w:ascii="Cambria" w:hAnsi="Cambria"/>
          <w:iCs/>
          <w:sz w:val="20"/>
          <w:szCs w:val="20"/>
          <w:lang w:val="es-US"/>
        </w:rPr>
        <w:t xml:space="preserve">Vladimiro Roca a cinco años de prisión, a cuatro años de prisión a Félix Antonio Bonne y </w:t>
      </w:r>
      <w:r w:rsidR="007364FC" w:rsidRPr="00845503">
        <w:rPr>
          <w:rFonts w:ascii="Cambria" w:hAnsi="Cambria"/>
          <w:iCs/>
          <w:sz w:val="20"/>
          <w:szCs w:val="20"/>
          <w:lang w:val="es-US"/>
        </w:rPr>
        <w:t>René</w:t>
      </w:r>
      <w:r w:rsidR="00E53B9E" w:rsidRPr="00845503">
        <w:rPr>
          <w:rFonts w:ascii="Cambria" w:hAnsi="Cambria"/>
          <w:iCs/>
          <w:sz w:val="20"/>
          <w:szCs w:val="20"/>
          <w:lang w:val="es-US"/>
        </w:rPr>
        <w:t xml:space="preserve"> de Jes</w:t>
      </w:r>
      <w:r w:rsidR="00C07941" w:rsidRPr="00845503">
        <w:rPr>
          <w:rFonts w:ascii="Cambria" w:hAnsi="Cambria"/>
          <w:iCs/>
          <w:sz w:val="20"/>
          <w:szCs w:val="20"/>
          <w:lang w:val="es-US"/>
        </w:rPr>
        <w:t>ús Gó</w:t>
      </w:r>
      <w:r w:rsidR="00E53B9E" w:rsidRPr="00845503">
        <w:rPr>
          <w:rFonts w:ascii="Cambria" w:hAnsi="Cambria"/>
          <w:iCs/>
          <w:sz w:val="20"/>
          <w:szCs w:val="20"/>
          <w:lang w:val="es-US"/>
        </w:rPr>
        <w:t>mez y a tres años de pri</w:t>
      </w:r>
      <w:r w:rsidR="00C07941" w:rsidRPr="00845503">
        <w:rPr>
          <w:rFonts w:ascii="Cambria" w:hAnsi="Cambria"/>
          <w:iCs/>
          <w:sz w:val="20"/>
          <w:szCs w:val="20"/>
          <w:lang w:val="es-US"/>
        </w:rPr>
        <w:t>si</w:t>
      </w:r>
      <w:r w:rsidR="00E53B9E" w:rsidRPr="00845503">
        <w:rPr>
          <w:rFonts w:ascii="Cambria" w:hAnsi="Cambria"/>
          <w:iCs/>
          <w:sz w:val="20"/>
          <w:szCs w:val="20"/>
          <w:lang w:val="es-US"/>
        </w:rPr>
        <w:t xml:space="preserve">ón a </w:t>
      </w:r>
      <w:r w:rsidR="00967821" w:rsidRPr="00845503">
        <w:rPr>
          <w:rFonts w:ascii="Cambria" w:hAnsi="Cambria"/>
          <w:iCs/>
          <w:sz w:val="20"/>
          <w:szCs w:val="20"/>
          <w:lang w:val="es-US"/>
        </w:rPr>
        <w:t>Martha</w:t>
      </w:r>
      <w:r w:rsidR="00E53B9E" w:rsidRPr="00845503">
        <w:rPr>
          <w:rFonts w:ascii="Cambria" w:hAnsi="Cambria"/>
          <w:iCs/>
          <w:sz w:val="20"/>
          <w:szCs w:val="20"/>
          <w:lang w:val="es-US"/>
        </w:rPr>
        <w:t xml:space="preserve"> Beatriz Roque como autores d</w:t>
      </w:r>
      <w:r w:rsidR="00A16606" w:rsidRPr="00845503">
        <w:rPr>
          <w:rFonts w:ascii="Cambria" w:hAnsi="Cambria"/>
          <w:iCs/>
          <w:sz w:val="20"/>
          <w:szCs w:val="20"/>
          <w:lang w:val="es-US"/>
        </w:rPr>
        <w:t>e los</w:t>
      </w:r>
      <w:r w:rsidR="00406376" w:rsidRPr="00845503">
        <w:rPr>
          <w:rFonts w:ascii="Cambria" w:hAnsi="Cambria"/>
          <w:iCs/>
          <w:sz w:val="20"/>
          <w:szCs w:val="20"/>
          <w:lang w:val="es-US"/>
        </w:rPr>
        <w:t xml:space="preserve"> delito</w:t>
      </w:r>
      <w:r w:rsidR="00A16606" w:rsidRPr="00845503">
        <w:rPr>
          <w:rFonts w:ascii="Cambria" w:hAnsi="Cambria"/>
          <w:iCs/>
          <w:sz w:val="20"/>
          <w:szCs w:val="20"/>
          <w:lang w:val="es-US"/>
        </w:rPr>
        <w:t>s</w:t>
      </w:r>
      <w:r w:rsidR="00406376" w:rsidRPr="00845503">
        <w:rPr>
          <w:rFonts w:ascii="Cambria" w:hAnsi="Cambria"/>
          <w:iCs/>
          <w:sz w:val="20"/>
          <w:szCs w:val="20"/>
          <w:lang w:val="es-US"/>
        </w:rPr>
        <w:t xml:space="preserve"> </w:t>
      </w:r>
      <w:r w:rsidR="00A16606" w:rsidRPr="00845503">
        <w:rPr>
          <w:rFonts w:ascii="Cambria" w:hAnsi="Cambria"/>
          <w:iCs/>
          <w:sz w:val="20"/>
          <w:szCs w:val="20"/>
          <w:lang w:val="es-US"/>
        </w:rPr>
        <w:t>“</w:t>
      </w:r>
      <w:r w:rsidR="00406376" w:rsidRPr="00845503">
        <w:rPr>
          <w:rFonts w:ascii="Cambria" w:hAnsi="Cambria"/>
          <w:iCs/>
          <w:sz w:val="20"/>
          <w:szCs w:val="20"/>
          <w:lang w:val="es-US"/>
        </w:rPr>
        <w:t>otros actos contra la seguridad del Estado en relación con el delito de sedición</w:t>
      </w:r>
      <w:r w:rsidR="00A16606" w:rsidRPr="00845503">
        <w:rPr>
          <w:rFonts w:ascii="Cambria" w:hAnsi="Cambria"/>
          <w:iCs/>
          <w:sz w:val="20"/>
          <w:szCs w:val="20"/>
          <w:lang w:val="es-US"/>
        </w:rPr>
        <w:t>”</w:t>
      </w:r>
      <w:r w:rsidR="003247D2" w:rsidRPr="00845503">
        <w:rPr>
          <w:rFonts w:ascii="Cambria" w:hAnsi="Cambria"/>
          <w:iCs/>
          <w:sz w:val="20"/>
          <w:szCs w:val="20"/>
          <w:lang w:val="es-US"/>
        </w:rPr>
        <w:t>,</w:t>
      </w:r>
      <w:r w:rsidR="00406376" w:rsidRPr="00845503">
        <w:rPr>
          <w:rFonts w:ascii="Cambria" w:hAnsi="Cambria"/>
          <w:iCs/>
          <w:sz w:val="20"/>
          <w:szCs w:val="20"/>
          <w:lang w:val="es-US"/>
        </w:rPr>
        <w:t xml:space="preserve"> previsto </w:t>
      </w:r>
      <w:r w:rsidR="00441E6A" w:rsidRPr="00845503">
        <w:rPr>
          <w:rFonts w:ascii="Cambria" w:hAnsi="Cambria"/>
          <w:iCs/>
          <w:sz w:val="20"/>
          <w:szCs w:val="20"/>
          <w:lang w:val="es-US"/>
        </w:rPr>
        <w:t xml:space="preserve">en </w:t>
      </w:r>
      <w:r w:rsidR="0084328C" w:rsidRPr="00845503">
        <w:rPr>
          <w:rFonts w:ascii="Cambria" w:hAnsi="Cambria"/>
          <w:iCs/>
          <w:sz w:val="20"/>
          <w:szCs w:val="20"/>
          <w:lang w:val="es-US"/>
        </w:rPr>
        <w:t>los</w:t>
      </w:r>
      <w:r w:rsidR="00441E6A" w:rsidRPr="00845503">
        <w:rPr>
          <w:rFonts w:ascii="Cambria" w:hAnsi="Cambria"/>
          <w:iCs/>
          <w:sz w:val="20"/>
          <w:szCs w:val="20"/>
          <w:lang w:val="es-US"/>
        </w:rPr>
        <w:t xml:space="preserve"> artículo</w:t>
      </w:r>
      <w:r w:rsidR="0084328C" w:rsidRPr="00845503">
        <w:rPr>
          <w:rFonts w:ascii="Cambria" w:hAnsi="Cambria"/>
          <w:iCs/>
          <w:sz w:val="20"/>
          <w:szCs w:val="20"/>
          <w:lang w:val="es-US"/>
        </w:rPr>
        <w:t>s</w:t>
      </w:r>
      <w:r w:rsidR="00441E6A" w:rsidRPr="00845503">
        <w:rPr>
          <w:rFonts w:ascii="Cambria" w:hAnsi="Cambria"/>
          <w:iCs/>
          <w:sz w:val="20"/>
          <w:szCs w:val="20"/>
          <w:lang w:val="es-US"/>
        </w:rPr>
        <w:t xml:space="preserve"> 100 </w:t>
      </w:r>
      <w:r w:rsidR="0084328C" w:rsidRPr="00845503">
        <w:rPr>
          <w:rFonts w:ascii="Cambria" w:hAnsi="Cambria"/>
          <w:iCs/>
          <w:sz w:val="20"/>
          <w:szCs w:val="20"/>
          <w:lang w:val="es-US"/>
        </w:rPr>
        <w:t xml:space="preserve">y 125 </w:t>
      </w:r>
      <w:r w:rsidR="003247D2" w:rsidRPr="00845503">
        <w:rPr>
          <w:rFonts w:ascii="Cambria" w:hAnsi="Cambria"/>
          <w:iCs/>
          <w:sz w:val="20"/>
          <w:szCs w:val="20"/>
          <w:lang w:val="es-US"/>
        </w:rPr>
        <w:t>del C</w:t>
      </w:r>
      <w:r w:rsidR="00406376" w:rsidRPr="00845503">
        <w:rPr>
          <w:rFonts w:ascii="Cambria" w:hAnsi="Cambria"/>
          <w:iCs/>
          <w:sz w:val="20"/>
          <w:szCs w:val="20"/>
          <w:lang w:val="es-US"/>
        </w:rPr>
        <w:t>ódigo Penal</w:t>
      </w:r>
      <w:r w:rsidR="00441E6A" w:rsidRPr="00845503">
        <w:rPr>
          <w:rStyle w:val="FootnoteReference"/>
          <w:rFonts w:ascii="Cambria" w:hAnsi="Cambria"/>
          <w:iCs/>
          <w:sz w:val="20"/>
          <w:szCs w:val="20"/>
          <w:lang w:val="es-US"/>
        </w:rPr>
        <w:footnoteReference w:id="36"/>
      </w:r>
      <w:r w:rsidR="00406376" w:rsidRPr="00845503">
        <w:rPr>
          <w:rFonts w:ascii="Cambria" w:hAnsi="Cambria"/>
          <w:iCs/>
          <w:sz w:val="20"/>
          <w:szCs w:val="20"/>
          <w:lang w:val="es-US"/>
        </w:rPr>
        <w:t xml:space="preserve">. </w:t>
      </w:r>
    </w:p>
    <w:p w:rsidR="00804210" w:rsidRPr="00845503" w:rsidRDefault="00804210" w:rsidP="00804210">
      <w:pPr>
        <w:pStyle w:val="ListParagraph"/>
        <w:rPr>
          <w:iCs/>
          <w:sz w:val="20"/>
          <w:szCs w:val="20"/>
          <w:lang w:val="es-US"/>
        </w:rPr>
      </w:pPr>
    </w:p>
    <w:p w:rsidR="00163E40" w:rsidRPr="00845503" w:rsidRDefault="00804210"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iCs/>
          <w:sz w:val="20"/>
          <w:szCs w:val="20"/>
          <w:lang w:val="es-US"/>
        </w:rPr>
        <w:t>El T</w:t>
      </w:r>
      <w:r w:rsidR="00873A47" w:rsidRPr="00845503">
        <w:rPr>
          <w:rFonts w:ascii="Cambria" w:hAnsi="Cambria"/>
          <w:iCs/>
          <w:sz w:val="20"/>
          <w:szCs w:val="20"/>
          <w:lang w:val="es-US"/>
        </w:rPr>
        <w:t xml:space="preserve">ribunal encontró probado </w:t>
      </w:r>
      <w:r w:rsidR="00205032" w:rsidRPr="00845503">
        <w:rPr>
          <w:rFonts w:ascii="Cambria" w:hAnsi="Cambria"/>
          <w:iCs/>
          <w:sz w:val="20"/>
          <w:szCs w:val="20"/>
          <w:lang w:val="es-US"/>
        </w:rPr>
        <w:t>que los acusados</w:t>
      </w:r>
      <w:r w:rsidR="00C74EBB" w:rsidRPr="00845503">
        <w:rPr>
          <w:rFonts w:ascii="Cambria" w:hAnsi="Cambria"/>
          <w:iCs/>
          <w:sz w:val="20"/>
          <w:szCs w:val="20"/>
          <w:lang w:val="es-US"/>
        </w:rPr>
        <w:t>:</w:t>
      </w:r>
      <w:r w:rsidR="00D84BC0" w:rsidRPr="00845503">
        <w:rPr>
          <w:rFonts w:ascii="Cambria" w:hAnsi="Cambria"/>
          <w:iCs/>
          <w:sz w:val="20"/>
          <w:szCs w:val="20"/>
          <w:lang w:val="es-US"/>
        </w:rPr>
        <w:t xml:space="preserve"> </w:t>
      </w:r>
    </w:p>
    <w:p w:rsidR="00163E40" w:rsidRPr="00845503" w:rsidRDefault="00163E40" w:rsidP="00163E40">
      <w:pPr>
        <w:pStyle w:val="ListParagraph"/>
        <w:rPr>
          <w:rFonts w:cs="Arial"/>
          <w:sz w:val="20"/>
          <w:szCs w:val="20"/>
          <w:lang w:val="es-CO"/>
        </w:rPr>
      </w:pPr>
    </w:p>
    <w:p w:rsidR="00E72DD0" w:rsidRPr="00845503" w:rsidRDefault="00205032" w:rsidP="00875A4B">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20"/>
          <w:szCs w:val="20"/>
          <w:lang w:val="es-CO"/>
        </w:rPr>
      </w:pPr>
      <w:r w:rsidRPr="00845503">
        <w:rPr>
          <w:rFonts w:ascii="Cambria" w:hAnsi="Cambria" w:cs="Arial"/>
          <w:sz w:val="20"/>
          <w:szCs w:val="20"/>
          <w:lang w:val="es-CO"/>
        </w:rPr>
        <w:t xml:space="preserve">decidieron de mutuo acuerdo en el mes de Agosto de mil novecientos noventa y seis, formar un grupo contrarrevolucionario que </w:t>
      </w:r>
      <w:r w:rsidR="00A31849" w:rsidRPr="00845503">
        <w:rPr>
          <w:rFonts w:ascii="Cambria" w:hAnsi="Cambria" w:cs="Arial"/>
          <w:sz w:val="20"/>
          <w:szCs w:val="20"/>
          <w:lang w:val="es-CO"/>
        </w:rPr>
        <w:t>auto titularon</w:t>
      </w:r>
      <w:r w:rsidRPr="00845503">
        <w:rPr>
          <w:rFonts w:ascii="Cambria" w:hAnsi="Cambria" w:cs="Arial"/>
          <w:sz w:val="20"/>
          <w:szCs w:val="20"/>
          <w:lang w:val="es-CO"/>
        </w:rPr>
        <w:t xml:space="preserve"> ´Grupo de Trabajo de la </w:t>
      </w:r>
      <w:r w:rsidR="00163E40" w:rsidRPr="00845503">
        <w:rPr>
          <w:rFonts w:ascii="Cambria" w:hAnsi="Cambria" w:cs="Arial"/>
          <w:sz w:val="20"/>
          <w:szCs w:val="20"/>
          <w:lang w:val="es-CO"/>
        </w:rPr>
        <w:t>Disidencia I</w:t>
      </w:r>
      <w:r w:rsidRPr="00845503">
        <w:rPr>
          <w:rFonts w:ascii="Cambria" w:hAnsi="Cambria" w:cs="Arial"/>
          <w:sz w:val="20"/>
          <w:szCs w:val="20"/>
          <w:lang w:val="es-CO"/>
        </w:rPr>
        <w:t xml:space="preserve">nterna´ y cuyo objetivo era realizar </w:t>
      </w:r>
      <w:r w:rsidR="00D84BC0" w:rsidRPr="00845503">
        <w:rPr>
          <w:rFonts w:ascii="Cambria" w:hAnsi="Cambria"/>
          <w:iCs/>
          <w:sz w:val="20"/>
          <w:szCs w:val="20"/>
          <w:lang w:val="es-US"/>
        </w:rPr>
        <w:t>labores subversivas dentro de Cuba sobre la base del no uso de violencia para desestabilizar el orden interno, la disciplina social, y la obediencia debida a las regulaciones vigentes en el país y de esta forma poner en riesgo la seguridad del Estado cubano</w:t>
      </w:r>
      <w:r w:rsidRPr="00845503">
        <w:rPr>
          <w:rFonts w:ascii="Cambria" w:hAnsi="Cambria"/>
          <w:iCs/>
          <w:sz w:val="20"/>
          <w:szCs w:val="20"/>
          <w:lang w:val="es-US"/>
        </w:rPr>
        <w:t>, siendo el apoyo y sostén de dicho grupo funcionarios de la Oficina de Intereses de los Estados Unidos radicada en el territorio cubano</w:t>
      </w:r>
      <w:r w:rsidR="00E72DD0" w:rsidRPr="00845503">
        <w:rPr>
          <w:rFonts w:ascii="Cambria" w:hAnsi="Cambria"/>
          <w:iCs/>
          <w:sz w:val="20"/>
          <w:szCs w:val="20"/>
          <w:lang w:val="es-US"/>
        </w:rPr>
        <w:t xml:space="preserve"> </w:t>
      </w:r>
      <w:r w:rsidR="00163E40" w:rsidRPr="00845503">
        <w:rPr>
          <w:rFonts w:ascii="Cambria" w:hAnsi="Cambria"/>
          <w:iCs/>
          <w:sz w:val="20"/>
          <w:szCs w:val="20"/>
          <w:lang w:val="es-US"/>
        </w:rPr>
        <w:t>[</w:t>
      </w:r>
      <w:r w:rsidR="00E72DD0" w:rsidRPr="00845503">
        <w:rPr>
          <w:rFonts w:ascii="Cambria" w:hAnsi="Cambria"/>
          <w:iCs/>
          <w:sz w:val="20"/>
          <w:szCs w:val="20"/>
          <w:lang w:val="es-US"/>
        </w:rPr>
        <w:t>…</w:t>
      </w:r>
      <w:r w:rsidR="00163E40" w:rsidRPr="00845503">
        <w:rPr>
          <w:rFonts w:ascii="Cambria" w:hAnsi="Cambria"/>
          <w:iCs/>
          <w:sz w:val="20"/>
          <w:szCs w:val="20"/>
          <w:lang w:val="es-US"/>
        </w:rPr>
        <w:t>]</w:t>
      </w:r>
      <w:r w:rsidR="00E72DD0" w:rsidRPr="00845503">
        <w:rPr>
          <w:rFonts w:ascii="Cambria" w:hAnsi="Cambria"/>
          <w:iCs/>
          <w:sz w:val="20"/>
          <w:szCs w:val="20"/>
          <w:lang w:val="es-US"/>
        </w:rPr>
        <w:t xml:space="preserve"> así como de otros miembros de organizaciones anticubana y terroristas norteamericanas como la Fundación Nacional Cubano Americana, la Freedom House, entre o</w:t>
      </w:r>
      <w:r w:rsidR="00C74EBB" w:rsidRPr="00845503">
        <w:rPr>
          <w:rFonts w:ascii="Cambria" w:hAnsi="Cambria"/>
          <w:iCs/>
          <w:sz w:val="20"/>
          <w:szCs w:val="20"/>
          <w:lang w:val="es-US"/>
        </w:rPr>
        <w:t xml:space="preserve">tras, manteniendo los acusados </w:t>
      </w:r>
      <w:r w:rsidR="00E72DD0" w:rsidRPr="00845503">
        <w:rPr>
          <w:rFonts w:ascii="Cambria" w:hAnsi="Cambria"/>
          <w:iCs/>
          <w:sz w:val="20"/>
          <w:szCs w:val="20"/>
          <w:lang w:val="es-US"/>
        </w:rPr>
        <w:t xml:space="preserve">relación y comunicación directa con algunos de los principales cabecillas de dichas organizaciones opositoras al </w:t>
      </w:r>
      <w:r w:rsidR="00A31849" w:rsidRPr="00845503">
        <w:rPr>
          <w:rFonts w:ascii="Cambria" w:hAnsi="Cambria"/>
          <w:iCs/>
          <w:sz w:val="20"/>
          <w:szCs w:val="20"/>
          <w:lang w:val="es-US"/>
        </w:rPr>
        <w:t>régimen</w:t>
      </w:r>
      <w:r w:rsidR="00E72DD0" w:rsidRPr="00845503">
        <w:rPr>
          <w:rFonts w:ascii="Cambria" w:hAnsi="Cambria"/>
          <w:iCs/>
          <w:sz w:val="20"/>
          <w:szCs w:val="20"/>
          <w:lang w:val="es-US"/>
        </w:rPr>
        <w:t xml:space="preserve"> imperante en Cuba </w:t>
      </w:r>
      <w:r w:rsidR="00163E40" w:rsidRPr="00845503">
        <w:rPr>
          <w:rFonts w:ascii="Cambria" w:hAnsi="Cambria"/>
          <w:iCs/>
          <w:sz w:val="20"/>
          <w:szCs w:val="20"/>
          <w:lang w:val="es-US"/>
        </w:rPr>
        <w:t>[</w:t>
      </w:r>
      <w:r w:rsidR="00E72DD0" w:rsidRPr="00845503">
        <w:rPr>
          <w:rFonts w:ascii="Cambria" w:hAnsi="Cambria"/>
          <w:iCs/>
          <w:sz w:val="20"/>
          <w:szCs w:val="20"/>
          <w:lang w:val="es-US"/>
        </w:rPr>
        <w:t>…</w:t>
      </w:r>
      <w:r w:rsidR="00163E40" w:rsidRPr="00845503">
        <w:rPr>
          <w:rFonts w:ascii="Cambria" w:hAnsi="Cambria"/>
          <w:iCs/>
          <w:sz w:val="20"/>
          <w:szCs w:val="20"/>
          <w:lang w:val="es-US"/>
        </w:rPr>
        <w:t>]</w:t>
      </w:r>
      <w:r w:rsidR="00E72DD0" w:rsidRPr="00845503">
        <w:rPr>
          <w:rFonts w:ascii="Cambria" w:hAnsi="Cambria"/>
          <w:iCs/>
          <w:sz w:val="20"/>
          <w:szCs w:val="20"/>
          <w:lang w:val="es-US"/>
        </w:rPr>
        <w:t xml:space="preserve"> quienes les brindaban a los acusados todo el apoyo material y público necesario para que realizaran sus actividades subversivas dentro de Cuba. Es así que definidos sus propósitos y relaciones se dieron a la tarea de elaborar, confeccionar, aprobar, imprimir, distribui</w:t>
      </w:r>
      <w:r w:rsidR="00163E40" w:rsidRPr="00845503">
        <w:rPr>
          <w:rFonts w:ascii="Cambria" w:hAnsi="Cambria"/>
          <w:iCs/>
          <w:sz w:val="20"/>
          <w:szCs w:val="20"/>
          <w:lang w:val="es-US"/>
        </w:rPr>
        <w:t>r</w:t>
      </w:r>
      <w:r w:rsidR="00E72DD0" w:rsidRPr="00845503">
        <w:rPr>
          <w:rFonts w:ascii="Cambria" w:hAnsi="Cambria"/>
          <w:iCs/>
          <w:sz w:val="20"/>
          <w:szCs w:val="20"/>
          <w:lang w:val="es-US"/>
        </w:rPr>
        <w:t xml:space="preserve"> y difundir diversos documentos cuyos contenidos eran exhortaciones e incitaciones a distintos sectores sociales radicados dentro y fuera del país para provocar desorden social mediante el boicot a las elecciones convocadas para el a</w:t>
      </w:r>
      <w:r w:rsidR="00163E40" w:rsidRPr="00845503">
        <w:rPr>
          <w:rFonts w:ascii="Cambria" w:hAnsi="Cambria"/>
          <w:iCs/>
          <w:sz w:val="20"/>
          <w:szCs w:val="20"/>
          <w:lang w:val="es-US"/>
        </w:rPr>
        <w:t>ñ</w:t>
      </w:r>
      <w:r w:rsidR="00E72DD0" w:rsidRPr="00845503">
        <w:rPr>
          <w:rFonts w:ascii="Cambria" w:hAnsi="Cambria"/>
          <w:iCs/>
          <w:sz w:val="20"/>
          <w:szCs w:val="20"/>
          <w:lang w:val="es-US"/>
        </w:rPr>
        <w:t xml:space="preserve">o mil novecientos noventa y siete, así como al </w:t>
      </w:r>
      <w:r w:rsidR="00E72DD0" w:rsidRPr="00845503">
        <w:rPr>
          <w:rFonts w:ascii="Cambria" w:hAnsi="Cambria"/>
          <w:iCs/>
          <w:sz w:val="20"/>
          <w:szCs w:val="20"/>
          <w:lang w:val="es-US"/>
        </w:rPr>
        <w:lastRenderedPageBreak/>
        <w:t xml:space="preserve">incumplimiento de las disposiciones legales que rigen en </w:t>
      </w:r>
      <w:r w:rsidR="00163E40" w:rsidRPr="00845503">
        <w:rPr>
          <w:rFonts w:ascii="Cambria" w:hAnsi="Cambria"/>
          <w:iCs/>
          <w:sz w:val="20"/>
          <w:szCs w:val="20"/>
          <w:lang w:val="es-US"/>
        </w:rPr>
        <w:t>materia de inversion</w:t>
      </w:r>
      <w:r w:rsidR="00E72DD0" w:rsidRPr="00845503">
        <w:rPr>
          <w:rFonts w:ascii="Cambria" w:hAnsi="Cambria"/>
          <w:iCs/>
          <w:sz w:val="20"/>
          <w:szCs w:val="20"/>
          <w:lang w:val="es-US"/>
        </w:rPr>
        <w:t>es extranjeras y contratación económica</w:t>
      </w:r>
      <w:r w:rsidR="00163E40" w:rsidRPr="00845503">
        <w:rPr>
          <w:rFonts w:ascii="Cambria" w:hAnsi="Cambria"/>
          <w:iCs/>
          <w:sz w:val="20"/>
          <w:szCs w:val="20"/>
          <w:lang w:val="es-US"/>
        </w:rPr>
        <w:t xml:space="preserve">, actos dirigidos a socavar la </w:t>
      </w:r>
      <w:r w:rsidR="00A31849" w:rsidRPr="00845503">
        <w:rPr>
          <w:rFonts w:ascii="Cambria" w:hAnsi="Cambria"/>
          <w:iCs/>
          <w:sz w:val="20"/>
          <w:szCs w:val="20"/>
          <w:lang w:val="es-US"/>
        </w:rPr>
        <w:t>estabilidad</w:t>
      </w:r>
      <w:r w:rsidR="00163E40" w:rsidRPr="00845503">
        <w:rPr>
          <w:rFonts w:ascii="Cambria" w:hAnsi="Cambria"/>
          <w:iCs/>
          <w:sz w:val="20"/>
          <w:szCs w:val="20"/>
          <w:lang w:val="es-US"/>
        </w:rPr>
        <w:t xml:space="preserve"> del Estado cubano</w:t>
      </w:r>
      <w:r w:rsidR="00441E6A" w:rsidRPr="00845503">
        <w:rPr>
          <w:rStyle w:val="FootnoteReference"/>
          <w:rFonts w:ascii="Cambria" w:hAnsi="Cambria"/>
          <w:iCs/>
          <w:sz w:val="20"/>
          <w:szCs w:val="20"/>
          <w:lang w:val="es-US"/>
        </w:rPr>
        <w:footnoteReference w:id="37"/>
      </w:r>
      <w:r w:rsidR="00163E40" w:rsidRPr="00845503">
        <w:rPr>
          <w:rFonts w:ascii="Cambria" w:hAnsi="Cambria"/>
          <w:iCs/>
          <w:sz w:val="20"/>
          <w:szCs w:val="20"/>
          <w:lang w:val="es-US"/>
        </w:rPr>
        <w:t>.</w:t>
      </w:r>
      <w:r w:rsidR="00E72DD0" w:rsidRPr="00845503">
        <w:rPr>
          <w:rFonts w:ascii="Cambria" w:hAnsi="Cambria"/>
          <w:iCs/>
          <w:sz w:val="20"/>
          <w:szCs w:val="20"/>
          <w:lang w:val="es-US"/>
        </w:rPr>
        <w:t xml:space="preserve"> </w:t>
      </w:r>
    </w:p>
    <w:p w:rsidR="00E72DD0" w:rsidRPr="00845503" w:rsidRDefault="00E72DD0" w:rsidP="00E72DD0">
      <w:pPr>
        <w:pStyle w:val="ListParagraph"/>
        <w:rPr>
          <w:iCs/>
          <w:sz w:val="20"/>
          <w:szCs w:val="20"/>
          <w:lang w:val="es-US"/>
        </w:rPr>
      </w:pPr>
    </w:p>
    <w:p w:rsidR="00576EB4" w:rsidRPr="00845503" w:rsidRDefault="00D3437A"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iCs/>
          <w:sz w:val="20"/>
          <w:szCs w:val="20"/>
          <w:lang w:val="es-US"/>
        </w:rPr>
        <w:t>El Tribunal además señaló que los acusados se valieron de medios de comunicación como Radio Martí a la cual se refiere como “anti cubana”, as</w:t>
      </w:r>
      <w:r w:rsidR="00284E41" w:rsidRPr="00845503">
        <w:rPr>
          <w:rFonts w:ascii="Cambria" w:hAnsi="Cambria"/>
          <w:iCs/>
          <w:sz w:val="20"/>
          <w:szCs w:val="20"/>
          <w:lang w:val="es-US"/>
        </w:rPr>
        <w:t xml:space="preserve">í como de conferencias de prensa </w:t>
      </w:r>
      <w:r w:rsidR="00B738A1" w:rsidRPr="00845503">
        <w:rPr>
          <w:rFonts w:ascii="Cambria" w:hAnsi="Cambria"/>
          <w:iCs/>
          <w:sz w:val="20"/>
          <w:szCs w:val="20"/>
          <w:lang w:val="es-US"/>
        </w:rPr>
        <w:t xml:space="preserve">con prensa extranjera </w:t>
      </w:r>
      <w:r w:rsidR="00284E41" w:rsidRPr="00845503">
        <w:rPr>
          <w:rFonts w:ascii="Cambria" w:hAnsi="Cambria"/>
          <w:iCs/>
          <w:sz w:val="20"/>
          <w:szCs w:val="20"/>
          <w:lang w:val="es-US"/>
        </w:rPr>
        <w:t>organizadas en sus domicilios</w:t>
      </w:r>
      <w:r w:rsidRPr="00845503">
        <w:rPr>
          <w:rFonts w:ascii="Cambria" w:hAnsi="Cambria"/>
          <w:iCs/>
          <w:sz w:val="20"/>
          <w:szCs w:val="20"/>
          <w:lang w:val="es-US"/>
        </w:rPr>
        <w:t xml:space="preserve"> para asegurar la difusión</w:t>
      </w:r>
      <w:r w:rsidR="00565D3B" w:rsidRPr="00845503">
        <w:rPr>
          <w:rFonts w:ascii="Cambria" w:hAnsi="Cambria"/>
          <w:iCs/>
          <w:sz w:val="20"/>
          <w:szCs w:val="20"/>
          <w:lang w:val="es-US"/>
        </w:rPr>
        <w:t xml:space="preserve"> de los textos</w:t>
      </w:r>
      <w:r w:rsidR="00B738A1" w:rsidRPr="00845503">
        <w:rPr>
          <w:rFonts w:ascii="Cambria" w:hAnsi="Cambria"/>
          <w:iCs/>
          <w:sz w:val="20"/>
          <w:szCs w:val="20"/>
          <w:lang w:val="es-US"/>
        </w:rPr>
        <w:t xml:space="preserve">, así como la publicación de artículos en diarios extranjeros como el </w:t>
      </w:r>
      <w:r w:rsidR="00A669E3" w:rsidRPr="00845503">
        <w:rPr>
          <w:rFonts w:ascii="Cambria" w:hAnsi="Cambria"/>
          <w:i/>
          <w:iCs/>
          <w:sz w:val="20"/>
          <w:szCs w:val="20"/>
          <w:lang w:val="es-US"/>
        </w:rPr>
        <w:t>Miami Heral</w:t>
      </w:r>
      <w:r w:rsidR="00B738A1" w:rsidRPr="00845503">
        <w:rPr>
          <w:rFonts w:ascii="Cambria" w:hAnsi="Cambria"/>
          <w:i/>
          <w:iCs/>
          <w:sz w:val="20"/>
          <w:szCs w:val="20"/>
          <w:lang w:val="es-US"/>
        </w:rPr>
        <w:t>d</w:t>
      </w:r>
      <w:r w:rsidR="00565D3B" w:rsidRPr="00845503">
        <w:rPr>
          <w:rFonts w:ascii="Cambria" w:hAnsi="Cambria"/>
          <w:iCs/>
          <w:sz w:val="20"/>
          <w:szCs w:val="20"/>
          <w:lang w:val="es-US"/>
        </w:rPr>
        <w:t xml:space="preserve">. </w:t>
      </w:r>
    </w:p>
    <w:p w:rsidR="0008043B" w:rsidRPr="00845503" w:rsidRDefault="0008043B" w:rsidP="00A633C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CO"/>
        </w:rPr>
      </w:pPr>
    </w:p>
    <w:p w:rsidR="0008043B" w:rsidRPr="00845503" w:rsidRDefault="0008043B"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iCs/>
          <w:sz w:val="20"/>
          <w:szCs w:val="20"/>
          <w:lang w:val="es-US"/>
        </w:rPr>
        <w:t xml:space="preserve">Afirmó que “se constata que los acusados siempre utilizaron la forma de la no violencia y resistencia </w:t>
      </w:r>
      <w:r w:rsidR="00A31849" w:rsidRPr="00845503">
        <w:rPr>
          <w:rFonts w:ascii="Cambria" w:hAnsi="Cambria"/>
          <w:iCs/>
          <w:sz w:val="20"/>
          <w:szCs w:val="20"/>
          <w:lang w:val="es-US"/>
        </w:rPr>
        <w:t>pacífica</w:t>
      </w:r>
      <w:r w:rsidRPr="00845503">
        <w:rPr>
          <w:rFonts w:ascii="Cambria" w:hAnsi="Cambria"/>
          <w:iCs/>
          <w:sz w:val="20"/>
          <w:szCs w:val="20"/>
          <w:lang w:val="es-US"/>
        </w:rPr>
        <w:t xml:space="preserve"> como la definieron ellos para realizar sus actividades, constituyendo esta forma uno de los métodos tácticos utilizados y ya bien definidos por los Estados Unidos en su política actual contra Cuba”</w:t>
      </w:r>
      <w:r w:rsidR="00441E6A" w:rsidRPr="00845503">
        <w:rPr>
          <w:rStyle w:val="FootnoteReference"/>
          <w:rFonts w:ascii="Cambria" w:hAnsi="Cambria"/>
          <w:iCs/>
          <w:sz w:val="20"/>
          <w:szCs w:val="20"/>
          <w:lang w:val="es-US"/>
        </w:rPr>
        <w:footnoteReference w:id="38"/>
      </w:r>
      <w:r w:rsidRPr="00845503">
        <w:rPr>
          <w:rFonts w:ascii="Cambria" w:hAnsi="Cambria"/>
          <w:iCs/>
          <w:sz w:val="20"/>
          <w:szCs w:val="20"/>
          <w:lang w:val="es-US"/>
        </w:rPr>
        <w:t xml:space="preserve">. </w:t>
      </w:r>
    </w:p>
    <w:p w:rsidR="008C03AE" w:rsidRPr="00845503" w:rsidRDefault="008C03AE" w:rsidP="004620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Cs/>
          <w:sz w:val="20"/>
          <w:szCs w:val="20"/>
          <w:lang w:val="es-US"/>
        </w:rPr>
      </w:pPr>
    </w:p>
    <w:p w:rsidR="00403ED5" w:rsidRPr="00845503" w:rsidRDefault="00334027"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iCs/>
          <w:sz w:val="20"/>
          <w:szCs w:val="20"/>
          <w:lang w:val="es-US"/>
        </w:rPr>
      </w:pPr>
      <w:r w:rsidRPr="00845503">
        <w:rPr>
          <w:rFonts w:ascii="Cambria" w:hAnsi="Cambria"/>
          <w:iCs/>
          <w:sz w:val="20"/>
          <w:szCs w:val="20"/>
          <w:lang w:val="es-US"/>
        </w:rPr>
        <w:t>El Tribunal determinó que</w:t>
      </w:r>
      <w:r w:rsidR="00403ED5" w:rsidRPr="00845503">
        <w:rPr>
          <w:rFonts w:ascii="Cambria" w:hAnsi="Cambria"/>
          <w:iCs/>
          <w:sz w:val="20"/>
          <w:szCs w:val="20"/>
          <w:lang w:val="es-US"/>
        </w:rPr>
        <w:t>:</w:t>
      </w:r>
    </w:p>
    <w:p w:rsidR="00403ED5" w:rsidRPr="00845503" w:rsidRDefault="00403ED5" w:rsidP="00403ED5">
      <w:pPr>
        <w:pStyle w:val="ListParagraph"/>
        <w:rPr>
          <w:iCs/>
          <w:sz w:val="20"/>
          <w:szCs w:val="20"/>
          <w:lang w:val="es-US"/>
        </w:rPr>
      </w:pPr>
    </w:p>
    <w:p w:rsidR="008C03AE" w:rsidRPr="00845503" w:rsidRDefault="00334027" w:rsidP="00403E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iCs/>
          <w:sz w:val="20"/>
          <w:szCs w:val="20"/>
          <w:lang w:val="es-US"/>
        </w:rPr>
      </w:pPr>
      <w:r w:rsidRPr="00845503">
        <w:rPr>
          <w:rFonts w:ascii="Cambria" w:hAnsi="Cambria"/>
          <w:iCs/>
          <w:sz w:val="20"/>
          <w:szCs w:val="20"/>
          <w:lang w:val="es-US"/>
        </w:rPr>
        <w:t xml:space="preserve">al ser la incitación y la exhortación siempre de forma general y global como garantía de los acusados de materializar sus intenciones desestabilizadoras, dirigidas a cuantos sectores poblaciones entendieron vulnerables para surtir efectos tanto dentro como fuera del país utilizando varios medios para ello, es suficiente </w:t>
      </w:r>
      <w:r w:rsidR="00433925" w:rsidRPr="00845503">
        <w:rPr>
          <w:rFonts w:ascii="Cambria" w:hAnsi="Cambria"/>
          <w:iCs/>
          <w:sz w:val="20"/>
          <w:szCs w:val="20"/>
          <w:lang w:val="es-US"/>
        </w:rPr>
        <w:t xml:space="preserve">para que se tipifique el delito calificado, ya que no se trata de que esté presente la figura de </w:t>
      </w:r>
      <w:r w:rsidRPr="00845503">
        <w:rPr>
          <w:rFonts w:ascii="Cambria" w:hAnsi="Cambria"/>
          <w:iCs/>
          <w:sz w:val="20"/>
          <w:szCs w:val="20"/>
          <w:lang w:val="es-US"/>
        </w:rPr>
        <w:t xml:space="preserve"> </w:t>
      </w:r>
      <w:r w:rsidR="00433925" w:rsidRPr="00845503">
        <w:rPr>
          <w:rFonts w:ascii="Cambria" w:hAnsi="Cambria"/>
          <w:iCs/>
          <w:sz w:val="20"/>
          <w:szCs w:val="20"/>
          <w:lang w:val="es-US"/>
        </w:rPr>
        <w:t>la sedición como acto consumado sino que los acusados realizaron actos  incitando a que se cometiera un delito de sedición, el cual establece que su autor tenga el propósito de perturbar el orden socialista, la celebración de elecciones o impedir el cumplimiento de disposición legal dictada por el gobierno. Es precisamente por estar presente esta incitación a la sedición en sus dos formas (de palabra y por escrito) es que se califica por otros actos contra la seguridad del estado como actos preparatorios para que se cometa el delito de sedici</w:t>
      </w:r>
      <w:r w:rsidR="00323D31" w:rsidRPr="00845503">
        <w:rPr>
          <w:rFonts w:ascii="Cambria" w:hAnsi="Cambria"/>
          <w:iCs/>
          <w:sz w:val="20"/>
          <w:szCs w:val="20"/>
          <w:lang w:val="es-US"/>
        </w:rPr>
        <w:t>ón, concurriendo ta</w:t>
      </w:r>
      <w:r w:rsidR="00403ED5" w:rsidRPr="00845503">
        <w:rPr>
          <w:rFonts w:ascii="Cambria" w:hAnsi="Cambria"/>
          <w:iCs/>
          <w:sz w:val="20"/>
          <w:szCs w:val="20"/>
          <w:lang w:val="es-US"/>
        </w:rPr>
        <w:t>mbién en elemento de publicidad</w:t>
      </w:r>
      <w:r w:rsidR="00441E6A" w:rsidRPr="00845503">
        <w:rPr>
          <w:rStyle w:val="FootnoteReference"/>
          <w:rFonts w:ascii="Cambria" w:hAnsi="Cambria"/>
          <w:iCs/>
          <w:sz w:val="20"/>
          <w:szCs w:val="20"/>
          <w:lang w:val="es-US"/>
        </w:rPr>
        <w:footnoteReference w:id="39"/>
      </w:r>
      <w:r w:rsidR="00323D31" w:rsidRPr="00845503">
        <w:rPr>
          <w:rFonts w:ascii="Cambria" w:hAnsi="Cambria"/>
          <w:iCs/>
          <w:sz w:val="20"/>
          <w:szCs w:val="20"/>
          <w:lang w:val="es-US"/>
        </w:rPr>
        <w:t xml:space="preserve">. </w:t>
      </w:r>
    </w:p>
    <w:p w:rsidR="00322D35" w:rsidRPr="00845503" w:rsidRDefault="00322D35" w:rsidP="0046202E">
      <w:pPr>
        <w:pStyle w:val="ListParagraph"/>
        <w:ind w:left="0"/>
        <w:jc w:val="both"/>
        <w:rPr>
          <w:iCs/>
          <w:color w:val="auto"/>
          <w:sz w:val="20"/>
          <w:szCs w:val="20"/>
          <w:lang w:val="es-US"/>
        </w:rPr>
      </w:pPr>
    </w:p>
    <w:p w:rsidR="00322D35" w:rsidRPr="00845503" w:rsidRDefault="00322D35"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iCs/>
          <w:sz w:val="20"/>
          <w:szCs w:val="20"/>
          <w:lang w:val="es-US"/>
        </w:rPr>
      </w:pPr>
      <w:r w:rsidRPr="00845503">
        <w:rPr>
          <w:rFonts w:ascii="Cambria" w:hAnsi="Cambria"/>
          <w:iCs/>
          <w:sz w:val="20"/>
          <w:szCs w:val="20"/>
          <w:lang w:val="es-US"/>
        </w:rPr>
        <w:t>Además</w:t>
      </w:r>
      <w:r w:rsidR="000D60FF" w:rsidRPr="00845503">
        <w:rPr>
          <w:rFonts w:ascii="Cambria" w:hAnsi="Cambria"/>
          <w:iCs/>
          <w:sz w:val="20"/>
          <w:szCs w:val="20"/>
          <w:lang w:val="es-US"/>
        </w:rPr>
        <w:t>,</w:t>
      </w:r>
      <w:r w:rsidRPr="00845503">
        <w:rPr>
          <w:rFonts w:ascii="Cambria" w:hAnsi="Cambria"/>
          <w:iCs/>
          <w:sz w:val="20"/>
          <w:szCs w:val="20"/>
          <w:lang w:val="es-US"/>
        </w:rPr>
        <w:t xml:space="preserve"> el Tribunal estim</w:t>
      </w:r>
      <w:r w:rsidR="000D60FF" w:rsidRPr="00845503">
        <w:rPr>
          <w:rFonts w:ascii="Cambria" w:hAnsi="Cambria"/>
          <w:iCs/>
          <w:sz w:val="20"/>
          <w:szCs w:val="20"/>
          <w:lang w:val="es-US"/>
        </w:rPr>
        <w:t>ó</w:t>
      </w:r>
      <w:r w:rsidRPr="00845503">
        <w:rPr>
          <w:rFonts w:ascii="Cambria" w:hAnsi="Cambria"/>
          <w:iCs/>
          <w:sz w:val="20"/>
          <w:szCs w:val="20"/>
          <w:lang w:val="es-US"/>
        </w:rPr>
        <w:t xml:space="preserve"> que las conductas delictivas se agravaban por cuanto su actuar respondía al servicio de una potencia extranjera. </w:t>
      </w:r>
      <w:r w:rsidR="00403ED5" w:rsidRPr="00845503">
        <w:rPr>
          <w:rFonts w:ascii="Cambria" w:hAnsi="Cambria"/>
          <w:iCs/>
          <w:sz w:val="20"/>
          <w:szCs w:val="20"/>
          <w:lang w:val="es-US"/>
        </w:rPr>
        <w:t>Igualmente, d</w:t>
      </w:r>
      <w:r w:rsidRPr="00845503">
        <w:rPr>
          <w:rFonts w:ascii="Cambria" w:hAnsi="Cambria"/>
          <w:iCs/>
          <w:sz w:val="20"/>
          <w:szCs w:val="20"/>
          <w:lang w:val="es-US"/>
        </w:rPr>
        <w:t xml:space="preserve">eterminó que </w:t>
      </w:r>
      <w:r w:rsidR="00937766" w:rsidRPr="00845503">
        <w:rPr>
          <w:rFonts w:ascii="Cambria" w:hAnsi="Cambria"/>
          <w:iCs/>
          <w:sz w:val="20"/>
          <w:szCs w:val="20"/>
          <w:lang w:val="es-US"/>
        </w:rPr>
        <w:t>“</w:t>
      </w:r>
      <w:r w:rsidRPr="00845503">
        <w:rPr>
          <w:rFonts w:ascii="Cambria" w:hAnsi="Cambria"/>
          <w:iCs/>
          <w:sz w:val="20"/>
          <w:szCs w:val="20"/>
          <w:lang w:val="es-US"/>
        </w:rPr>
        <w:t xml:space="preserve">en el caso de Vladimiro Roca </w:t>
      </w:r>
      <w:r w:rsidR="00937766" w:rsidRPr="00845503">
        <w:rPr>
          <w:rFonts w:ascii="Cambria" w:hAnsi="Cambria"/>
          <w:iCs/>
          <w:sz w:val="20"/>
          <w:szCs w:val="20"/>
          <w:lang w:val="es-US"/>
        </w:rPr>
        <w:t>tuvo</w:t>
      </w:r>
      <w:r w:rsidRPr="00845503">
        <w:rPr>
          <w:rFonts w:ascii="Cambria" w:hAnsi="Cambria"/>
          <w:iCs/>
          <w:sz w:val="20"/>
          <w:szCs w:val="20"/>
          <w:lang w:val="es-US"/>
        </w:rPr>
        <w:t xml:space="preserve"> una actuación</w:t>
      </w:r>
      <w:r w:rsidR="00937766" w:rsidRPr="00845503">
        <w:rPr>
          <w:rFonts w:ascii="Cambria" w:hAnsi="Cambria"/>
          <w:iCs/>
          <w:sz w:val="20"/>
          <w:szCs w:val="20"/>
          <w:lang w:val="es-US"/>
        </w:rPr>
        <w:t xml:space="preserve"> y papel más protagónico que el resto, que el acusado </w:t>
      </w:r>
      <w:r w:rsidRPr="00845503">
        <w:rPr>
          <w:rFonts w:ascii="Cambria" w:hAnsi="Cambria"/>
          <w:iCs/>
          <w:sz w:val="20"/>
          <w:szCs w:val="20"/>
          <w:lang w:val="es-US"/>
        </w:rPr>
        <w:t>René en su condición de jurista que fue formado por leyes revolucionaria utilizó su profesión para desprestigiar ese ordenamiento jurídico del que se nutrió, lo que desmerece que pueda seguir ejerciendo dicha prof</w:t>
      </w:r>
      <w:r w:rsidR="00937766" w:rsidRPr="00845503">
        <w:rPr>
          <w:rFonts w:ascii="Cambria" w:hAnsi="Cambria"/>
          <w:iCs/>
          <w:sz w:val="20"/>
          <w:szCs w:val="20"/>
          <w:lang w:val="es-US"/>
        </w:rPr>
        <w:t xml:space="preserve">esión en el territorio nacional, que el acusado </w:t>
      </w:r>
      <w:r w:rsidR="002D6273" w:rsidRPr="00845503">
        <w:rPr>
          <w:rFonts w:ascii="Cambria" w:hAnsi="Cambria"/>
          <w:iCs/>
          <w:sz w:val="20"/>
          <w:szCs w:val="20"/>
          <w:lang w:val="es-US"/>
        </w:rPr>
        <w:t xml:space="preserve">Félix </w:t>
      </w:r>
      <w:r w:rsidR="00937766" w:rsidRPr="00845503">
        <w:rPr>
          <w:rFonts w:ascii="Cambria" w:hAnsi="Cambria"/>
          <w:iCs/>
          <w:sz w:val="20"/>
          <w:szCs w:val="20"/>
          <w:lang w:val="es-US"/>
        </w:rPr>
        <w:t>de una forma indignante y desvergonzada elaboró textos que denigraban la niñez cubana y tergiversaba</w:t>
      </w:r>
      <w:r w:rsidR="002D6273" w:rsidRPr="00845503">
        <w:rPr>
          <w:rFonts w:ascii="Cambria" w:hAnsi="Cambria"/>
          <w:iCs/>
          <w:sz w:val="20"/>
          <w:szCs w:val="20"/>
          <w:lang w:val="es-US"/>
        </w:rPr>
        <w:t xml:space="preserve"> la realidad social y </w:t>
      </w:r>
      <w:r w:rsidR="00937766" w:rsidRPr="00845503">
        <w:rPr>
          <w:rFonts w:ascii="Cambria" w:hAnsi="Cambria"/>
          <w:iCs/>
          <w:sz w:val="20"/>
          <w:szCs w:val="20"/>
          <w:lang w:val="es-US"/>
        </w:rPr>
        <w:t xml:space="preserve">en el caso de </w:t>
      </w:r>
      <w:r w:rsidR="00967821" w:rsidRPr="00845503">
        <w:rPr>
          <w:rFonts w:ascii="Cambria" w:hAnsi="Cambria"/>
          <w:iCs/>
          <w:sz w:val="20"/>
          <w:szCs w:val="20"/>
          <w:lang w:val="es-US"/>
        </w:rPr>
        <w:t>Martha</w:t>
      </w:r>
      <w:r w:rsidR="00737E2A" w:rsidRPr="00845503">
        <w:rPr>
          <w:rFonts w:ascii="Cambria" w:hAnsi="Cambria"/>
          <w:iCs/>
          <w:sz w:val="20"/>
          <w:szCs w:val="20"/>
          <w:lang w:val="es-US"/>
        </w:rPr>
        <w:t xml:space="preserve"> </w:t>
      </w:r>
      <w:r w:rsidR="009B2979" w:rsidRPr="00845503">
        <w:rPr>
          <w:rFonts w:ascii="Cambria" w:hAnsi="Cambria"/>
          <w:iCs/>
          <w:sz w:val="20"/>
          <w:szCs w:val="20"/>
          <w:lang w:val="es-US"/>
        </w:rPr>
        <w:t xml:space="preserve">se </w:t>
      </w:r>
      <w:r w:rsidR="00737E2A" w:rsidRPr="00845503">
        <w:rPr>
          <w:rFonts w:ascii="Cambria" w:hAnsi="Cambria"/>
          <w:iCs/>
          <w:sz w:val="20"/>
          <w:szCs w:val="20"/>
          <w:lang w:val="es-US"/>
        </w:rPr>
        <w:t>valoró</w:t>
      </w:r>
      <w:r w:rsidR="002D6273" w:rsidRPr="00845503">
        <w:rPr>
          <w:rFonts w:ascii="Cambria" w:hAnsi="Cambria"/>
          <w:iCs/>
          <w:sz w:val="20"/>
          <w:szCs w:val="20"/>
          <w:lang w:val="es-US"/>
        </w:rPr>
        <w:t xml:space="preserve"> la peligrosidad de los </w:t>
      </w:r>
      <w:r w:rsidR="009B2979" w:rsidRPr="00845503">
        <w:rPr>
          <w:rFonts w:ascii="Cambria" w:hAnsi="Cambria"/>
          <w:iCs/>
          <w:sz w:val="20"/>
          <w:szCs w:val="20"/>
          <w:lang w:val="es-US"/>
        </w:rPr>
        <w:t xml:space="preserve">actos que ejecutó </w:t>
      </w:r>
      <w:r w:rsidR="002D6273" w:rsidRPr="00845503">
        <w:rPr>
          <w:rFonts w:ascii="Cambria" w:hAnsi="Cambria"/>
          <w:iCs/>
          <w:sz w:val="20"/>
          <w:szCs w:val="20"/>
          <w:lang w:val="es-US"/>
        </w:rPr>
        <w:t xml:space="preserve"> así como que e</w:t>
      </w:r>
      <w:r w:rsidR="009B2979" w:rsidRPr="00845503">
        <w:rPr>
          <w:rFonts w:ascii="Cambria" w:hAnsi="Cambria"/>
          <w:iCs/>
          <w:sz w:val="20"/>
          <w:szCs w:val="20"/>
          <w:lang w:val="es-US"/>
        </w:rPr>
        <w:t>s</w:t>
      </w:r>
      <w:r w:rsidR="002D6273" w:rsidRPr="00845503">
        <w:rPr>
          <w:rFonts w:ascii="Cambria" w:hAnsi="Cambria"/>
          <w:iCs/>
          <w:sz w:val="20"/>
          <w:szCs w:val="20"/>
          <w:lang w:val="es-US"/>
        </w:rPr>
        <w:t xml:space="preserve"> una mujer con problemas de salud que no le </w:t>
      </w:r>
      <w:r w:rsidR="009B2979" w:rsidRPr="00845503">
        <w:rPr>
          <w:rFonts w:ascii="Cambria" w:hAnsi="Cambria"/>
          <w:iCs/>
          <w:sz w:val="20"/>
          <w:szCs w:val="20"/>
          <w:lang w:val="es-US"/>
        </w:rPr>
        <w:t>impiden el cumplimiento de sanción alguna”</w:t>
      </w:r>
      <w:r w:rsidR="00441E6A" w:rsidRPr="00845503">
        <w:rPr>
          <w:rStyle w:val="FootnoteReference"/>
          <w:rFonts w:ascii="Cambria" w:hAnsi="Cambria"/>
          <w:iCs/>
          <w:sz w:val="20"/>
          <w:szCs w:val="20"/>
          <w:lang w:val="es-US"/>
        </w:rPr>
        <w:footnoteReference w:id="40"/>
      </w:r>
      <w:r w:rsidR="009B2979" w:rsidRPr="00845503">
        <w:rPr>
          <w:rFonts w:ascii="Cambria" w:hAnsi="Cambria"/>
          <w:iCs/>
          <w:sz w:val="20"/>
          <w:szCs w:val="20"/>
          <w:lang w:val="es-US"/>
        </w:rPr>
        <w:t xml:space="preserve">. </w:t>
      </w:r>
    </w:p>
    <w:p w:rsidR="002D6273" w:rsidRPr="00845503" w:rsidRDefault="002D6273" w:rsidP="0046202E">
      <w:pPr>
        <w:pStyle w:val="ListParagraph"/>
        <w:ind w:left="0"/>
        <w:jc w:val="both"/>
        <w:rPr>
          <w:iCs/>
          <w:color w:val="auto"/>
          <w:sz w:val="20"/>
          <w:szCs w:val="20"/>
          <w:lang w:val="es-US"/>
        </w:rPr>
      </w:pPr>
    </w:p>
    <w:p w:rsidR="002D6273" w:rsidRPr="00845503" w:rsidRDefault="00F23698"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iCs/>
          <w:sz w:val="20"/>
          <w:szCs w:val="20"/>
          <w:lang w:val="es-US"/>
        </w:rPr>
      </w:pPr>
      <w:r w:rsidRPr="00845503">
        <w:rPr>
          <w:rFonts w:ascii="Cambria" w:hAnsi="Cambria"/>
          <w:iCs/>
          <w:sz w:val="20"/>
          <w:szCs w:val="20"/>
          <w:lang w:val="es-US"/>
        </w:rPr>
        <w:t>El Tribun</w:t>
      </w:r>
      <w:r w:rsidR="00873A47" w:rsidRPr="00845503">
        <w:rPr>
          <w:rFonts w:ascii="Cambria" w:hAnsi="Cambria"/>
          <w:iCs/>
          <w:sz w:val="20"/>
          <w:szCs w:val="20"/>
          <w:lang w:val="es-US"/>
        </w:rPr>
        <w:t>al impuso como pena accesoria la</w:t>
      </w:r>
      <w:r w:rsidRPr="00845503">
        <w:rPr>
          <w:rFonts w:ascii="Cambria" w:hAnsi="Cambria"/>
          <w:iCs/>
          <w:sz w:val="20"/>
          <w:szCs w:val="20"/>
          <w:lang w:val="es-US"/>
        </w:rPr>
        <w:t xml:space="preserve"> privación de los derechos  públicos por el mismo </w:t>
      </w:r>
      <w:r w:rsidR="005D5015" w:rsidRPr="00845503">
        <w:rPr>
          <w:rFonts w:ascii="Cambria" w:hAnsi="Cambria"/>
          <w:iCs/>
          <w:sz w:val="20"/>
          <w:szCs w:val="20"/>
          <w:lang w:val="es-US"/>
        </w:rPr>
        <w:t>término</w:t>
      </w:r>
      <w:r w:rsidRPr="00845503">
        <w:rPr>
          <w:rFonts w:ascii="Cambria" w:hAnsi="Cambria"/>
          <w:iCs/>
          <w:sz w:val="20"/>
          <w:szCs w:val="20"/>
          <w:lang w:val="es-US"/>
        </w:rPr>
        <w:t xml:space="preserve"> de la pena principal </w:t>
      </w:r>
      <w:r w:rsidR="005D5015" w:rsidRPr="00845503">
        <w:rPr>
          <w:rFonts w:ascii="Cambria" w:hAnsi="Cambria"/>
          <w:iCs/>
          <w:sz w:val="20"/>
          <w:szCs w:val="20"/>
          <w:lang w:val="es-US"/>
        </w:rPr>
        <w:t xml:space="preserve"> y el </w:t>
      </w:r>
      <w:r w:rsidR="00441E6A" w:rsidRPr="00845503">
        <w:rPr>
          <w:rFonts w:ascii="Cambria" w:hAnsi="Cambria"/>
          <w:iCs/>
          <w:sz w:val="20"/>
          <w:szCs w:val="20"/>
          <w:lang w:val="es-ES"/>
        </w:rPr>
        <w:t>“</w:t>
      </w:r>
      <w:r w:rsidR="005D5015" w:rsidRPr="00845503">
        <w:rPr>
          <w:rFonts w:ascii="Cambria" w:hAnsi="Cambria"/>
          <w:iCs/>
          <w:sz w:val="20"/>
          <w:szCs w:val="20"/>
          <w:lang w:val="es-US"/>
        </w:rPr>
        <w:t>comiso de todo lo ocupado</w:t>
      </w:r>
      <w:r w:rsidR="00441E6A" w:rsidRPr="00845503">
        <w:rPr>
          <w:rFonts w:ascii="Cambria" w:hAnsi="Cambria"/>
          <w:iCs/>
          <w:sz w:val="20"/>
          <w:szCs w:val="20"/>
          <w:lang w:val="es-US"/>
        </w:rPr>
        <w:t>”</w:t>
      </w:r>
      <w:r w:rsidR="005D5015" w:rsidRPr="00845503">
        <w:rPr>
          <w:rFonts w:ascii="Cambria" w:hAnsi="Cambria"/>
          <w:iCs/>
          <w:sz w:val="20"/>
          <w:szCs w:val="20"/>
          <w:lang w:val="es-US"/>
        </w:rPr>
        <w:t xml:space="preserve">. Además </w:t>
      </w:r>
      <w:r w:rsidRPr="00845503">
        <w:rPr>
          <w:rFonts w:ascii="Cambria" w:hAnsi="Cambria"/>
          <w:iCs/>
          <w:sz w:val="20"/>
          <w:szCs w:val="20"/>
          <w:lang w:val="es-US"/>
        </w:rPr>
        <w:t xml:space="preserve">en el caso de René </w:t>
      </w:r>
      <w:r w:rsidR="00873A47" w:rsidRPr="00845503">
        <w:rPr>
          <w:rFonts w:ascii="Cambria" w:hAnsi="Cambria"/>
          <w:iCs/>
          <w:sz w:val="20"/>
          <w:szCs w:val="20"/>
          <w:lang w:val="es-US"/>
        </w:rPr>
        <w:t>Gómez, el Tribunal impuso</w:t>
      </w:r>
      <w:r w:rsidRPr="00845503">
        <w:rPr>
          <w:rFonts w:ascii="Cambria" w:hAnsi="Cambria"/>
          <w:iCs/>
          <w:sz w:val="20"/>
          <w:szCs w:val="20"/>
          <w:lang w:val="es-US"/>
        </w:rPr>
        <w:t xml:space="preserve"> la prohibición de ejercer la abogacía por cinco años. </w:t>
      </w:r>
    </w:p>
    <w:p w:rsidR="00D9085F" w:rsidRPr="00845503" w:rsidRDefault="00D9085F" w:rsidP="0046202E">
      <w:pPr>
        <w:pStyle w:val="ListParagraph"/>
        <w:ind w:left="0"/>
        <w:jc w:val="both"/>
        <w:rPr>
          <w:iCs/>
          <w:color w:val="auto"/>
          <w:sz w:val="20"/>
          <w:szCs w:val="20"/>
          <w:lang w:val="es-US"/>
        </w:rPr>
      </w:pPr>
    </w:p>
    <w:p w:rsidR="009F0736" w:rsidRPr="00845503" w:rsidRDefault="00112F58"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iCs/>
          <w:sz w:val="20"/>
          <w:szCs w:val="20"/>
          <w:lang w:val="es-US"/>
        </w:rPr>
      </w:pPr>
      <w:r w:rsidRPr="00845503">
        <w:rPr>
          <w:rFonts w:ascii="Cambria" w:hAnsi="Cambria"/>
          <w:iCs/>
          <w:sz w:val="20"/>
          <w:szCs w:val="20"/>
          <w:lang w:val="es-US"/>
        </w:rPr>
        <w:t xml:space="preserve">En el mes de </w:t>
      </w:r>
      <w:r w:rsidR="006949CD" w:rsidRPr="00845503">
        <w:rPr>
          <w:rFonts w:ascii="Cambria" w:hAnsi="Cambria"/>
          <w:iCs/>
          <w:sz w:val="20"/>
          <w:szCs w:val="20"/>
          <w:lang w:val="es-US"/>
        </w:rPr>
        <w:t>marzo de 1999 l</w:t>
      </w:r>
      <w:r w:rsidR="00D544DA" w:rsidRPr="00845503">
        <w:rPr>
          <w:rFonts w:ascii="Cambria" w:hAnsi="Cambria"/>
          <w:iCs/>
          <w:sz w:val="20"/>
          <w:szCs w:val="20"/>
          <w:lang w:val="es-US"/>
        </w:rPr>
        <w:t>os acusado</w:t>
      </w:r>
      <w:r w:rsidR="006949CD" w:rsidRPr="00845503">
        <w:rPr>
          <w:rFonts w:ascii="Cambria" w:hAnsi="Cambria"/>
          <w:iCs/>
          <w:sz w:val="20"/>
          <w:szCs w:val="20"/>
          <w:lang w:val="es-US"/>
        </w:rPr>
        <w:t>s</w:t>
      </w:r>
      <w:r w:rsidR="00D544DA" w:rsidRPr="00845503">
        <w:rPr>
          <w:rFonts w:ascii="Cambria" w:hAnsi="Cambria"/>
          <w:iCs/>
          <w:sz w:val="20"/>
          <w:szCs w:val="20"/>
          <w:lang w:val="es-US"/>
        </w:rPr>
        <w:t xml:space="preserve"> presentaron recursos de casación ante el Tribunal Supremo Popular contra la sentencia condenatoria emitida por el Tribunal Provincial Popular</w:t>
      </w:r>
      <w:r w:rsidRPr="00845503">
        <w:rPr>
          <w:rFonts w:ascii="Cambria" w:hAnsi="Cambria"/>
          <w:iCs/>
          <w:sz w:val="20"/>
          <w:szCs w:val="20"/>
          <w:lang w:val="es-US"/>
        </w:rPr>
        <w:t xml:space="preserve">, alegando </w:t>
      </w:r>
      <w:r w:rsidR="00601B44" w:rsidRPr="00845503">
        <w:rPr>
          <w:rFonts w:ascii="Cambria" w:hAnsi="Cambria"/>
          <w:iCs/>
          <w:sz w:val="20"/>
          <w:szCs w:val="20"/>
          <w:lang w:val="es-US"/>
        </w:rPr>
        <w:t xml:space="preserve"> quebrantamiento de forma e infracción de la ley</w:t>
      </w:r>
      <w:r w:rsidR="00441E6A" w:rsidRPr="00845503">
        <w:rPr>
          <w:rStyle w:val="FootnoteReference"/>
          <w:rFonts w:ascii="Cambria" w:hAnsi="Cambria"/>
          <w:iCs/>
          <w:sz w:val="20"/>
          <w:szCs w:val="20"/>
          <w:lang w:val="es-US"/>
        </w:rPr>
        <w:footnoteReference w:id="41"/>
      </w:r>
      <w:r w:rsidR="00601B44" w:rsidRPr="00845503">
        <w:rPr>
          <w:rFonts w:ascii="Cambria" w:hAnsi="Cambria"/>
          <w:iCs/>
          <w:sz w:val="20"/>
          <w:szCs w:val="20"/>
          <w:lang w:val="es-US"/>
        </w:rPr>
        <w:t xml:space="preserve">. </w:t>
      </w:r>
      <w:r w:rsidR="00A37D21" w:rsidRPr="00845503">
        <w:rPr>
          <w:rFonts w:ascii="Cambria" w:hAnsi="Cambria"/>
          <w:iCs/>
          <w:sz w:val="20"/>
          <w:szCs w:val="20"/>
          <w:lang w:val="es-US"/>
        </w:rPr>
        <w:t>En cuanto al quebrantamient</w:t>
      </w:r>
      <w:r w:rsidR="00873A47" w:rsidRPr="00845503">
        <w:rPr>
          <w:rFonts w:ascii="Cambria" w:hAnsi="Cambria"/>
          <w:iCs/>
          <w:sz w:val="20"/>
          <w:szCs w:val="20"/>
          <w:lang w:val="es-US"/>
        </w:rPr>
        <w:t xml:space="preserve">o de la forma, </w:t>
      </w:r>
      <w:r w:rsidR="006949CD" w:rsidRPr="00845503">
        <w:rPr>
          <w:rFonts w:ascii="Cambria" w:hAnsi="Cambria"/>
          <w:iCs/>
          <w:sz w:val="20"/>
          <w:szCs w:val="20"/>
          <w:lang w:val="es-US"/>
        </w:rPr>
        <w:t>alegaron</w:t>
      </w:r>
      <w:r w:rsidR="00BC5A9C" w:rsidRPr="00845503">
        <w:rPr>
          <w:rFonts w:ascii="Cambria" w:hAnsi="Cambria"/>
          <w:iCs/>
          <w:sz w:val="20"/>
          <w:szCs w:val="20"/>
          <w:lang w:val="es-US"/>
        </w:rPr>
        <w:t xml:space="preserve"> que</w:t>
      </w:r>
      <w:r w:rsidR="00873A47" w:rsidRPr="00845503">
        <w:rPr>
          <w:rFonts w:ascii="Cambria" w:hAnsi="Cambria"/>
          <w:iCs/>
          <w:sz w:val="20"/>
          <w:szCs w:val="20"/>
          <w:lang w:val="es-US"/>
        </w:rPr>
        <w:t>,</w:t>
      </w:r>
      <w:r w:rsidR="00861CE1" w:rsidRPr="00845503">
        <w:rPr>
          <w:rFonts w:ascii="Cambria" w:hAnsi="Cambria"/>
          <w:iCs/>
          <w:sz w:val="20"/>
          <w:szCs w:val="20"/>
          <w:lang w:val="es-US"/>
        </w:rPr>
        <w:t xml:space="preserve"> </w:t>
      </w:r>
      <w:r w:rsidR="00BC5A9C" w:rsidRPr="00845503">
        <w:rPr>
          <w:rFonts w:ascii="Cambria" w:hAnsi="Cambria"/>
          <w:iCs/>
          <w:sz w:val="20"/>
          <w:szCs w:val="20"/>
          <w:lang w:val="es-US"/>
        </w:rPr>
        <w:t>i)</w:t>
      </w:r>
      <w:r w:rsidR="000E4661" w:rsidRPr="00845503">
        <w:rPr>
          <w:rFonts w:ascii="Cambria" w:hAnsi="Cambria"/>
          <w:iCs/>
          <w:sz w:val="20"/>
          <w:szCs w:val="20"/>
          <w:lang w:val="es-US"/>
        </w:rPr>
        <w:t xml:space="preserve"> </w:t>
      </w:r>
      <w:r w:rsidR="00861CE1" w:rsidRPr="00845503">
        <w:rPr>
          <w:rFonts w:ascii="Cambria" w:hAnsi="Cambria"/>
          <w:iCs/>
          <w:sz w:val="20"/>
          <w:szCs w:val="20"/>
          <w:lang w:val="es-US"/>
        </w:rPr>
        <w:lastRenderedPageBreak/>
        <w:t>la sentencia había incurrido  en un vicio de proced</w:t>
      </w:r>
      <w:r w:rsidR="00944C2F" w:rsidRPr="00845503">
        <w:rPr>
          <w:rFonts w:ascii="Cambria" w:hAnsi="Cambria"/>
          <w:iCs/>
          <w:sz w:val="20"/>
          <w:szCs w:val="20"/>
          <w:lang w:val="es-US"/>
        </w:rPr>
        <w:t>imiento al no permitir que René</w:t>
      </w:r>
      <w:r w:rsidR="00861CE1" w:rsidRPr="00845503">
        <w:rPr>
          <w:rFonts w:ascii="Cambria" w:hAnsi="Cambria"/>
          <w:iCs/>
          <w:sz w:val="20"/>
          <w:szCs w:val="20"/>
          <w:lang w:val="es-US"/>
        </w:rPr>
        <w:t xml:space="preserve"> de Jesús Gómez </w:t>
      </w:r>
      <w:r w:rsidR="002B21AA" w:rsidRPr="00845503">
        <w:rPr>
          <w:rFonts w:ascii="Cambria" w:hAnsi="Cambria"/>
          <w:iCs/>
          <w:sz w:val="20"/>
          <w:szCs w:val="20"/>
          <w:lang w:val="es-US"/>
        </w:rPr>
        <w:t xml:space="preserve">Manzano </w:t>
      </w:r>
      <w:r w:rsidR="00861CE1" w:rsidRPr="00845503">
        <w:rPr>
          <w:rFonts w:ascii="Cambria" w:hAnsi="Cambria"/>
          <w:iCs/>
          <w:sz w:val="20"/>
          <w:szCs w:val="20"/>
          <w:lang w:val="es-US"/>
        </w:rPr>
        <w:t>ejercier</w:t>
      </w:r>
      <w:r w:rsidR="00BC5A9C" w:rsidRPr="00845503">
        <w:rPr>
          <w:rFonts w:ascii="Cambria" w:hAnsi="Cambria"/>
          <w:iCs/>
          <w:sz w:val="20"/>
          <w:szCs w:val="20"/>
          <w:lang w:val="es-US"/>
        </w:rPr>
        <w:t xml:space="preserve">a su propia defensa en el caso; ii) </w:t>
      </w:r>
      <w:r w:rsidR="000E4661" w:rsidRPr="00845503">
        <w:rPr>
          <w:rFonts w:ascii="Cambria" w:hAnsi="Cambria"/>
          <w:iCs/>
          <w:sz w:val="20"/>
          <w:szCs w:val="20"/>
          <w:lang w:val="es-US"/>
        </w:rPr>
        <w:t xml:space="preserve">el Tribunal emitió su decisión basándose únicamente en apreciaciones subjetivas y contrariando su obligación de fallar sobre criterios objetivos; </w:t>
      </w:r>
      <w:r w:rsidR="00BC5A9C" w:rsidRPr="00845503">
        <w:rPr>
          <w:rFonts w:ascii="Cambria" w:hAnsi="Cambria"/>
          <w:iCs/>
          <w:sz w:val="20"/>
          <w:szCs w:val="20"/>
          <w:lang w:val="es-US"/>
        </w:rPr>
        <w:t>iii)</w:t>
      </w:r>
      <w:r w:rsidR="00DC6685" w:rsidRPr="00845503">
        <w:rPr>
          <w:rFonts w:ascii="Cambria" w:hAnsi="Cambria"/>
          <w:iCs/>
          <w:sz w:val="20"/>
          <w:szCs w:val="20"/>
          <w:lang w:val="es-US"/>
        </w:rPr>
        <w:t xml:space="preserve"> la sentencia incurrió en contradicciones a la hora de hacer valoraciones sobre las conductas </w:t>
      </w:r>
      <w:r w:rsidR="00873A47" w:rsidRPr="00845503">
        <w:rPr>
          <w:rFonts w:ascii="Cambria" w:hAnsi="Cambria"/>
          <w:iCs/>
          <w:sz w:val="20"/>
          <w:szCs w:val="20"/>
          <w:lang w:val="es-US"/>
        </w:rPr>
        <w:t xml:space="preserve">de los condenados; </w:t>
      </w:r>
      <w:r w:rsidR="00BC5A9C" w:rsidRPr="00845503">
        <w:rPr>
          <w:rFonts w:ascii="Cambria" w:hAnsi="Cambria"/>
          <w:iCs/>
          <w:sz w:val="20"/>
          <w:szCs w:val="20"/>
          <w:lang w:val="es-US"/>
        </w:rPr>
        <w:t>iv)</w:t>
      </w:r>
      <w:r w:rsidR="00723493" w:rsidRPr="00845503">
        <w:rPr>
          <w:rFonts w:ascii="Cambria" w:hAnsi="Cambria"/>
          <w:iCs/>
          <w:sz w:val="20"/>
          <w:szCs w:val="20"/>
          <w:lang w:val="es-US"/>
        </w:rPr>
        <w:t xml:space="preserve"> el Tribunal incluyó hechos probados que no habían sido incluidos en el escrito de acusación de la Fiscalía; </w:t>
      </w:r>
      <w:r w:rsidR="00BC5A9C" w:rsidRPr="00845503">
        <w:rPr>
          <w:rFonts w:ascii="Cambria" w:hAnsi="Cambria"/>
          <w:iCs/>
          <w:sz w:val="20"/>
          <w:szCs w:val="20"/>
          <w:lang w:val="es-US"/>
        </w:rPr>
        <w:t xml:space="preserve">v) </w:t>
      </w:r>
      <w:r w:rsidR="00D07907" w:rsidRPr="00845503">
        <w:rPr>
          <w:rFonts w:ascii="Cambria" w:hAnsi="Cambria"/>
          <w:iCs/>
          <w:sz w:val="20"/>
          <w:szCs w:val="20"/>
          <w:lang w:val="es-US"/>
        </w:rPr>
        <w:t xml:space="preserve">el Tribunal </w:t>
      </w:r>
      <w:r w:rsidR="00153790" w:rsidRPr="00845503">
        <w:rPr>
          <w:rFonts w:ascii="Cambria" w:hAnsi="Cambria"/>
          <w:iCs/>
          <w:sz w:val="20"/>
          <w:szCs w:val="20"/>
          <w:lang w:val="es-US"/>
        </w:rPr>
        <w:t>decretó</w:t>
      </w:r>
      <w:r w:rsidR="00D07907" w:rsidRPr="00845503">
        <w:rPr>
          <w:rFonts w:ascii="Cambria" w:hAnsi="Cambria"/>
          <w:iCs/>
          <w:sz w:val="20"/>
          <w:szCs w:val="20"/>
          <w:lang w:val="es-US"/>
        </w:rPr>
        <w:t xml:space="preserve"> una sanción que no había sido </w:t>
      </w:r>
      <w:r w:rsidR="00153790" w:rsidRPr="00845503">
        <w:rPr>
          <w:rFonts w:ascii="Cambria" w:hAnsi="Cambria"/>
          <w:iCs/>
          <w:sz w:val="20"/>
          <w:szCs w:val="20"/>
          <w:lang w:val="es-US"/>
        </w:rPr>
        <w:t>solicitada</w:t>
      </w:r>
      <w:r w:rsidR="00D07907" w:rsidRPr="00845503">
        <w:rPr>
          <w:rFonts w:ascii="Cambria" w:hAnsi="Cambria"/>
          <w:iCs/>
          <w:sz w:val="20"/>
          <w:szCs w:val="20"/>
          <w:lang w:val="es-US"/>
        </w:rPr>
        <w:t xml:space="preserve"> por el Fiscal, en referencia a la prohibición de ejercer su profesión a René Gómez</w:t>
      </w:r>
      <w:r w:rsidR="00F40303" w:rsidRPr="00845503">
        <w:rPr>
          <w:rFonts w:ascii="Cambria" w:hAnsi="Cambria"/>
          <w:iCs/>
          <w:sz w:val="20"/>
          <w:szCs w:val="20"/>
          <w:lang w:val="es-US"/>
        </w:rPr>
        <w:t xml:space="preserve">; </w:t>
      </w:r>
      <w:r w:rsidR="00873A47" w:rsidRPr="00845503">
        <w:rPr>
          <w:rFonts w:ascii="Cambria" w:hAnsi="Cambria"/>
          <w:iCs/>
          <w:sz w:val="20"/>
          <w:szCs w:val="20"/>
          <w:lang w:val="es-US"/>
        </w:rPr>
        <w:t xml:space="preserve">y </w:t>
      </w:r>
      <w:r w:rsidR="00BC5A9C" w:rsidRPr="00845503">
        <w:rPr>
          <w:rFonts w:ascii="Cambria" w:hAnsi="Cambria"/>
          <w:iCs/>
          <w:sz w:val="20"/>
          <w:szCs w:val="20"/>
          <w:lang w:val="es-US"/>
        </w:rPr>
        <w:t>vi)</w:t>
      </w:r>
      <w:r w:rsidR="00873A47" w:rsidRPr="00845503">
        <w:rPr>
          <w:rFonts w:ascii="Cambria" w:hAnsi="Cambria"/>
          <w:iCs/>
          <w:sz w:val="20"/>
          <w:szCs w:val="20"/>
          <w:lang w:val="es-US"/>
        </w:rPr>
        <w:t xml:space="preserve"> </w:t>
      </w:r>
      <w:r w:rsidR="00F40303" w:rsidRPr="00845503">
        <w:rPr>
          <w:rFonts w:ascii="Cambria" w:hAnsi="Cambria"/>
          <w:iCs/>
          <w:sz w:val="20"/>
          <w:szCs w:val="20"/>
          <w:lang w:val="es-US"/>
        </w:rPr>
        <w:t xml:space="preserve">el Tribunal habría incurrido en una falla al permitir que la Fiscalía introdujera pruebas a último momento justo al iniciar la etapa de juicio. </w:t>
      </w:r>
    </w:p>
    <w:p w:rsidR="009F0736" w:rsidRPr="00845503" w:rsidRDefault="009F0736" w:rsidP="0046202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Cs/>
          <w:sz w:val="20"/>
          <w:szCs w:val="20"/>
          <w:lang w:val="es-US"/>
        </w:rPr>
      </w:pPr>
    </w:p>
    <w:p w:rsidR="009F0736" w:rsidRPr="00845503" w:rsidRDefault="00076F6C"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iCs/>
          <w:sz w:val="20"/>
          <w:szCs w:val="20"/>
          <w:lang w:val="es-US"/>
        </w:rPr>
      </w:pPr>
      <w:r w:rsidRPr="00845503">
        <w:rPr>
          <w:rFonts w:ascii="Cambria" w:hAnsi="Cambria"/>
          <w:iCs/>
          <w:sz w:val="20"/>
          <w:szCs w:val="20"/>
          <w:lang w:val="es-US"/>
        </w:rPr>
        <w:t xml:space="preserve">Sobre la infracción a la ley, </w:t>
      </w:r>
      <w:r w:rsidR="00BC5A9C" w:rsidRPr="00845503">
        <w:rPr>
          <w:rFonts w:ascii="Cambria" w:hAnsi="Cambria"/>
          <w:iCs/>
          <w:sz w:val="20"/>
          <w:szCs w:val="20"/>
          <w:lang w:val="es-US"/>
        </w:rPr>
        <w:t>aleg</w:t>
      </w:r>
      <w:r w:rsidR="006949CD" w:rsidRPr="00845503">
        <w:rPr>
          <w:rFonts w:ascii="Cambria" w:hAnsi="Cambria"/>
          <w:iCs/>
          <w:sz w:val="20"/>
          <w:szCs w:val="20"/>
          <w:lang w:val="es-US"/>
        </w:rPr>
        <w:t>aron</w:t>
      </w:r>
      <w:r w:rsidRPr="00845503">
        <w:rPr>
          <w:rFonts w:ascii="Cambria" w:hAnsi="Cambria"/>
          <w:iCs/>
          <w:sz w:val="20"/>
          <w:szCs w:val="20"/>
          <w:lang w:val="es-US"/>
        </w:rPr>
        <w:t xml:space="preserve"> que </w:t>
      </w:r>
      <w:r w:rsidR="00BC5A9C" w:rsidRPr="00845503">
        <w:rPr>
          <w:rFonts w:ascii="Cambria" w:hAnsi="Cambria"/>
          <w:iCs/>
          <w:sz w:val="20"/>
          <w:szCs w:val="20"/>
          <w:lang w:val="es-US"/>
        </w:rPr>
        <w:t xml:space="preserve">el Tribunal estimó </w:t>
      </w:r>
      <w:r w:rsidR="006F6339" w:rsidRPr="00845503">
        <w:rPr>
          <w:rFonts w:ascii="Cambria" w:hAnsi="Cambria"/>
          <w:iCs/>
          <w:sz w:val="20"/>
          <w:szCs w:val="20"/>
          <w:lang w:val="es-US"/>
        </w:rPr>
        <w:t xml:space="preserve">que se  encontraba tipificado el delito de sedición, pese a que los condenados en ningún momento incurrieron en actos violentos y que además en sus escritos no hacían otra cosa que expresarse y manifestar su opinión respecto a las políticas del gobierno e invitar a realizar actividades que no son obligatorias por ley tales como las de votar o participar en organizaciones de masas. </w:t>
      </w:r>
      <w:r w:rsidR="00BD0C01" w:rsidRPr="00845503">
        <w:rPr>
          <w:rFonts w:ascii="Cambria" w:hAnsi="Cambria"/>
          <w:iCs/>
          <w:sz w:val="20"/>
          <w:szCs w:val="20"/>
          <w:lang w:val="es-US"/>
        </w:rPr>
        <w:t>De acuerdo con el recurso</w:t>
      </w:r>
      <w:r w:rsidR="00BC5A9C" w:rsidRPr="00845503">
        <w:rPr>
          <w:rFonts w:ascii="Cambria" w:hAnsi="Cambria"/>
          <w:iCs/>
          <w:sz w:val="20"/>
          <w:szCs w:val="20"/>
          <w:lang w:val="es-US"/>
        </w:rPr>
        <w:t>,</w:t>
      </w:r>
      <w:r w:rsidR="00BD0C01" w:rsidRPr="00845503">
        <w:rPr>
          <w:rFonts w:ascii="Cambria" w:hAnsi="Cambria"/>
          <w:iCs/>
          <w:sz w:val="20"/>
          <w:szCs w:val="20"/>
          <w:lang w:val="es-US"/>
        </w:rPr>
        <w:t xml:space="preserve"> para que se configurará la sedición se requería la intención de los actores destinada a actuar tumultuariamente</w:t>
      </w:r>
      <w:r w:rsidR="006D111C" w:rsidRPr="00845503">
        <w:rPr>
          <w:rFonts w:ascii="Cambria" w:hAnsi="Cambria"/>
          <w:iCs/>
          <w:sz w:val="20"/>
          <w:szCs w:val="20"/>
          <w:lang w:val="es-US"/>
        </w:rPr>
        <w:t xml:space="preserve"> y empleando violencia. </w:t>
      </w:r>
      <w:r w:rsidR="00720F33" w:rsidRPr="00845503">
        <w:rPr>
          <w:rFonts w:ascii="Cambria" w:hAnsi="Cambria"/>
          <w:iCs/>
          <w:sz w:val="20"/>
          <w:szCs w:val="20"/>
          <w:lang w:val="es-US"/>
        </w:rPr>
        <w:t xml:space="preserve">Asimismo, alegaron que los cuatro acusados solo hicieron uso de sus derechos constitucionales. </w:t>
      </w:r>
    </w:p>
    <w:p w:rsidR="006D111C" w:rsidRPr="00845503" w:rsidRDefault="006D111C" w:rsidP="0046202E">
      <w:pPr>
        <w:pStyle w:val="ListParagraph"/>
        <w:ind w:left="0"/>
        <w:jc w:val="both"/>
        <w:rPr>
          <w:iCs/>
          <w:color w:val="auto"/>
          <w:sz w:val="20"/>
          <w:szCs w:val="20"/>
          <w:lang w:val="es-US"/>
        </w:rPr>
      </w:pPr>
    </w:p>
    <w:p w:rsidR="00D544DA" w:rsidRPr="00845503" w:rsidRDefault="006D111C"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b/>
          <w:sz w:val="20"/>
          <w:szCs w:val="20"/>
          <w:lang w:val="es-US"/>
        </w:rPr>
      </w:pPr>
      <w:r w:rsidRPr="00845503">
        <w:rPr>
          <w:rFonts w:ascii="Cambria" w:hAnsi="Cambria"/>
          <w:iCs/>
          <w:sz w:val="20"/>
          <w:szCs w:val="20"/>
          <w:lang w:val="es-US"/>
        </w:rPr>
        <w:t xml:space="preserve">El </w:t>
      </w:r>
      <w:r w:rsidR="00D544DA" w:rsidRPr="00845503">
        <w:rPr>
          <w:rFonts w:ascii="Cambria" w:hAnsi="Cambria"/>
          <w:iCs/>
          <w:sz w:val="20"/>
          <w:szCs w:val="20"/>
          <w:lang w:val="es-US"/>
        </w:rPr>
        <w:t xml:space="preserve">16 de diciembre de 1999, los familiares de los cuatro detenidos interpusieron un escrito de </w:t>
      </w:r>
      <w:r w:rsidR="00112F58" w:rsidRPr="00845503">
        <w:rPr>
          <w:rFonts w:ascii="Cambria" w:hAnsi="Cambria"/>
          <w:iCs/>
          <w:sz w:val="20"/>
          <w:szCs w:val="20"/>
          <w:lang w:val="es-US"/>
        </w:rPr>
        <w:t>“</w:t>
      </w:r>
      <w:r w:rsidR="00D544DA" w:rsidRPr="00845503">
        <w:rPr>
          <w:rFonts w:ascii="Cambria" w:hAnsi="Cambria"/>
          <w:iCs/>
          <w:sz w:val="20"/>
          <w:szCs w:val="20"/>
          <w:lang w:val="es-US"/>
        </w:rPr>
        <w:t>queja y petición</w:t>
      </w:r>
      <w:r w:rsidR="00112F58" w:rsidRPr="00845503">
        <w:rPr>
          <w:rFonts w:ascii="Cambria" w:hAnsi="Cambria"/>
          <w:iCs/>
          <w:sz w:val="20"/>
          <w:szCs w:val="20"/>
          <w:lang w:val="es-US"/>
        </w:rPr>
        <w:t xml:space="preserve">” </w:t>
      </w:r>
      <w:r w:rsidR="00D544DA" w:rsidRPr="00845503">
        <w:rPr>
          <w:rFonts w:ascii="Cambria" w:hAnsi="Cambria"/>
          <w:iCs/>
          <w:sz w:val="20"/>
          <w:szCs w:val="20"/>
          <w:lang w:val="es-US"/>
        </w:rPr>
        <w:t>ante el Tribunal Supremo de Justicia</w:t>
      </w:r>
      <w:r w:rsidR="00A365B6" w:rsidRPr="00845503">
        <w:rPr>
          <w:rFonts w:ascii="Cambria" w:hAnsi="Cambria"/>
          <w:iCs/>
          <w:sz w:val="20"/>
          <w:szCs w:val="20"/>
          <w:lang w:val="es-US"/>
        </w:rPr>
        <w:t>. Los familiares se quejaron por la demora en la tramitación de</w:t>
      </w:r>
      <w:r w:rsidR="00D544DA" w:rsidRPr="00845503">
        <w:rPr>
          <w:rFonts w:ascii="Cambria" w:hAnsi="Cambria"/>
          <w:iCs/>
          <w:sz w:val="20"/>
          <w:szCs w:val="20"/>
          <w:lang w:val="es-US"/>
        </w:rPr>
        <w:t xml:space="preserve"> los recursos de casación interpuestos</w:t>
      </w:r>
      <w:r w:rsidR="00A365B6" w:rsidRPr="00845503">
        <w:rPr>
          <w:rFonts w:ascii="Cambria" w:hAnsi="Cambria"/>
          <w:iCs/>
          <w:sz w:val="20"/>
          <w:szCs w:val="20"/>
          <w:lang w:val="es-US"/>
        </w:rPr>
        <w:t>, que</w:t>
      </w:r>
      <w:r w:rsidR="00D544DA" w:rsidRPr="00845503">
        <w:rPr>
          <w:rFonts w:ascii="Cambria" w:hAnsi="Cambria"/>
          <w:iCs/>
          <w:sz w:val="20"/>
          <w:szCs w:val="20"/>
          <w:lang w:val="es-US"/>
        </w:rPr>
        <w:t xml:space="preserve"> llevaban</w:t>
      </w:r>
      <w:r w:rsidR="00A365B6" w:rsidRPr="00845503">
        <w:rPr>
          <w:rFonts w:ascii="Cambria" w:hAnsi="Cambria"/>
          <w:iCs/>
          <w:sz w:val="20"/>
          <w:szCs w:val="20"/>
          <w:lang w:val="es-US"/>
        </w:rPr>
        <w:t xml:space="preserve"> siete meses sin ser resueltos y solicitaron al tribunal dictar su fallo a la brevedad</w:t>
      </w:r>
      <w:r w:rsidR="00061B6C" w:rsidRPr="00845503">
        <w:rPr>
          <w:rStyle w:val="FootnoteReference"/>
          <w:rFonts w:ascii="Cambria" w:hAnsi="Cambria"/>
          <w:iCs/>
          <w:sz w:val="20"/>
          <w:szCs w:val="20"/>
          <w:lang w:val="es-US"/>
        </w:rPr>
        <w:footnoteReference w:id="42"/>
      </w:r>
      <w:r w:rsidR="00A365B6" w:rsidRPr="00845503">
        <w:rPr>
          <w:rFonts w:ascii="Cambria" w:hAnsi="Cambria"/>
          <w:iCs/>
          <w:sz w:val="20"/>
          <w:szCs w:val="20"/>
          <w:lang w:val="es-US"/>
        </w:rPr>
        <w:t>. El 29 de diciembre de 1999</w:t>
      </w:r>
      <w:r w:rsidR="0040313A" w:rsidRPr="00845503">
        <w:rPr>
          <w:rFonts w:ascii="Cambria" w:hAnsi="Cambria"/>
          <w:iCs/>
          <w:sz w:val="20"/>
          <w:szCs w:val="20"/>
          <w:lang w:val="es-US"/>
        </w:rPr>
        <w:t>,</w:t>
      </w:r>
      <w:r w:rsidR="00A365B6" w:rsidRPr="00845503">
        <w:rPr>
          <w:rFonts w:ascii="Cambria" w:hAnsi="Cambria"/>
          <w:iCs/>
          <w:sz w:val="20"/>
          <w:szCs w:val="20"/>
          <w:lang w:val="es-US"/>
        </w:rPr>
        <w:t xml:space="preserve"> el Tribunal </w:t>
      </w:r>
      <w:r w:rsidR="00A31849" w:rsidRPr="00845503">
        <w:rPr>
          <w:rFonts w:ascii="Cambria" w:hAnsi="Cambria"/>
          <w:iCs/>
          <w:sz w:val="20"/>
          <w:szCs w:val="20"/>
          <w:lang w:val="es-US"/>
        </w:rPr>
        <w:t>contestó</w:t>
      </w:r>
      <w:r w:rsidR="00A365B6" w:rsidRPr="00845503">
        <w:rPr>
          <w:rFonts w:ascii="Cambria" w:hAnsi="Cambria"/>
          <w:iCs/>
          <w:sz w:val="20"/>
          <w:szCs w:val="20"/>
          <w:lang w:val="es-US"/>
        </w:rPr>
        <w:t>, indicando que el proceso penal  “se halla en tramitación y será objeto de pronunciamiento próximamente por la Sala de la Especialidad de este Tribunal”</w:t>
      </w:r>
      <w:r w:rsidR="00061B6C" w:rsidRPr="00845503">
        <w:rPr>
          <w:rStyle w:val="FootnoteReference"/>
          <w:rFonts w:ascii="Cambria" w:hAnsi="Cambria"/>
          <w:iCs/>
          <w:sz w:val="20"/>
          <w:szCs w:val="20"/>
          <w:lang w:val="es-US"/>
        </w:rPr>
        <w:footnoteReference w:id="43"/>
      </w:r>
      <w:r w:rsidR="00A365B6" w:rsidRPr="00845503">
        <w:rPr>
          <w:rFonts w:ascii="Cambria" w:hAnsi="Cambria"/>
          <w:iCs/>
          <w:sz w:val="20"/>
          <w:szCs w:val="20"/>
          <w:lang w:val="es-US"/>
        </w:rPr>
        <w:t xml:space="preserve">. </w:t>
      </w:r>
    </w:p>
    <w:p w:rsidR="00D544DA" w:rsidRPr="00845503" w:rsidRDefault="00D544DA" w:rsidP="00D544DA">
      <w:pPr>
        <w:pStyle w:val="ListParagraph"/>
        <w:rPr>
          <w:iCs/>
          <w:sz w:val="20"/>
          <w:szCs w:val="20"/>
          <w:lang w:val="es-US"/>
        </w:rPr>
      </w:pPr>
    </w:p>
    <w:p w:rsidR="00A033D8" w:rsidRPr="00845503" w:rsidRDefault="006949CD"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US"/>
        </w:rPr>
      </w:pPr>
      <w:r w:rsidRPr="00845503">
        <w:rPr>
          <w:rFonts w:ascii="Cambria" w:hAnsi="Cambria"/>
          <w:iCs/>
          <w:sz w:val="20"/>
          <w:szCs w:val="20"/>
          <w:lang w:val="es-US"/>
        </w:rPr>
        <w:t>El 9 de febrero</w:t>
      </w:r>
      <w:r w:rsidR="006D111C" w:rsidRPr="00845503">
        <w:rPr>
          <w:rFonts w:ascii="Cambria" w:hAnsi="Cambria"/>
          <w:iCs/>
          <w:sz w:val="20"/>
          <w:szCs w:val="20"/>
          <w:lang w:val="es-US"/>
        </w:rPr>
        <w:t xml:space="preserve"> de </w:t>
      </w:r>
      <w:r w:rsidR="00106F51" w:rsidRPr="00845503">
        <w:rPr>
          <w:rFonts w:ascii="Cambria" w:hAnsi="Cambria"/>
          <w:iCs/>
          <w:sz w:val="20"/>
          <w:szCs w:val="20"/>
          <w:lang w:val="es-US"/>
        </w:rPr>
        <w:t>2000</w:t>
      </w:r>
      <w:r w:rsidR="006D111C" w:rsidRPr="00845503">
        <w:rPr>
          <w:rFonts w:ascii="Cambria" w:hAnsi="Cambria"/>
          <w:iCs/>
          <w:sz w:val="20"/>
          <w:szCs w:val="20"/>
          <w:lang w:val="es-US"/>
        </w:rPr>
        <w:t xml:space="preserve">, el Tribunal Supremo Popular emitió </w:t>
      </w:r>
      <w:r w:rsidR="00BC5A9C" w:rsidRPr="00845503">
        <w:rPr>
          <w:rFonts w:ascii="Cambria" w:hAnsi="Cambria"/>
          <w:iCs/>
          <w:sz w:val="20"/>
          <w:szCs w:val="20"/>
          <w:lang w:val="es-US"/>
        </w:rPr>
        <w:t>la sentencia de c</w:t>
      </w:r>
      <w:r w:rsidR="009D00F7" w:rsidRPr="00845503">
        <w:rPr>
          <w:rFonts w:ascii="Cambria" w:hAnsi="Cambria"/>
          <w:iCs/>
          <w:sz w:val="20"/>
          <w:szCs w:val="20"/>
          <w:lang w:val="es-US"/>
        </w:rPr>
        <w:t xml:space="preserve">asación en la cual </w:t>
      </w:r>
      <w:r w:rsidR="00BC5A9C" w:rsidRPr="00845503">
        <w:rPr>
          <w:rFonts w:ascii="Cambria" w:hAnsi="Cambria"/>
          <w:iCs/>
          <w:sz w:val="20"/>
          <w:szCs w:val="20"/>
          <w:lang w:val="es-US"/>
        </w:rPr>
        <w:t xml:space="preserve">desestimó </w:t>
      </w:r>
      <w:r w:rsidR="00864712" w:rsidRPr="00845503">
        <w:rPr>
          <w:rFonts w:ascii="Cambria" w:hAnsi="Cambria"/>
          <w:iCs/>
          <w:sz w:val="20"/>
          <w:szCs w:val="20"/>
          <w:lang w:val="es-US"/>
        </w:rPr>
        <w:t>los recursos interpuestos</w:t>
      </w:r>
      <w:r w:rsidR="000E2809" w:rsidRPr="00845503">
        <w:rPr>
          <w:rStyle w:val="FootnoteReference"/>
          <w:rFonts w:ascii="Cambria" w:hAnsi="Cambria"/>
          <w:iCs/>
          <w:sz w:val="20"/>
          <w:szCs w:val="20"/>
          <w:lang w:val="es-US"/>
        </w:rPr>
        <w:footnoteReference w:id="44"/>
      </w:r>
      <w:r w:rsidR="00B438B6" w:rsidRPr="00845503">
        <w:rPr>
          <w:rFonts w:ascii="Cambria" w:hAnsi="Cambria"/>
          <w:iCs/>
          <w:sz w:val="20"/>
          <w:szCs w:val="20"/>
          <w:lang w:val="es-US"/>
        </w:rPr>
        <w:t xml:space="preserve">. </w:t>
      </w:r>
      <w:r w:rsidR="00864712" w:rsidRPr="00845503">
        <w:rPr>
          <w:rFonts w:ascii="Cambria" w:hAnsi="Cambria"/>
          <w:iCs/>
          <w:sz w:val="20"/>
          <w:szCs w:val="20"/>
          <w:lang w:val="es-US"/>
        </w:rPr>
        <w:t xml:space="preserve">En cuanto a </w:t>
      </w:r>
      <w:r w:rsidR="00720F33" w:rsidRPr="00845503">
        <w:rPr>
          <w:rFonts w:ascii="Cambria" w:hAnsi="Cambria"/>
          <w:iCs/>
          <w:sz w:val="20"/>
          <w:szCs w:val="20"/>
          <w:lang w:val="es-US"/>
        </w:rPr>
        <w:t>las infracciones de forma</w:t>
      </w:r>
      <w:r w:rsidR="001906D4" w:rsidRPr="00845503">
        <w:rPr>
          <w:rFonts w:ascii="Cambria" w:hAnsi="Cambria"/>
          <w:iCs/>
          <w:sz w:val="20"/>
          <w:szCs w:val="20"/>
          <w:lang w:val="es-US"/>
        </w:rPr>
        <w:t xml:space="preserve">, el Tribunal </w:t>
      </w:r>
      <w:r w:rsidR="00864712" w:rsidRPr="00845503">
        <w:rPr>
          <w:rFonts w:ascii="Cambria" w:hAnsi="Cambria"/>
          <w:iCs/>
          <w:sz w:val="20"/>
          <w:szCs w:val="20"/>
          <w:lang w:val="es-US"/>
        </w:rPr>
        <w:t xml:space="preserve">Supremo señaló que </w:t>
      </w:r>
      <w:r w:rsidR="001906D4" w:rsidRPr="00845503">
        <w:rPr>
          <w:rFonts w:ascii="Cambria" w:hAnsi="Cambria"/>
          <w:iCs/>
          <w:sz w:val="20"/>
          <w:szCs w:val="20"/>
          <w:lang w:val="es-US"/>
        </w:rPr>
        <w:t xml:space="preserve">permitir a René Gómez Manzano ejercer su autodefensa </w:t>
      </w:r>
      <w:r w:rsidR="00864712" w:rsidRPr="00845503">
        <w:rPr>
          <w:rFonts w:ascii="Cambria" w:hAnsi="Cambria"/>
          <w:iCs/>
          <w:sz w:val="20"/>
          <w:szCs w:val="20"/>
          <w:lang w:val="es-US"/>
        </w:rPr>
        <w:t>“queda sujeta enteramente a la decisión del Tribunal del juicio” y que ésta determinó que en su caso “no estaban presentes los principios morales, éticos y jurídicos que orientan el ejercicio de la abogacía en el país”</w:t>
      </w:r>
      <w:r w:rsidR="002B21AA" w:rsidRPr="00845503">
        <w:rPr>
          <w:rFonts w:ascii="Cambria" w:hAnsi="Cambria"/>
          <w:iCs/>
          <w:sz w:val="20"/>
          <w:szCs w:val="20"/>
          <w:lang w:val="es-US"/>
        </w:rPr>
        <w:t xml:space="preserve">. El Tribunal Supremo afirmó que, en todo caso, Gómez Manzano no quedó en estado de indefensión, porque pudo escoger un abogado entre los letrados presentes en el juicio oral. En cuanto a la inclusión de </w:t>
      </w:r>
      <w:r w:rsidR="00A033D8" w:rsidRPr="00845503">
        <w:rPr>
          <w:rFonts w:ascii="Cambria" w:hAnsi="Cambria"/>
          <w:iCs/>
          <w:sz w:val="20"/>
          <w:szCs w:val="20"/>
          <w:lang w:val="es-US"/>
        </w:rPr>
        <w:t xml:space="preserve">pruebas y </w:t>
      </w:r>
      <w:r w:rsidR="002B21AA" w:rsidRPr="00845503">
        <w:rPr>
          <w:rFonts w:ascii="Cambria" w:hAnsi="Cambria"/>
          <w:iCs/>
          <w:sz w:val="20"/>
          <w:szCs w:val="20"/>
          <w:lang w:val="es-US"/>
        </w:rPr>
        <w:t xml:space="preserve">hechos nuevos, expresó que estos no </w:t>
      </w:r>
      <w:r w:rsidR="00A31849" w:rsidRPr="00845503">
        <w:rPr>
          <w:rFonts w:ascii="Cambria" w:hAnsi="Cambria"/>
          <w:iCs/>
          <w:sz w:val="20"/>
          <w:szCs w:val="20"/>
          <w:lang w:val="es-US"/>
        </w:rPr>
        <w:t>varían</w:t>
      </w:r>
      <w:r w:rsidR="002B21AA" w:rsidRPr="00845503">
        <w:rPr>
          <w:rFonts w:ascii="Cambria" w:hAnsi="Cambria"/>
          <w:iCs/>
          <w:sz w:val="20"/>
          <w:szCs w:val="20"/>
          <w:lang w:val="es-US"/>
        </w:rPr>
        <w:t xml:space="preserve"> la imputación inicial, sino que la complementan</w:t>
      </w:r>
      <w:r w:rsidR="00A033D8" w:rsidRPr="00845503">
        <w:rPr>
          <w:rFonts w:ascii="Cambria" w:hAnsi="Cambria"/>
          <w:iCs/>
          <w:sz w:val="20"/>
          <w:szCs w:val="20"/>
          <w:lang w:val="es-US"/>
        </w:rPr>
        <w:t xml:space="preserve"> y que en todo caso, el Tribunal de juicio puede </w:t>
      </w:r>
      <w:r w:rsidR="00C75E10" w:rsidRPr="00845503">
        <w:rPr>
          <w:rFonts w:ascii="Cambria" w:hAnsi="Cambria"/>
          <w:iCs/>
          <w:sz w:val="20"/>
          <w:szCs w:val="20"/>
          <w:lang w:val="es-US"/>
        </w:rPr>
        <w:t>“</w:t>
      </w:r>
      <w:r w:rsidR="00A033D8" w:rsidRPr="00845503">
        <w:rPr>
          <w:rFonts w:ascii="Cambria" w:hAnsi="Cambria"/>
          <w:iCs/>
          <w:sz w:val="20"/>
          <w:szCs w:val="20"/>
          <w:lang w:val="es-US"/>
        </w:rPr>
        <w:t>practicar de oficio, cuantas pruebas estime necesarias para esclarecer los hechos, sus circunstancias y demás asuntos de interés en el proceso</w:t>
      </w:r>
      <w:r w:rsidR="00C75E10" w:rsidRPr="00845503">
        <w:rPr>
          <w:rFonts w:ascii="Cambria" w:hAnsi="Cambria"/>
          <w:iCs/>
          <w:sz w:val="20"/>
          <w:szCs w:val="20"/>
          <w:lang w:val="es-US"/>
        </w:rPr>
        <w:t>”</w:t>
      </w:r>
      <w:r w:rsidR="00A033D8" w:rsidRPr="00845503">
        <w:rPr>
          <w:rFonts w:ascii="Cambria" w:hAnsi="Cambria"/>
          <w:iCs/>
          <w:sz w:val="20"/>
          <w:szCs w:val="20"/>
          <w:lang w:val="es-US"/>
        </w:rPr>
        <w:t>, por lo que desestimó estos alegatos. E</w:t>
      </w:r>
      <w:r w:rsidR="00B438B6" w:rsidRPr="00845503">
        <w:rPr>
          <w:rFonts w:ascii="Cambria" w:hAnsi="Cambria"/>
          <w:iCs/>
          <w:sz w:val="20"/>
          <w:szCs w:val="20"/>
          <w:lang w:val="es-US"/>
        </w:rPr>
        <w:t xml:space="preserve">n lo que respecta a la sanción accesoria de prohibición de ejercicio de la abogacía a René Gómez Manzano, el Tribunal </w:t>
      </w:r>
      <w:r w:rsidR="00B23605" w:rsidRPr="00845503">
        <w:rPr>
          <w:rFonts w:ascii="Cambria" w:hAnsi="Cambria"/>
          <w:iCs/>
          <w:sz w:val="20"/>
          <w:szCs w:val="20"/>
          <w:lang w:val="es-US"/>
        </w:rPr>
        <w:t xml:space="preserve">acogió el recurso y ordenó que se dejara </w:t>
      </w:r>
      <w:r w:rsidR="00112F58" w:rsidRPr="00845503">
        <w:rPr>
          <w:rFonts w:ascii="Cambria" w:hAnsi="Cambria"/>
          <w:iCs/>
          <w:sz w:val="20"/>
          <w:szCs w:val="20"/>
          <w:lang w:val="es-US"/>
        </w:rPr>
        <w:t>“</w:t>
      </w:r>
      <w:r w:rsidR="00B23605" w:rsidRPr="00845503">
        <w:rPr>
          <w:rFonts w:ascii="Cambria" w:hAnsi="Cambria"/>
          <w:iCs/>
          <w:sz w:val="20"/>
          <w:szCs w:val="20"/>
          <w:lang w:val="es-US"/>
        </w:rPr>
        <w:t>sin valor alguno el pronunciamiento de la Sala en cuanto a la sanción accesoria  de prohibición de la abogacía a Gómez Manzano</w:t>
      </w:r>
      <w:r w:rsidR="00112F58" w:rsidRPr="00845503">
        <w:rPr>
          <w:rFonts w:ascii="Cambria" w:hAnsi="Cambria"/>
          <w:iCs/>
          <w:sz w:val="20"/>
          <w:szCs w:val="20"/>
          <w:lang w:val="es-US"/>
        </w:rPr>
        <w:t>”</w:t>
      </w:r>
      <w:r w:rsidR="00E65FB7" w:rsidRPr="00845503">
        <w:rPr>
          <w:rFonts w:ascii="Cambria" w:hAnsi="Cambria"/>
          <w:iCs/>
          <w:sz w:val="20"/>
          <w:szCs w:val="20"/>
          <w:lang w:val="es-US"/>
        </w:rPr>
        <w:t xml:space="preserve">. </w:t>
      </w:r>
      <w:r w:rsidR="00112F58" w:rsidRPr="00845503">
        <w:rPr>
          <w:rFonts w:ascii="Cambria" w:hAnsi="Cambria" w:cs="Arial"/>
          <w:sz w:val="20"/>
          <w:szCs w:val="20"/>
          <w:lang w:val="es-US"/>
        </w:rPr>
        <w:t>En cuanto a los alegatos sobre</w:t>
      </w:r>
      <w:r w:rsidR="008907BD" w:rsidRPr="00845503">
        <w:rPr>
          <w:rFonts w:ascii="Cambria" w:hAnsi="Cambria" w:cs="Arial"/>
          <w:sz w:val="20"/>
          <w:szCs w:val="20"/>
          <w:lang w:val="es-US"/>
        </w:rPr>
        <w:t xml:space="preserve"> la incorrecta aplicación del delito de sedición</w:t>
      </w:r>
      <w:r w:rsidR="00720F33" w:rsidRPr="00845503">
        <w:rPr>
          <w:rFonts w:ascii="Cambria" w:hAnsi="Cambria" w:cs="Arial"/>
          <w:sz w:val="20"/>
          <w:szCs w:val="20"/>
          <w:lang w:val="es-US"/>
        </w:rPr>
        <w:t xml:space="preserve"> </w:t>
      </w:r>
      <w:r w:rsidR="008907BD" w:rsidRPr="00845503">
        <w:rPr>
          <w:rFonts w:ascii="Cambria" w:hAnsi="Cambria" w:cs="Arial"/>
          <w:sz w:val="20"/>
          <w:szCs w:val="20"/>
          <w:lang w:val="es-US"/>
        </w:rPr>
        <w:t>(</w:t>
      </w:r>
      <w:r w:rsidR="00720F33" w:rsidRPr="00845503">
        <w:rPr>
          <w:rFonts w:ascii="Cambria" w:hAnsi="Cambria" w:cs="Arial"/>
          <w:sz w:val="20"/>
          <w:szCs w:val="20"/>
          <w:lang w:val="es-US"/>
        </w:rPr>
        <w:t>infracción a la ley</w:t>
      </w:r>
      <w:r w:rsidR="008907BD" w:rsidRPr="00845503">
        <w:rPr>
          <w:rFonts w:ascii="Cambria" w:hAnsi="Cambria" w:cs="Arial"/>
          <w:sz w:val="20"/>
          <w:szCs w:val="20"/>
          <w:lang w:val="es-US"/>
        </w:rPr>
        <w:t>)</w:t>
      </w:r>
      <w:r w:rsidR="00720F33" w:rsidRPr="00845503">
        <w:rPr>
          <w:rFonts w:ascii="Cambria" w:hAnsi="Cambria" w:cs="Arial"/>
          <w:sz w:val="20"/>
          <w:szCs w:val="20"/>
          <w:lang w:val="es-US"/>
        </w:rPr>
        <w:t>, el Tribunal Supremo</w:t>
      </w:r>
      <w:r w:rsidR="00112F58" w:rsidRPr="00845503">
        <w:rPr>
          <w:rFonts w:ascii="Cambria" w:hAnsi="Cambria" w:cs="Arial"/>
          <w:sz w:val="20"/>
          <w:szCs w:val="20"/>
          <w:lang w:val="es-US"/>
        </w:rPr>
        <w:t xml:space="preserve"> estimó que los acusados </w:t>
      </w:r>
      <w:r w:rsidR="001906D4" w:rsidRPr="00845503">
        <w:rPr>
          <w:rFonts w:ascii="Cambria" w:hAnsi="Cambria" w:cs="Arial"/>
          <w:sz w:val="20"/>
          <w:szCs w:val="20"/>
          <w:lang w:val="es-US"/>
        </w:rPr>
        <w:t>respond</w:t>
      </w:r>
      <w:r w:rsidR="00C75E10" w:rsidRPr="00845503">
        <w:rPr>
          <w:rFonts w:ascii="Cambria" w:hAnsi="Cambria" w:cs="Arial"/>
          <w:sz w:val="20"/>
          <w:szCs w:val="20"/>
          <w:lang w:val="es-US"/>
        </w:rPr>
        <w:t>ían</w:t>
      </w:r>
      <w:r w:rsidR="001906D4" w:rsidRPr="00845503">
        <w:rPr>
          <w:rFonts w:ascii="Cambria" w:hAnsi="Cambria" w:cs="Arial"/>
          <w:sz w:val="20"/>
          <w:szCs w:val="20"/>
          <w:lang w:val="es-US"/>
        </w:rPr>
        <w:t xml:space="preserve"> </w:t>
      </w:r>
      <w:r w:rsidR="00C75E10" w:rsidRPr="00845503">
        <w:rPr>
          <w:rFonts w:ascii="Cambria" w:hAnsi="Cambria" w:cs="Arial"/>
          <w:sz w:val="20"/>
          <w:szCs w:val="20"/>
          <w:lang w:val="es-US"/>
        </w:rPr>
        <w:t>a “</w:t>
      </w:r>
      <w:r w:rsidR="001906D4" w:rsidRPr="00845503">
        <w:rPr>
          <w:rFonts w:ascii="Cambria" w:hAnsi="Cambria" w:cs="Arial"/>
          <w:sz w:val="20"/>
          <w:szCs w:val="20"/>
          <w:lang w:val="es-US"/>
        </w:rPr>
        <w:t>propósitos contrarrevolucionarios y aspiraciones anexionistas</w:t>
      </w:r>
      <w:r w:rsidR="00C75E10" w:rsidRPr="00845503">
        <w:rPr>
          <w:rFonts w:ascii="Cambria" w:hAnsi="Cambria" w:cs="Arial"/>
          <w:sz w:val="20"/>
          <w:szCs w:val="20"/>
          <w:lang w:val="es-US"/>
        </w:rPr>
        <w:t xml:space="preserve">” que </w:t>
      </w:r>
      <w:r w:rsidR="00C75E10" w:rsidRPr="00845503">
        <w:rPr>
          <w:rFonts w:ascii="Cambria" w:hAnsi="Cambria" w:cs="Arial"/>
          <w:sz w:val="20"/>
          <w:szCs w:val="20"/>
          <w:lang w:val="es-ES"/>
        </w:rPr>
        <w:t>“</w:t>
      </w:r>
      <w:r w:rsidR="001906D4" w:rsidRPr="00845503">
        <w:rPr>
          <w:rFonts w:ascii="Cambria" w:hAnsi="Cambria" w:cs="Arial"/>
          <w:sz w:val="20"/>
          <w:szCs w:val="20"/>
          <w:lang w:val="es-US"/>
        </w:rPr>
        <w:t>por haber sido cortados oportunamente, indudablemente no tuvieron lugar los tumultos o actos de violencia</w:t>
      </w:r>
      <w:r w:rsidR="00112F58" w:rsidRPr="00845503">
        <w:rPr>
          <w:rFonts w:ascii="Cambria" w:hAnsi="Cambria" w:cs="Arial"/>
          <w:sz w:val="20"/>
          <w:szCs w:val="20"/>
          <w:lang w:val="es-US"/>
        </w:rPr>
        <w:t>”</w:t>
      </w:r>
      <w:r w:rsidR="001906D4" w:rsidRPr="00845503">
        <w:rPr>
          <w:rFonts w:ascii="Cambria" w:hAnsi="Cambria" w:cs="Arial"/>
          <w:sz w:val="20"/>
          <w:szCs w:val="20"/>
          <w:lang w:val="es-US"/>
        </w:rPr>
        <w:t xml:space="preserve">. </w:t>
      </w:r>
    </w:p>
    <w:p w:rsidR="002F3996" w:rsidRPr="00845503" w:rsidRDefault="002F3996" w:rsidP="002F3996">
      <w:pPr>
        <w:pStyle w:val="ListParagraph"/>
        <w:rPr>
          <w:rFonts w:cs="Arial"/>
          <w:b/>
          <w:sz w:val="20"/>
          <w:szCs w:val="20"/>
          <w:lang w:val="es-US"/>
        </w:rPr>
      </w:pPr>
    </w:p>
    <w:p w:rsidR="00EE7FF9" w:rsidRPr="00845503" w:rsidRDefault="00BC5A9C" w:rsidP="009C22C5">
      <w:pPr>
        <w:pStyle w:val="Heading3"/>
        <w:numPr>
          <w:ilvl w:val="0"/>
          <w:numId w:val="66"/>
        </w:numPr>
        <w:spacing w:before="0" w:after="0"/>
        <w:ind w:left="1440" w:hanging="720"/>
        <w:jc w:val="both"/>
        <w:rPr>
          <w:rFonts w:ascii="Cambria" w:hAnsi="Cambria"/>
          <w:sz w:val="20"/>
          <w:szCs w:val="20"/>
          <w:lang w:val="es-CO"/>
        </w:rPr>
      </w:pPr>
      <w:bookmarkStart w:id="10" w:name="_Toc505951343"/>
      <w:r w:rsidRPr="00845503">
        <w:rPr>
          <w:rFonts w:ascii="Cambria" w:hAnsi="Cambria"/>
          <w:sz w:val="20"/>
          <w:szCs w:val="20"/>
          <w:lang w:val="es-CO"/>
        </w:rPr>
        <w:lastRenderedPageBreak/>
        <w:t>Sobre las c</w:t>
      </w:r>
      <w:r w:rsidR="00EE7FF9" w:rsidRPr="00845503">
        <w:rPr>
          <w:rFonts w:ascii="Cambria" w:hAnsi="Cambria"/>
          <w:sz w:val="20"/>
          <w:szCs w:val="20"/>
          <w:lang w:val="es-CO"/>
        </w:rPr>
        <w:t>ondiciones de detención</w:t>
      </w:r>
      <w:bookmarkEnd w:id="10"/>
    </w:p>
    <w:p w:rsidR="00EE7FF9" w:rsidRPr="00845503" w:rsidRDefault="00EE7FF9" w:rsidP="0046202E">
      <w:pPr>
        <w:jc w:val="both"/>
        <w:rPr>
          <w:rFonts w:ascii="Cambria" w:hAnsi="Cambria"/>
          <w:sz w:val="20"/>
          <w:szCs w:val="20"/>
          <w:lang w:val="es-CO"/>
        </w:rPr>
      </w:pPr>
    </w:p>
    <w:p w:rsidR="00041B5B" w:rsidRPr="00845503" w:rsidRDefault="000D60FF"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 xml:space="preserve">Durante sus </w:t>
      </w:r>
      <w:r w:rsidR="001C78E1" w:rsidRPr="00845503">
        <w:rPr>
          <w:rFonts w:ascii="Cambria" w:hAnsi="Cambria" w:cs="Arial"/>
          <w:sz w:val="20"/>
          <w:szCs w:val="20"/>
          <w:lang w:val="es-CO"/>
        </w:rPr>
        <w:t>tres</w:t>
      </w:r>
      <w:r w:rsidRPr="00845503">
        <w:rPr>
          <w:rFonts w:ascii="Cambria" w:hAnsi="Cambria" w:cs="Arial"/>
          <w:sz w:val="20"/>
          <w:szCs w:val="20"/>
          <w:lang w:val="es-CO"/>
        </w:rPr>
        <w:t xml:space="preserve"> años de reclusión, </w:t>
      </w:r>
      <w:r w:rsidR="00967821" w:rsidRPr="00845503">
        <w:rPr>
          <w:rFonts w:ascii="Cambria" w:hAnsi="Cambria" w:cs="Arial"/>
          <w:sz w:val="20"/>
          <w:szCs w:val="20"/>
          <w:lang w:val="es-CO"/>
        </w:rPr>
        <w:t>Martha</w:t>
      </w:r>
      <w:r w:rsidR="001F02A8" w:rsidRPr="00845503">
        <w:rPr>
          <w:rFonts w:ascii="Cambria" w:hAnsi="Cambria" w:cs="Arial"/>
          <w:sz w:val="20"/>
          <w:szCs w:val="20"/>
          <w:lang w:val="es-CO"/>
        </w:rPr>
        <w:t xml:space="preserve"> Beatriz Roque </w:t>
      </w:r>
      <w:r w:rsidR="002C7CD1" w:rsidRPr="00845503">
        <w:rPr>
          <w:rFonts w:ascii="Cambria" w:hAnsi="Cambria" w:cs="Arial"/>
          <w:sz w:val="20"/>
          <w:szCs w:val="20"/>
          <w:lang w:val="es-CO"/>
        </w:rPr>
        <w:t>estuvo detenida con personas condenadas por delitos comunes y violentos. S</w:t>
      </w:r>
      <w:r w:rsidR="00565E45" w:rsidRPr="00845503">
        <w:rPr>
          <w:rFonts w:ascii="Cambria" w:hAnsi="Cambria" w:cs="Arial"/>
          <w:sz w:val="20"/>
          <w:szCs w:val="20"/>
          <w:lang w:val="es-CO"/>
        </w:rPr>
        <w:t>u celda</w:t>
      </w:r>
      <w:r w:rsidR="002C7CD1" w:rsidRPr="00845503">
        <w:rPr>
          <w:rFonts w:ascii="Cambria" w:hAnsi="Cambria" w:cs="Arial"/>
          <w:sz w:val="20"/>
          <w:szCs w:val="20"/>
          <w:lang w:val="es-CO"/>
        </w:rPr>
        <w:t xml:space="preserve"> en</w:t>
      </w:r>
      <w:r w:rsidR="00565E45" w:rsidRPr="00845503">
        <w:rPr>
          <w:rFonts w:ascii="Cambria" w:hAnsi="Cambria" w:cs="Arial"/>
          <w:sz w:val="20"/>
          <w:szCs w:val="20"/>
          <w:lang w:val="es-CO"/>
        </w:rPr>
        <w:t xml:space="preserve"> </w:t>
      </w:r>
      <w:r w:rsidR="002C7CD1" w:rsidRPr="00845503">
        <w:rPr>
          <w:rFonts w:ascii="Cambria" w:hAnsi="Cambria" w:cs="Arial"/>
          <w:sz w:val="20"/>
          <w:szCs w:val="20"/>
          <w:lang w:val="es-CO"/>
        </w:rPr>
        <w:t xml:space="preserve">la prisión de mujeres Manto Negro </w:t>
      </w:r>
      <w:r w:rsidR="00565E45" w:rsidRPr="00845503">
        <w:rPr>
          <w:rFonts w:ascii="Cambria" w:hAnsi="Cambria" w:cs="Arial"/>
          <w:sz w:val="20"/>
          <w:szCs w:val="20"/>
          <w:lang w:val="es-CO"/>
        </w:rPr>
        <w:t>no recibía</w:t>
      </w:r>
      <w:r w:rsidR="002C7CD1" w:rsidRPr="00845503">
        <w:rPr>
          <w:rFonts w:ascii="Cambria" w:hAnsi="Cambria" w:cs="Arial"/>
          <w:sz w:val="20"/>
          <w:szCs w:val="20"/>
          <w:lang w:val="es-CO"/>
        </w:rPr>
        <w:t xml:space="preserve"> luz natural. Por el contrario, su celda </w:t>
      </w:r>
      <w:r w:rsidR="00181AD5" w:rsidRPr="00845503">
        <w:rPr>
          <w:rFonts w:ascii="Cambria" w:hAnsi="Cambria" w:cs="Arial"/>
          <w:sz w:val="20"/>
          <w:szCs w:val="20"/>
          <w:lang w:val="es-CO"/>
        </w:rPr>
        <w:t>solo tenía una</w:t>
      </w:r>
      <w:r w:rsidR="00565E45" w:rsidRPr="00845503">
        <w:rPr>
          <w:rFonts w:ascii="Cambria" w:hAnsi="Cambria" w:cs="Arial"/>
          <w:sz w:val="20"/>
          <w:szCs w:val="20"/>
          <w:lang w:val="es-CO"/>
        </w:rPr>
        <w:t xml:space="preserve"> luz</w:t>
      </w:r>
      <w:r w:rsidR="00181AD5" w:rsidRPr="00845503">
        <w:rPr>
          <w:rFonts w:ascii="Cambria" w:hAnsi="Cambria" w:cs="Arial"/>
          <w:sz w:val="20"/>
          <w:szCs w:val="20"/>
          <w:lang w:val="es-CO"/>
        </w:rPr>
        <w:t xml:space="preserve"> eléctrica que permanecía</w:t>
      </w:r>
      <w:r w:rsidR="001F02A8" w:rsidRPr="00845503">
        <w:rPr>
          <w:rFonts w:ascii="Cambria" w:hAnsi="Cambria" w:cs="Arial"/>
          <w:sz w:val="20"/>
          <w:szCs w:val="20"/>
          <w:lang w:val="es-CO"/>
        </w:rPr>
        <w:t xml:space="preserve"> </w:t>
      </w:r>
      <w:r w:rsidR="00041B5B" w:rsidRPr="00845503">
        <w:rPr>
          <w:rFonts w:ascii="Cambria" w:hAnsi="Cambria" w:cs="Arial"/>
          <w:sz w:val="20"/>
          <w:szCs w:val="20"/>
          <w:lang w:val="es-CO"/>
        </w:rPr>
        <w:t>encendida</w:t>
      </w:r>
      <w:r w:rsidR="001F02A8" w:rsidRPr="00845503">
        <w:rPr>
          <w:rFonts w:ascii="Cambria" w:hAnsi="Cambria" w:cs="Arial"/>
          <w:sz w:val="20"/>
          <w:szCs w:val="20"/>
          <w:lang w:val="es-CO"/>
        </w:rPr>
        <w:t xml:space="preserve"> las 24 horas del día</w:t>
      </w:r>
      <w:r w:rsidR="00181AD5" w:rsidRPr="00845503">
        <w:rPr>
          <w:rFonts w:ascii="Cambria" w:hAnsi="Cambria" w:cs="Arial"/>
          <w:sz w:val="20"/>
          <w:szCs w:val="20"/>
          <w:lang w:val="es-CO"/>
        </w:rPr>
        <w:t>. Denunció</w:t>
      </w:r>
      <w:r w:rsidR="001F02A8" w:rsidRPr="00845503">
        <w:rPr>
          <w:rFonts w:ascii="Cambria" w:hAnsi="Cambria" w:cs="Arial"/>
          <w:sz w:val="20"/>
          <w:szCs w:val="20"/>
          <w:lang w:val="es-CO"/>
        </w:rPr>
        <w:t xml:space="preserve"> </w:t>
      </w:r>
      <w:r w:rsidR="00565E45" w:rsidRPr="00845503">
        <w:rPr>
          <w:rFonts w:ascii="Cambria" w:hAnsi="Cambria" w:cs="Arial"/>
          <w:sz w:val="20"/>
          <w:szCs w:val="20"/>
          <w:lang w:val="es-CO"/>
        </w:rPr>
        <w:t xml:space="preserve">el mal estado de la comida </w:t>
      </w:r>
      <w:r w:rsidR="001F02A8" w:rsidRPr="00845503">
        <w:rPr>
          <w:rFonts w:ascii="Cambria" w:hAnsi="Cambria" w:cs="Arial"/>
          <w:sz w:val="20"/>
          <w:szCs w:val="20"/>
          <w:lang w:val="es-CO"/>
        </w:rPr>
        <w:t>y la</w:t>
      </w:r>
      <w:r w:rsidR="00181AD5" w:rsidRPr="00845503">
        <w:rPr>
          <w:rFonts w:ascii="Cambria" w:hAnsi="Cambria" w:cs="Arial"/>
          <w:sz w:val="20"/>
          <w:szCs w:val="20"/>
          <w:lang w:val="es-CO"/>
        </w:rPr>
        <w:t xml:space="preserve"> restricción de </w:t>
      </w:r>
      <w:r w:rsidR="002C7CD1" w:rsidRPr="00845503">
        <w:rPr>
          <w:rFonts w:ascii="Cambria" w:hAnsi="Cambria" w:cs="Arial"/>
          <w:sz w:val="20"/>
          <w:szCs w:val="20"/>
          <w:lang w:val="es-CO"/>
        </w:rPr>
        <w:t xml:space="preserve">las </w:t>
      </w:r>
      <w:r w:rsidR="00181AD5" w:rsidRPr="00845503">
        <w:rPr>
          <w:rFonts w:ascii="Cambria" w:hAnsi="Cambria" w:cs="Arial"/>
          <w:sz w:val="20"/>
          <w:szCs w:val="20"/>
          <w:lang w:val="es-CO"/>
        </w:rPr>
        <w:t xml:space="preserve">visitas, </w:t>
      </w:r>
      <w:r w:rsidR="002C7CD1" w:rsidRPr="00845503">
        <w:rPr>
          <w:rFonts w:ascii="Cambria" w:hAnsi="Cambria" w:cs="Arial"/>
          <w:sz w:val="20"/>
          <w:szCs w:val="20"/>
          <w:lang w:val="es-CO"/>
        </w:rPr>
        <w:t>que estaban limitadas a</w:t>
      </w:r>
      <w:r w:rsidR="00181AD5" w:rsidRPr="00845503">
        <w:rPr>
          <w:rFonts w:ascii="Cambria" w:hAnsi="Cambria" w:cs="Arial"/>
          <w:sz w:val="20"/>
          <w:szCs w:val="20"/>
          <w:lang w:val="es-CO"/>
        </w:rPr>
        <w:t xml:space="preserve"> </w:t>
      </w:r>
      <w:r w:rsidR="001F02A8" w:rsidRPr="00845503">
        <w:rPr>
          <w:rFonts w:ascii="Cambria" w:hAnsi="Cambria" w:cs="Arial"/>
          <w:sz w:val="20"/>
          <w:szCs w:val="20"/>
          <w:lang w:val="es-CO"/>
        </w:rPr>
        <w:t xml:space="preserve">su sobrina. </w:t>
      </w:r>
      <w:r w:rsidR="00F82DE2" w:rsidRPr="00845503">
        <w:rPr>
          <w:rFonts w:ascii="Cambria" w:hAnsi="Cambria" w:cs="Arial"/>
          <w:sz w:val="20"/>
          <w:szCs w:val="20"/>
          <w:lang w:val="es-CO"/>
        </w:rPr>
        <w:t xml:space="preserve">Debido a la falta de atención médica adecuada durante su detención, </w:t>
      </w:r>
      <w:r w:rsidR="00967821" w:rsidRPr="00845503">
        <w:rPr>
          <w:rFonts w:ascii="Cambria" w:hAnsi="Cambria" w:cs="Arial"/>
          <w:sz w:val="20"/>
          <w:szCs w:val="20"/>
          <w:lang w:val="es-CO"/>
        </w:rPr>
        <w:t>Martha</w:t>
      </w:r>
      <w:r w:rsidR="00F82DE2" w:rsidRPr="00845503">
        <w:rPr>
          <w:rFonts w:ascii="Cambria" w:hAnsi="Cambria" w:cs="Arial"/>
          <w:sz w:val="20"/>
          <w:szCs w:val="20"/>
          <w:lang w:val="es-CO"/>
        </w:rPr>
        <w:t xml:space="preserve"> Beatriz Roque sufrió una infección mamaria</w:t>
      </w:r>
      <w:r w:rsidR="00F82DE2" w:rsidRPr="00845503">
        <w:rPr>
          <w:rStyle w:val="FootnoteReference"/>
          <w:rFonts w:ascii="Cambria" w:hAnsi="Cambria" w:cs="Arial"/>
          <w:sz w:val="20"/>
          <w:szCs w:val="20"/>
          <w:lang w:val="es-CO"/>
        </w:rPr>
        <w:footnoteReference w:id="45"/>
      </w:r>
      <w:r w:rsidR="00F82DE2" w:rsidRPr="00845503">
        <w:rPr>
          <w:rFonts w:ascii="Cambria" w:hAnsi="Cambria" w:cs="Arial"/>
          <w:sz w:val="20"/>
          <w:szCs w:val="20"/>
          <w:lang w:val="es-CO"/>
        </w:rPr>
        <w:t xml:space="preserve">. </w:t>
      </w:r>
      <w:r w:rsidR="00181AD5" w:rsidRPr="00845503">
        <w:rPr>
          <w:rFonts w:ascii="Cambria" w:hAnsi="Cambria" w:cs="Arial"/>
          <w:sz w:val="20"/>
          <w:szCs w:val="20"/>
          <w:lang w:val="es-CO"/>
        </w:rPr>
        <w:t>E</w:t>
      </w:r>
      <w:r w:rsidR="00EE7FF9" w:rsidRPr="00845503">
        <w:rPr>
          <w:rFonts w:ascii="Cambria" w:hAnsi="Cambria" w:cs="Arial"/>
          <w:sz w:val="20"/>
          <w:szCs w:val="20"/>
          <w:lang w:val="es-CO"/>
        </w:rPr>
        <w:t xml:space="preserve">n julio de 1999 </w:t>
      </w:r>
      <w:r w:rsidR="00967821" w:rsidRPr="00845503">
        <w:rPr>
          <w:rFonts w:ascii="Cambria" w:hAnsi="Cambria" w:cs="Arial"/>
          <w:sz w:val="20"/>
          <w:szCs w:val="20"/>
          <w:lang w:val="es-CO"/>
        </w:rPr>
        <w:t>Martha</w:t>
      </w:r>
      <w:r w:rsidR="002C7CD1" w:rsidRPr="00845503">
        <w:rPr>
          <w:rFonts w:ascii="Cambria" w:hAnsi="Cambria" w:cs="Arial"/>
          <w:sz w:val="20"/>
          <w:szCs w:val="20"/>
          <w:lang w:val="es-CO"/>
        </w:rPr>
        <w:t xml:space="preserve"> Beatriz Roque </w:t>
      </w:r>
      <w:r w:rsidR="00EE7FF9" w:rsidRPr="00845503">
        <w:rPr>
          <w:rFonts w:ascii="Cambria" w:hAnsi="Cambria" w:cs="Arial"/>
          <w:sz w:val="20"/>
          <w:szCs w:val="20"/>
          <w:lang w:val="es-CO"/>
        </w:rPr>
        <w:t xml:space="preserve">realizó </w:t>
      </w:r>
      <w:r w:rsidR="00041B5B" w:rsidRPr="00845503">
        <w:rPr>
          <w:rFonts w:ascii="Cambria" w:hAnsi="Cambria" w:cs="Arial"/>
          <w:sz w:val="20"/>
          <w:szCs w:val="20"/>
          <w:lang w:val="es-CO"/>
        </w:rPr>
        <w:t xml:space="preserve">durante 52 días </w:t>
      </w:r>
      <w:r w:rsidR="00EE7FF9" w:rsidRPr="00845503">
        <w:rPr>
          <w:rFonts w:ascii="Cambria" w:hAnsi="Cambria" w:cs="Arial"/>
          <w:sz w:val="20"/>
          <w:szCs w:val="20"/>
          <w:lang w:val="es-CO"/>
        </w:rPr>
        <w:t xml:space="preserve">una huelga de hambre </w:t>
      </w:r>
      <w:r w:rsidR="00041B5B" w:rsidRPr="00845503">
        <w:rPr>
          <w:rFonts w:ascii="Cambria" w:hAnsi="Cambria" w:cs="Arial"/>
          <w:sz w:val="20"/>
          <w:szCs w:val="20"/>
          <w:lang w:val="es-CO"/>
        </w:rPr>
        <w:t>exigiendo</w:t>
      </w:r>
      <w:r w:rsidR="00EE7FF9" w:rsidRPr="00845503">
        <w:rPr>
          <w:rFonts w:ascii="Cambria" w:hAnsi="Cambria" w:cs="Arial"/>
          <w:sz w:val="20"/>
          <w:szCs w:val="20"/>
          <w:lang w:val="es-CO"/>
        </w:rPr>
        <w:t xml:space="preserve"> respuesta al recurso de </w:t>
      </w:r>
      <w:r w:rsidR="00181AD5" w:rsidRPr="00845503">
        <w:rPr>
          <w:rFonts w:ascii="Cambria" w:hAnsi="Cambria" w:cs="Arial"/>
          <w:sz w:val="20"/>
          <w:szCs w:val="20"/>
          <w:lang w:val="es-CO"/>
        </w:rPr>
        <w:t>casación interpuesto en su caso.</w:t>
      </w:r>
      <w:r w:rsidR="002C7CD1" w:rsidRPr="00845503">
        <w:rPr>
          <w:rFonts w:ascii="Cambria" w:hAnsi="Cambria" w:cs="Arial"/>
          <w:sz w:val="20"/>
          <w:szCs w:val="20"/>
          <w:lang w:val="es-CO"/>
        </w:rPr>
        <w:t xml:space="preserve"> La huelga </w:t>
      </w:r>
      <w:r w:rsidR="00EE7FF9" w:rsidRPr="00845503">
        <w:rPr>
          <w:rFonts w:ascii="Cambria" w:hAnsi="Cambria" w:cs="Arial"/>
          <w:sz w:val="20"/>
          <w:szCs w:val="20"/>
          <w:lang w:val="es-CO"/>
        </w:rPr>
        <w:t>debilit</w:t>
      </w:r>
      <w:r w:rsidR="002C7CD1" w:rsidRPr="00845503">
        <w:rPr>
          <w:rFonts w:ascii="Cambria" w:hAnsi="Cambria" w:cs="Arial"/>
          <w:sz w:val="20"/>
          <w:szCs w:val="20"/>
          <w:lang w:val="es-CO"/>
        </w:rPr>
        <w:t>ó</w:t>
      </w:r>
      <w:r w:rsidR="00EE7FF9" w:rsidRPr="00845503">
        <w:rPr>
          <w:rFonts w:ascii="Cambria" w:hAnsi="Cambria" w:cs="Arial"/>
          <w:sz w:val="20"/>
          <w:szCs w:val="20"/>
          <w:lang w:val="es-CO"/>
        </w:rPr>
        <w:t xml:space="preserve"> su estado de salud</w:t>
      </w:r>
      <w:r w:rsidR="00041B5B" w:rsidRPr="00845503">
        <w:rPr>
          <w:rFonts w:ascii="Cambria" w:hAnsi="Cambria" w:cs="Arial"/>
          <w:sz w:val="20"/>
          <w:szCs w:val="20"/>
          <w:lang w:val="es-CO"/>
        </w:rPr>
        <w:t xml:space="preserve"> y causó la </w:t>
      </w:r>
      <w:r w:rsidR="00AC5C81" w:rsidRPr="00845503">
        <w:rPr>
          <w:rFonts w:ascii="Cambria" w:hAnsi="Cambria" w:cs="Arial"/>
          <w:sz w:val="20"/>
          <w:szCs w:val="20"/>
          <w:lang w:val="es-CO"/>
        </w:rPr>
        <w:t>pérdida</w:t>
      </w:r>
      <w:r w:rsidR="00041B5B" w:rsidRPr="00845503">
        <w:rPr>
          <w:rFonts w:ascii="Cambria" w:hAnsi="Cambria" w:cs="Arial"/>
          <w:sz w:val="20"/>
          <w:szCs w:val="20"/>
          <w:lang w:val="es-CO"/>
        </w:rPr>
        <w:t xml:space="preserve"> de más de 9 kilos</w:t>
      </w:r>
      <w:r w:rsidR="002C7CD1" w:rsidRPr="00845503">
        <w:rPr>
          <w:rFonts w:ascii="Cambria" w:hAnsi="Cambria" w:cs="Arial"/>
          <w:sz w:val="20"/>
          <w:szCs w:val="20"/>
          <w:lang w:val="es-CO"/>
        </w:rPr>
        <w:t>, por lo que</w:t>
      </w:r>
      <w:r w:rsidR="00EE7FF9" w:rsidRPr="00845503">
        <w:rPr>
          <w:rFonts w:ascii="Cambria" w:hAnsi="Cambria" w:cs="Arial"/>
          <w:sz w:val="20"/>
          <w:szCs w:val="20"/>
          <w:lang w:val="es-CO"/>
        </w:rPr>
        <w:t xml:space="preserve"> fue trasladada desde la prisión de mujeres al Ho</w:t>
      </w:r>
      <w:r w:rsidR="00041B5B" w:rsidRPr="00845503">
        <w:rPr>
          <w:rFonts w:ascii="Cambria" w:hAnsi="Cambria" w:cs="Arial"/>
          <w:sz w:val="20"/>
          <w:szCs w:val="20"/>
          <w:lang w:val="es-CO"/>
        </w:rPr>
        <w:t>spital Militar Carlos J. Finlay</w:t>
      </w:r>
      <w:r w:rsidR="000E2809" w:rsidRPr="00845503">
        <w:rPr>
          <w:rStyle w:val="FootnoteReference"/>
          <w:rFonts w:ascii="Cambria" w:hAnsi="Cambria" w:cs="Arial"/>
          <w:sz w:val="20"/>
          <w:szCs w:val="20"/>
          <w:lang w:val="es-CO"/>
        </w:rPr>
        <w:footnoteReference w:id="46"/>
      </w:r>
      <w:r w:rsidR="00EE7FF9" w:rsidRPr="00845503">
        <w:rPr>
          <w:rFonts w:ascii="Cambria" w:hAnsi="Cambria" w:cs="Arial"/>
          <w:sz w:val="20"/>
          <w:szCs w:val="20"/>
          <w:lang w:val="es-CO"/>
        </w:rPr>
        <w:t xml:space="preserve">. </w:t>
      </w:r>
      <w:r w:rsidR="00041B5B" w:rsidRPr="00845503">
        <w:rPr>
          <w:rFonts w:ascii="Cambria" w:hAnsi="Cambria" w:cs="Arial"/>
          <w:sz w:val="20"/>
          <w:szCs w:val="20"/>
          <w:lang w:val="es-CO"/>
        </w:rPr>
        <w:t xml:space="preserve"> </w:t>
      </w:r>
    </w:p>
    <w:p w:rsidR="00041B5B" w:rsidRPr="00845503" w:rsidRDefault="00041B5B" w:rsidP="00041B5B">
      <w:pPr>
        <w:pStyle w:val="ListParagraph"/>
        <w:rPr>
          <w:rFonts w:cs="Arial"/>
          <w:sz w:val="20"/>
          <w:szCs w:val="20"/>
          <w:lang w:val="es-CO"/>
        </w:rPr>
      </w:pPr>
    </w:p>
    <w:p w:rsidR="000D60FF" w:rsidRPr="00845503" w:rsidRDefault="000D60FF"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CO"/>
        </w:rPr>
      </w:pPr>
      <w:r w:rsidRPr="00845503">
        <w:rPr>
          <w:rFonts w:ascii="Cambria" w:hAnsi="Cambria" w:cs="Arial"/>
          <w:sz w:val="20"/>
          <w:szCs w:val="20"/>
          <w:lang w:val="es-CO"/>
        </w:rPr>
        <w:t>Cuando Félix Bonne Carcasses fue</w:t>
      </w:r>
      <w:r w:rsidR="00EE7FF9" w:rsidRPr="00845503">
        <w:rPr>
          <w:rFonts w:ascii="Cambria" w:hAnsi="Cambria" w:cs="Arial"/>
          <w:sz w:val="20"/>
          <w:szCs w:val="20"/>
          <w:lang w:val="es-CO"/>
        </w:rPr>
        <w:t xml:space="preserve"> </w:t>
      </w:r>
      <w:r w:rsidR="00181AD5" w:rsidRPr="00845503">
        <w:rPr>
          <w:rFonts w:ascii="Cambria" w:hAnsi="Cambria" w:cs="Arial"/>
          <w:sz w:val="20"/>
          <w:szCs w:val="20"/>
          <w:lang w:val="es-CO"/>
        </w:rPr>
        <w:t>detenido a los 59 años de edad</w:t>
      </w:r>
      <w:r w:rsidRPr="00845503">
        <w:rPr>
          <w:rFonts w:ascii="Cambria" w:hAnsi="Cambria" w:cs="Arial"/>
          <w:sz w:val="20"/>
          <w:szCs w:val="20"/>
          <w:lang w:val="es-CO"/>
        </w:rPr>
        <w:t xml:space="preserve"> padecía</w:t>
      </w:r>
      <w:r w:rsidR="00181AD5" w:rsidRPr="00845503">
        <w:rPr>
          <w:rFonts w:ascii="Cambria" w:hAnsi="Cambria" w:cs="Arial"/>
          <w:sz w:val="20"/>
          <w:szCs w:val="20"/>
          <w:lang w:val="es-CO"/>
        </w:rPr>
        <w:t xml:space="preserve"> </w:t>
      </w:r>
      <w:r w:rsidR="00EE7FF9" w:rsidRPr="00845503">
        <w:rPr>
          <w:rFonts w:ascii="Cambria" w:hAnsi="Cambria" w:cs="Arial"/>
          <w:sz w:val="20"/>
          <w:szCs w:val="20"/>
          <w:lang w:val="es-CO"/>
        </w:rPr>
        <w:t xml:space="preserve">de </w:t>
      </w:r>
      <w:r w:rsidR="008D0773" w:rsidRPr="00845503">
        <w:rPr>
          <w:rFonts w:ascii="Cambria" w:hAnsi="Cambria" w:cs="Arial"/>
          <w:sz w:val="20"/>
          <w:szCs w:val="20"/>
          <w:lang w:val="es-CO"/>
        </w:rPr>
        <w:t>asma</w:t>
      </w:r>
      <w:r w:rsidR="001F7D66" w:rsidRPr="00845503">
        <w:rPr>
          <w:rFonts w:ascii="Cambria" w:hAnsi="Cambria" w:cs="Arial"/>
          <w:sz w:val="20"/>
          <w:szCs w:val="20"/>
          <w:lang w:val="es-CO"/>
        </w:rPr>
        <w:t xml:space="preserve"> </w:t>
      </w:r>
      <w:r w:rsidR="00EE7FF9" w:rsidRPr="00845503">
        <w:rPr>
          <w:rFonts w:ascii="Cambria" w:hAnsi="Cambria" w:cs="Arial"/>
          <w:sz w:val="20"/>
          <w:szCs w:val="20"/>
          <w:lang w:val="es-CO"/>
        </w:rPr>
        <w:t>y diabetes</w:t>
      </w:r>
      <w:r w:rsidR="00181AD5" w:rsidRPr="00845503">
        <w:rPr>
          <w:rFonts w:ascii="Cambria" w:hAnsi="Cambria" w:cs="Arial"/>
          <w:sz w:val="20"/>
          <w:szCs w:val="20"/>
          <w:lang w:val="es-CO"/>
        </w:rPr>
        <w:t xml:space="preserve">. </w:t>
      </w:r>
      <w:r w:rsidR="00EE7FF9" w:rsidRPr="00845503">
        <w:rPr>
          <w:rFonts w:ascii="Cambria" w:hAnsi="Cambria" w:cs="Arial"/>
          <w:sz w:val="20"/>
          <w:szCs w:val="20"/>
          <w:lang w:val="es-CO"/>
        </w:rPr>
        <w:t xml:space="preserve"> </w:t>
      </w:r>
      <w:r w:rsidR="00B35AA9" w:rsidRPr="00845503">
        <w:rPr>
          <w:rFonts w:ascii="Cambria" w:hAnsi="Cambria" w:cs="Arial"/>
          <w:sz w:val="20"/>
          <w:szCs w:val="20"/>
          <w:lang w:val="es-CO"/>
        </w:rPr>
        <w:t>Durante sus 4 años de detención no recibió atención médica adecuada</w:t>
      </w:r>
      <w:r w:rsidR="00F27B75" w:rsidRPr="00845503">
        <w:rPr>
          <w:rFonts w:ascii="Cambria" w:hAnsi="Cambria" w:cs="Arial"/>
          <w:sz w:val="20"/>
          <w:szCs w:val="20"/>
          <w:lang w:val="es-CO"/>
        </w:rPr>
        <w:t xml:space="preserve">. </w:t>
      </w:r>
      <w:r w:rsidR="00B35AA9" w:rsidRPr="00845503">
        <w:rPr>
          <w:rFonts w:ascii="Cambria" w:hAnsi="Cambria" w:cs="Arial"/>
          <w:sz w:val="20"/>
          <w:szCs w:val="20"/>
          <w:lang w:val="es-CO"/>
        </w:rPr>
        <w:t xml:space="preserve">La celda en la que se encontraba era pequeña y húmeda. </w:t>
      </w:r>
      <w:r w:rsidR="00F82DE2" w:rsidRPr="00845503">
        <w:rPr>
          <w:rFonts w:ascii="Cambria" w:hAnsi="Cambria" w:cs="Arial"/>
          <w:sz w:val="20"/>
          <w:szCs w:val="20"/>
          <w:lang w:val="es-CO"/>
        </w:rPr>
        <w:t xml:space="preserve">Sufría inflamación en las piernas que le impedían el movimiento. </w:t>
      </w:r>
      <w:r w:rsidR="002C7CD1" w:rsidRPr="00845503">
        <w:rPr>
          <w:rFonts w:ascii="Cambria" w:hAnsi="Cambria" w:cs="Arial"/>
          <w:sz w:val="20"/>
          <w:szCs w:val="20"/>
          <w:lang w:val="es-CO"/>
        </w:rPr>
        <w:t xml:space="preserve">Las </w:t>
      </w:r>
      <w:r w:rsidR="00EE7FF9" w:rsidRPr="00845503">
        <w:rPr>
          <w:rFonts w:ascii="Cambria" w:hAnsi="Cambria" w:cs="Arial"/>
          <w:sz w:val="20"/>
          <w:szCs w:val="20"/>
          <w:lang w:val="es-CO"/>
        </w:rPr>
        <w:t>condiciones de la detención empeoraron su estado de salud</w:t>
      </w:r>
      <w:r w:rsidR="00C65903" w:rsidRPr="00845503">
        <w:rPr>
          <w:rFonts w:ascii="Cambria" w:hAnsi="Cambria" w:cs="Arial"/>
          <w:sz w:val="20"/>
          <w:szCs w:val="20"/>
          <w:lang w:val="es-CO"/>
        </w:rPr>
        <w:t xml:space="preserve"> por lo que tuvo que ser trasladado al Hospital Militar</w:t>
      </w:r>
      <w:r w:rsidR="000B0D08" w:rsidRPr="00845503">
        <w:rPr>
          <w:rStyle w:val="FootnoteReference"/>
          <w:rFonts w:ascii="Cambria" w:hAnsi="Cambria" w:cs="Arial"/>
          <w:sz w:val="20"/>
          <w:szCs w:val="20"/>
          <w:lang w:val="es-CO"/>
        </w:rPr>
        <w:footnoteReference w:id="47"/>
      </w:r>
      <w:r w:rsidR="00C65903" w:rsidRPr="00845503">
        <w:rPr>
          <w:rFonts w:ascii="Cambria" w:hAnsi="Cambria" w:cs="Arial"/>
          <w:sz w:val="20"/>
          <w:szCs w:val="20"/>
          <w:lang w:val="es-CO"/>
        </w:rPr>
        <w:t xml:space="preserve">.  </w:t>
      </w:r>
    </w:p>
    <w:p w:rsidR="000D60FF" w:rsidRPr="00845503" w:rsidRDefault="000D60FF" w:rsidP="000D60FF">
      <w:pPr>
        <w:pStyle w:val="ListParagraph"/>
        <w:rPr>
          <w:rFonts w:cs="Arial"/>
          <w:sz w:val="20"/>
          <w:szCs w:val="20"/>
          <w:lang w:val="es-CO"/>
        </w:rPr>
      </w:pPr>
    </w:p>
    <w:p w:rsidR="00B869A2" w:rsidRPr="00845503" w:rsidRDefault="00B35AA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cs="Arial"/>
          <w:sz w:val="20"/>
          <w:szCs w:val="20"/>
          <w:lang w:val="es-CO"/>
        </w:rPr>
        <w:t xml:space="preserve">Vladimiro Roca sufrió problemas </w:t>
      </w:r>
      <w:r w:rsidR="00F82DE2" w:rsidRPr="00845503">
        <w:rPr>
          <w:rFonts w:ascii="Cambria" w:hAnsi="Cambria" w:cs="Arial"/>
          <w:sz w:val="20"/>
          <w:szCs w:val="20"/>
          <w:lang w:val="es-CO"/>
        </w:rPr>
        <w:t>de salud digestiva</w:t>
      </w:r>
      <w:r w:rsidR="000D60FF" w:rsidRPr="00845503">
        <w:rPr>
          <w:rFonts w:ascii="Cambria" w:hAnsi="Cambria" w:cs="Arial"/>
          <w:sz w:val="20"/>
          <w:szCs w:val="20"/>
          <w:lang w:val="es-CO"/>
        </w:rPr>
        <w:t xml:space="preserve"> durante su detención</w:t>
      </w:r>
      <w:r w:rsidRPr="00845503">
        <w:rPr>
          <w:rFonts w:ascii="Cambria" w:hAnsi="Cambria" w:cs="Arial"/>
          <w:sz w:val="20"/>
          <w:szCs w:val="20"/>
          <w:lang w:val="es-CO"/>
        </w:rPr>
        <w:t xml:space="preserve"> </w:t>
      </w:r>
      <w:r w:rsidR="000D60FF" w:rsidRPr="00845503">
        <w:rPr>
          <w:rFonts w:ascii="Cambria" w:hAnsi="Cambria" w:cs="Arial"/>
          <w:sz w:val="20"/>
          <w:szCs w:val="20"/>
          <w:lang w:val="es-CO"/>
        </w:rPr>
        <w:t xml:space="preserve">y no recibió atención médica adecuada. Estuvo detenido en la </w:t>
      </w:r>
      <w:r w:rsidR="005052A7" w:rsidRPr="00845503">
        <w:rPr>
          <w:rFonts w:ascii="Cambria" w:hAnsi="Cambria" w:cs="Arial"/>
          <w:sz w:val="20"/>
          <w:szCs w:val="20"/>
          <w:lang w:val="es-CO"/>
        </w:rPr>
        <w:t xml:space="preserve">prisión Ariza en la provincia de Cienfuegos </w:t>
      </w:r>
      <w:r w:rsidR="000D60FF" w:rsidRPr="00845503">
        <w:rPr>
          <w:rFonts w:ascii="Cambria" w:hAnsi="Cambria" w:cs="Arial"/>
          <w:sz w:val="20"/>
          <w:szCs w:val="20"/>
          <w:lang w:val="es-CO"/>
        </w:rPr>
        <w:t xml:space="preserve">con personas condenadas o procesadas por delitos comunes. </w:t>
      </w:r>
      <w:r w:rsidRPr="00845503">
        <w:rPr>
          <w:rFonts w:ascii="Cambria" w:hAnsi="Cambria" w:cs="Arial"/>
          <w:sz w:val="20"/>
          <w:szCs w:val="20"/>
          <w:lang w:val="es-CO"/>
        </w:rPr>
        <w:t xml:space="preserve">René Gómez fue recluido en </w:t>
      </w:r>
      <w:r w:rsidR="002E536D" w:rsidRPr="00845503">
        <w:rPr>
          <w:rFonts w:ascii="Cambria" w:hAnsi="Cambria" w:cs="Arial"/>
          <w:sz w:val="20"/>
          <w:szCs w:val="20"/>
          <w:lang w:val="es-CO"/>
        </w:rPr>
        <w:t>la</w:t>
      </w:r>
      <w:r w:rsidRPr="00845503">
        <w:rPr>
          <w:rFonts w:ascii="Cambria" w:hAnsi="Cambria" w:cs="Arial"/>
          <w:sz w:val="20"/>
          <w:szCs w:val="20"/>
          <w:lang w:val="es-CO"/>
        </w:rPr>
        <w:t xml:space="preserve"> prisión de máxima seguridad </w:t>
      </w:r>
      <w:r w:rsidR="005052A7" w:rsidRPr="00845503">
        <w:rPr>
          <w:rFonts w:ascii="Cambria" w:hAnsi="Cambria" w:cs="Arial"/>
          <w:sz w:val="20"/>
          <w:szCs w:val="20"/>
          <w:lang w:val="es-CO"/>
        </w:rPr>
        <w:t xml:space="preserve">Agüica en la provincia de Matanzas </w:t>
      </w:r>
      <w:r w:rsidRPr="00845503">
        <w:rPr>
          <w:rFonts w:ascii="Cambria" w:hAnsi="Cambria" w:cs="Arial"/>
          <w:sz w:val="20"/>
          <w:szCs w:val="20"/>
          <w:lang w:val="es-CO"/>
        </w:rPr>
        <w:t>con presos comunes quienes lo golpearon y posteriormente fue puesto en régimen de aislamiento por cuestiones de salud</w:t>
      </w:r>
      <w:r w:rsidR="000B0D08" w:rsidRPr="00845503">
        <w:rPr>
          <w:rStyle w:val="FootnoteReference"/>
          <w:rFonts w:ascii="Cambria" w:hAnsi="Cambria" w:cs="Arial"/>
          <w:sz w:val="20"/>
          <w:szCs w:val="20"/>
          <w:lang w:val="es-CO"/>
        </w:rPr>
        <w:footnoteReference w:id="48"/>
      </w:r>
      <w:r w:rsidRPr="00845503">
        <w:rPr>
          <w:rFonts w:ascii="Cambria" w:hAnsi="Cambria" w:cs="Arial"/>
          <w:sz w:val="20"/>
          <w:szCs w:val="20"/>
          <w:lang w:val="es-CO"/>
        </w:rPr>
        <w:t>.</w:t>
      </w:r>
      <w:r w:rsidR="00023F67" w:rsidRPr="00845503">
        <w:rPr>
          <w:rFonts w:ascii="Cambria" w:hAnsi="Cambria" w:cs="Arial"/>
          <w:sz w:val="20"/>
          <w:szCs w:val="20"/>
          <w:lang w:val="es-CO"/>
        </w:rPr>
        <w:t xml:space="preserve"> </w:t>
      </w:r>
      <w:r w:rsidR="003F4B94" w:rsidRPr="00845503">
        <w:rPr>
          <w:rFonts w:ascii="Cambria" w:hAnsi="Cambria"/>
          <w:sz w:val="20"/>
          <w:szCs w:val="20"/>
          <w:lang w:val="es-CO"/>
        </w:rPr>
        <w:t xml:space="preserve"> </w:t>
      </w:r>
    </w:p>
    <w:p w:rsidR="00B869A2" w:rsidRPr="00845503" w:rsidRDefault="00B869A2" w:rsidP="00B869A2">
      <w:pPr>
        <w:pStyle w:val="ListParagraph"/>
        <w:rPr>
          <w:sz w:val="20"/>
          <w:szCs w:val="20"/>
          <w:lang w:val="es-CO"/>
        </w:rPr>
      </w:pPr>
    </w:p>
    <w:p w:rsidR="006B47B4" w:rsidRPr="00845503" w:rsidRDefault="003F4B94"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t>E</w:t>
      </w:r>
      <w:r w:rsidR="00023F67" w:rsidRPr="00845503">
        <w:rPr>
          <w:rFonts w:ascii="Cambria" w:hAnsi="Cambria"/>
          <w:sz w:val="20"/>
          <w:szCs w:val="20"/>
          <w:lang w:val="es-CO"/>
        </w:rPr>
        <w:t xml:space="preserve">l 12 de mayo de 2000, Félix Bonne Carcassés fue liberado, que el 15 de mayo de 2000 liberaron a </w:t>
      </w:r>
      <w:r w:rsidR="00967821" w:rsidRPr="00845503">
        <w:rPr>
          <w:rFonts w:ascii="Cambria" w:hAnsi="Cambria"/>
          <w:sz w:val="20"/>
          <w:szCs w:val="20"/>
          <w:lang w:val="es-CO"/>
        </w:rPr>
        <w:t>Martha</w:t>
      </w:r>
      <w:r w:rsidR="00023F67" w:rsidRPr="00845503">
        <w:rPr>
          <w:rFonts w:ascii="Cambria" w:hAnsi="Cambria"/>
          <w:sz w:val="20"/>
          <w:szCs w:val="20"/>
          <w:lang w:val="es-CO"/>
        </w:rPr>
        <w:t xml:space="preserve"> Beatriz Roque Cabello</w:t>
      </w:r>
      <w:r w:rsidR="00023F67" w:rsidRPr="00845503">
        <w:rPr>
          <w:rStyle w:val="FootnoteReference"/>
          <w:rFonts w:ascii="Cambria" w:hAnsi="Cambria"/>
          <w:sz w:val="20"/>
          <w:szCs w:val="20"/>
          <w:lang w:val="es-CO"/>
        </w:rPr>
        <w:footnoteReference w:id="49"/>
      </w:r>
      <w:r w:rsidR="00023F67" w:rsidRPr="00845503">
        <w:rPr>
          <w:rFonts w:ascii="Cambria" w:hAnsi="Cambria"/>
          <w:sz w:val="20"/>
          <w:szCs w:val="20"/>
          <w:lang w:val="es-CO"/>
        </w:rPr>
        <w:t>, y el 23 de mayo de 2000 fue liberado René Gómez Manzano. Todos con libertad condicional. Asimismo, el 6 de mayo de 2002 habría sido liberado Vladimiro Roca Antúnez.</w:t>
      </w:r>
    </w:p>
    <w:p w:rsidR="00B869A2" w:rsidRPr="00845503" w:rsidRDefault="00B869A2" w:rsidP="007F29B6">
      <w:pPr>
        <w:rPr>
          <w:rFonts w:ascii="Cambria" w:hAnsi="Cambria" w:cs="Arial"/>
          <w:b/>
          <w:sz w:val="20"/>
          <w:szCs w:val="20"/>
          <w:lang w:val="es-CO"/>
        </w:rPr>
      </w:pPr>
    </w:p>
    <w:p w:rsidR="00576EB4" w:rsidRPr="00845503" w:rsidRDefault="007D6232" w:rsidP="009C22C5">
      <w:pPr>
        <w:pStyle w:val="Heading3"/>
        <w:numPr>
          <w:ilvl w:val="0"/>
          <w:numId w:val="66"/>
        </w:numPr>
        <w:spacing w:before="0" w:after="0"/>
        <w:ind w:left="1440" w:hanging="720"/>
        <w:jc w:val="both"/>
        <w:rPr>
          <w:rFonts w:ascii="Cambria" w:hAnsi="Cambria"/>
          <w:sz w:val="20"/>
          <w:szCs w:val="20"/>
          <w:lang w:val="es-CO"/>
        </w:rPr>
      </w:pPr>
      <w:bookmarkStart w:id="11" w:name="_Toc505951344"/>
      <w:r w:rsidRPr="00845503">
        <w:rPr>
          <w:rFonts w:ascii="Cambria" w:hAnsi="Cambria"/>
          <w:sz w:val="20"/>
          <w:szCs w:val="20"/>
          <w:lang w:val="es-CO"/>
        </w:rPr>
        <w:t>S</w:t>
      </w:r>
      <w:r w:rsidR="00576EB4" w:rsidRPr="00845503">
        <w:rPr>
          <w:rFonts w:ascii="Cambria" w:hAnsi="Cambria"/>
          <w:sz w:val="20"/>
          <w:szCs w:val="20"/>
          <w:lang w:val="es-CO"/>
        </w:rPr>
        <w:t>obre</w:t>
      </w:r>
      <w:r w:rsidR="00FD73D2" w:rsidRPr="00845503">
        <w:rPr>
          <w:rFonts w:ascii="Cambria" w:hAnsi="Cambria"/>
          <w:sz w:val="20"/>
          <w:szCs w:val="20"/>
          <w:lang w:val="es-CO"/>
        </w:rPr>
        <w:t xml:space="preserve"> </w:t>
      </w:r>
      <w:r w:rsidR="000E2809" w:rsidRPr="00845503">
        <w:rPr>
          <w:rFonts w:ascii="Cambria" w:hAnsi="Cambria"/>
          <w:sz w:val="20"/>
          <w:szCs w:val="20"/>
          <w:lang w:val="es-CO"/>
        </w:rPr>
        <w:t xml:space="preserve">el contexto de </w:t>
      </w:r>
      <w:r w:rsidR="00613F0D" w:rsidRPr="00845503">
        <w:rPr>
          <w:rFonts w:ascii="Cambria" w:hAnsi="Cambria"/>
          <w:sz w:val="20"/>
          <w:szCs w:val="20"/>
          <w:lang w:val="es-CO"/>
        </w:rPr>
        <w:t>d</w:t>
      </w:r>
      <w:r w:rsidR="00577DE2" w:rsidRPr="00845503">
        <w:rPr>
          <w:rFonts w:ascii="Cambria" w:hAnsi="Cambria"/>
          <w:sz w:val="20"/>
          <w:szCs w:val="20"/>
          <w:lang w:val="es-CO"/>
        </w:rPr>
        <w:t>iscriminación por motivos políticos, en relación con la falta de libertad de expresión, asociación y reunión en Cuba</w:t>
      </w:r>
      <w:bookmarkEnd w:id="11"/>
    </w:p>
    <w:p w:rsidR="000740A6" w:rsidRPr="00845503" w:rsidRDefault="000740A6" w:rsidP="0046202E">
      <w:pPr>
        <w:jc w:val="both"/>
        <w:rPr>
          <w:rFonts w:ascii="Cambria" w:hAnsi="Cambria"/>
          <w:b/>
          <w:sz w:val="20"/>
          <w:szCs w:val="20"/>
          <w:lang w:val="es-CO"/>
        </w:rPr>
      </w:pPr>
    </w:p>
    <w:p w:rsidR="006A7EB2" w:rsidRPr="00845503" w:rsidRDefault="00F304C4"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cs="Arial"/>
          <w:sz w:val="20"/>
          <w:szCs w:val="20"/>
          <w:lang w:val="es-CO"/>
        </w:rPr>
        <w:t>En su informe anual de 1997</w:t>
      </w:r>
      <w:r w:rsidR="006A7EB2" w:rsidRPr="00845503">
        <w:rPr>
          <w:rFonts w:ascii="Cambria" w:hAnsi="Cambria" w:cs="Arial"/>
          <w:sz w:val="20"/>
          <w:szCs w:val="20"/>
          <w:lang w:val="es-CO"/>
        </w:rPr>
        <w:t>,</w:t>
      </w:r>
      <w:r w:rsidRPr="00845503">
        <w:rPr>
          <w:rFonts w:ascii="Cambria" w:hAnsi="Cambria" w:cs="Arial"/>
          <w:sz w:val="20"/>
          <w:szCs w:val="20"/>
          <w:lang w:val="es-CO"/>
        </w:rPr>
        <w:t xml:space="preserve"> la CIDH </w:t>
      </w:r>
      <w:r w:rsidR="00577DE2" w:rsidRPr="00845503">
        <w:rPr>
          <w:rFonts w:ascii="Cambria" w:hAnsi="Cambria" w:cs="Arial"/>
          <w:sz w:val="20"/>
          <w:szCs w:val="20"/>
          <w:lang w:val="es-CO"/>
        </w:rPr>
        <w:t>evaluó la situación de derechos humanos en Cuba y prestó particular atención a las denuncias de discriminación por motivos políticos en relación con la falta de libertad de expresión, asociación, y reunión</w:t>
      </w:r>
      <w:r w:rsidR="00613F0D" w:rsidRPr="00845503">
        <w:rPr>
          <w:rStyle w:val="FootnoteReference"/>
          <w:rFonts w:ascii="Cambria" w:hAnsi="Cambria" w:cs="Arial"/>
          <w:sz w:val="20"/>
          <w:szCs w:val="20"/>
          <w:lang w:val="es-CO"/>
        </w:rPr>
        <w:footnoteReference w:id="50"/>
      </w:r>
      <w:r w:rsidR="00577DE2" w:rsidRPr="00845503">
        <w:rPr>
          <w:rFonts w:ascii="Cambria" w:hAnsi="Cambria" w:cs="Arial"/>
          <w:sz w:val="20"/>
          <w:szCs w:val="20"/>
          <w:lang w:val="es-CO"/>
        </w:rPr>
        <w:t xml:space="preserve">. En dicho informe la Comisión Interamericana </w:t>
      </w:r>
      <w:r w:rsidRPr="00845503">
        <w:rPr>
          <w:rFonts w:ascii="Cambria" w:hAnsi="Cambria"/>
          <w:sz w:val="20"/>
          <w:szCs w:val="20"/>
          <w:lang w:val="es-CO"/>
        </w:rPr>
        <w:t xml:space="preserve">manifestó </w:t>
      </w:r>
      <w:r w:rsidR="00577DE2" w:rsidRPr="00845503">
        <w:rPr>
          <w:rFonts w:ascii="Cambria" w:hAnsi="Cambria"/>
          <w:sz w:val="20"/>
          <w:szCs w:val="20"/>
          <w:lang w:val="es-CO"/>
        </w:rPr>
        <w:t xml:space="preserve">su </w:t>
      </w:r>
      <w:r w:rsidR="00986082" w:rsidRPr="00845503">
        <w:rPr>
          <w:rFonts w:ascii="Cambria" w:hAnsi="Cambria"/>
          <w:sz w:val="20"/>
          <w:szCs w:val="20"/>
          <w:lang w:val="es-CO"/>
        </w:rPr>
        <w:lastRenderedPageBreak/>
        <w:t xml:space="preserve">preocupación </w:t>
      </w:r>
      <w:r w:rsidR="00577DE2" w:rsidRPr="00845503">
        <w:rPr>
          <w:rFonts w:ascii="Cambria" w:hAnsi="Cambria"/>
          <w:sz w:val="20"/>
          <w:szCs w:val="20"/>
          <w:lang w:val="es-CO"/>
        </w:rPr>
        <w:t xml:space="preserve">por el hecho de </w:t>
      </w:r>
      <w:r w:rsidR="00986082" w:rsidRPr="00845503">
        <w:rPr>
          <w:rFonts w:ascii="Cambria" w:hAnsi="Cambria"/>
          <w:sz w:val="20"/>
          <w:szCs w:val="20"/>
          <w:lang w:val="es-CO"/>
        </w:rPr>
        <w:t xml:space="preserve">que </w:t>
      </w:r>
      <w:r w:rsidR="00577DE2" w:rsidRPr="00845503">
        <w:rPr>
          <w:rFonts w:ascii="Cambria" w:hAnsi="Cambria"/>
          <w:sz w:val="20"/>
          <w:szCs w:val="20"/>
          <w:lang w:val="es-CO"/>
        </w:rPr>
        <w:t>“</w:t>
      </w:r>
      <w:r w:rsidR="00986082" w:rsidRPr="00845503">
        <w:rPr>
          <w:rFonts w:ascii="Cambria" w:hAnsi="Cambria"/>
          <w:sz w:val="20"/>
          <w:szCs w:val="20"/>
          <w:lang w:val="es-CO"/>
        </w:rPr>
        <w:t>las denuncias de discriminación por motivos políticos y las violaciones sistemáticas a la libertad de expresión y asociación no han cesado”</w:t>
      </w:r>
      <w:r w:rsidR="0061221C" w:rsidRPr="00845503">
        <w:rPr>
          <w:rStyle w:val="FootnoteReference"/>
          <w:rFonts w:ascii="Cambria" w:hAnsi="Cambria"/>
          <w:sz w:val="20"/>
          <w:szCs w:val="20"/>
          <w:lang w:val="es-CO"/>
        </w:rPr>
        <w:footnoteReference w:id="51"/>
      </w:r>
      <w:r w:rsidR="00986082" w:rsidRPr="00845503">
        <w:rPr>
          <w:rFonts w:ascii="Cambria" w:hAnsi="Cambria"/>
          <w:sz w:val="20"/>
          <w:szCs w:val="20"/>
          <w:lang w:val="es-CO"/>
        </w:rPr>
        <w:t>. Al respecto, indic</w:t>
      </w:r>
      <w:r w:rsidR="001C78E1" w:rsidRPr="00845503">
        <w:rPr>
          <w:rFonts w:ascii="Cambria" w:hAnsi="Cambria"/>
          <w:sz w:val="20"/>
          <w:szCs w:val="20"/>
          <w:lang w:val="es-CO"/>
        </w:rPr>
        <w:t>ó</w:t>
      </w:r>
      <w:r w:rsidR="00986082" w:rsidRPr="00845503">
        <w:rPr>
          <w:rFonts w:ascii="Cambria" w:hAnsi="Cambria"/>
          <w:sz w:val="20"/>
          <w:szCs w:val="20"/>
          <w:lang w:val="es-CO"/>
        </w:rPr>
        <w:t xml:space="preserve"> que:</w:t>
      </w:r>
    </w:p>
    <w:p w:rsidR="006A7EB2" w:rsidRPr="00845503" w:rsidRDefault="006A7EB2" w:rsidP="006A7EB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rsidR="006A7EB2" w:rsidRPr="00845503" w:rsidRDefault="00F304C4" w:rsidP="0082244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CO"/>
        </w:rPr>
      </w:pPr>
      <w:r w:rsidRPr="00845503">
        <w:rPr>
          <w:rFonts w:ascii="Cambria" w:hAnsi="Cambria"/>
          <w:sz w:val="20"/>
          <w:szCs w:val="20"/>
          <w:lang w:val="es-CO"/>
        </w:rPr>
        <w:t>Este tipo de violaciones se ha institucionalizado como una política del Estado cubano para impedir cualquier posición crítica contraria al régimen o a la situación política, laboral, educacional, etc</w:t>
      </w:r>
      <w:r w:rsidR="006A7EB2" w:rsidRPr="00845503">
        <w:rPr>
          <w:rFonts w:ascii="Cambria" w:hAnsi="Cambria"/>
          <w:sz w:val="20"/>
          <w:szCs w:val="20"/>
          <w:lang w:val="es-CO"/>
        </w:rPr>
        <w:t xml:space="preserve">. </w:t>
      </w:r>
    </w:p>
    <w:p w:rsidR="006A7EB2" w:rsidRPr="00845503" w:rsidRDefault="006A7EB2" w:rsidP="0082244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CO"/>
        </w:rPr>
      </w:pPr>
    </w:p>
    <w:p w:rsidR="006A7EB2" w:rsidRPr="00845503" w:rsidRDefault="00F304C4" w:rsidP="0082244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CO"/>
        </w:rPr>
      </w:pPr>
      <w:r w:rsidRPr="00845503">
        <w:rPr>
          <w:rFonts w:ascii="Cambria" w:hAnsi="Cambria"/>
          <w:sz w:val="20"/>
          <w:szCs w:val="20"/>
          <w:lang w:val="es-CO"/>
        </w:rPr>
        <w:t>Esta política del Estado cubano tiene su sustento en la Constitución, la cual garantiza la libertad de expresión y los derechos de reunión, manifestación y asociación, pero al mismo tiempo las limita gravemente.  En efecto, el artículo 62 de la Constitución Política d</w:t>
      </w:r>
      <w:r w:rsidR="006A7EB2" w:rsidRPr="00845503">
        <w:rPr>
          <w:rFonts w:ascii="Cambria" w:hAnsi="Cambria"/>
          <w:sz w:val="20"/>
          <w:szCs w:val="20"/>
          <w:lang w:val="es-CO"/>
        </w:rPr>
        <w:t>el Estado cubano establece que “n</w:t>
      </w:r>
      <w:r w:rsidRPr="00845503">
        <w:rPr>
          <w:rFonts w:ascii="Cambria" w:hAnsi="Cambria"/>
          <w:sz w:val="20"/>
          <w:szCs w:val="20"/>
          <w:lang w:val="es-CO"/>
        </w:rPr>
        <w:t>inguna de las libertades reconocidas a los ciudadanos puede ser ejercida contra lo establecido en la Constitución y las leyes, ni contra la existencia y fines del Estado socialista, ni contra la decisión del pueblo cubano de construir el socialismo y el comunismo. La infracción de este principio es punible</w:t>
      </w:r>
      <w:r w:rsidR="006A7EB2" w:rsidRPr="00845503">
        <w:rPr>
          <w:rFonts w:ascii="Cambria" w:hAnsi="Cambria"/>
          <w:sz w:val="20"/>
          <w:szCs w:val="20"/>
          <w:lang w:val="es-CO"/>
        </w:rPr>
        <w:t>”</w:t>
      </w:r>
      <w:r w:rsidRPr="00845503">
        <w:rPr>
          <w:rFonts w:ascii="Cambria" w:hAnsi="Cambria"/>
          <w:sz w:val="20"/>
          <w:szCs w:val="20"/>
          <w:lang w:val="es-CO"/>
        </w:rPr>
        <w:t>.</w:t>
      </w:r>
    </w:p>
    <w:p w:rsidR="006A7EB2" w:rsidRPr="00845503" w:rsidRDefault="006A7EB2" w:rsidP="0082244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olor w:val="000000"/>
          <w:spacing w:val="-2"/>
          <w:sz w:val="20"/>
          <w:szCs w:val="20"/>
          <w:lang w:val="es-ES"/>
        </w:rPr>
      </w:pPr>
    </w:p>
    <w:p w:rsidR="006A7EB2" w:rsidRPr="00845503" w:rsidRDefault="006A7EB2" w:rsidP="0082244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845503">
        <w:rPr>
          <w:rFonts w:ascii="Cambria" w:hAnsi="Cambria"/>
          <w:color w:val="000000"/>
          <w:spacing w:val="-2"/>
          <w:sz w:val="20"/>
          <w:szCs w:val="20"/>
          <w:lang w:val="es-ES"/>
        </w:rPr>
        <w:t>La relevancia de esta disposición radica en que ella regula, dentro de la máxima jerarquía normativa, el ejercicio práctico de los derechos y libertades reconocidos por la Constitución a los ciudadanos cubanos, en sus relaciones con los órganos estatales. </w:t>
      </w:r>
      <w:r w:rsidRPr="00845503">
        <w:rPr>
          <w:rStyle w:val="apple-converted-space"/>
          <w:rFonts w:ascii="Cambria" w:hAnsi="Cambria"/>
          <w:color w:val="000000"/>
          <w:spacing w:val="-2"/>
          <w:sz w:val="20"/>
          <w:szCs w:val="20"/>
          <w:lang w:val="es-ES"/>
        </w:rPr>
        <w:t> </w:t>
      </w:r>
      <w:r w:rsidRPr="00845503">
        <w:rPr>
          <w:rFonts w:ascii="Cambria" w:hAnsi="Cambria"/>
          <w:color w:val="000000"/>
          <w:spacing w:val="-2"/>
          <w:sz w:val="20"/>
          <w:szCs w:val="20"/>
          <w:lang w:val="es-ES"/>
        </w:rPr>
        <w:t>Puede considerarse, por tanto, que lo dispuesto en este artículo inspira y orienta todo el quehacer político, económico, social y cultural que tiene lugar en Cuba. </w:t>
      </w:r>
      <w:r w:rsidR="009B11C4" w:rsidRPr="00845503">
        <w:rPr>
          <w:rFonts w:ascii="Cambria" w:hAnsi="Cambria"/>
          <w:color w:val="000000"/>
          <w:spacing w:val="-2"/>
          <w:sz w:val="20"/>
          <w:szCs w:val="20"/>
          <w:lang w:val="es-ES"/>
        </w:rPr>
        <w:t xml:space="preserve"> […]</w:t>
      </w:r>
    </w:p>
    <w:p w:rsidR="006A7EB2" w:rsidRPr="00845503" w:rsidRDefault="006A7EB2" w:rsidP="0082244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olor w:val="000000"/>
          <w:spacing w:val="-2"/>
          <w:sz w:val="20"/>
          <w:szCs w:val="20"/>
          <w:lang w:val="es-ES"/>
        </w:rPr>
      </w:pPr>
    </w:p>
    <w:p w:rsidR="006A7EB2" w:rsidRPr="00845503" w:rsidRDefault="006A7EB2" w:rsidP="0082244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CO"/>
        </w:rPr>
      </w:pPr>
      <w:r w:rsidRPr="00845503">
        <w:rPr>
          <w:rFonts w:ascii="Cambria" w:hAnsi="Cambria"/>
          <w:color w:val="000000"/>
          <w:spacing w:val="-2"/>
          <w:sz w:val="20"/>
          <w:szCs w:val="20"/>
          <w:lang w:val="es-ES"/>
        </w:rPr>
        <w:t>Las violaciones a los derechos humanos --cometidas por el Estado cubano-- son dirigidas especialmente a grupos orientados a la defensa de esos derechos, incluidos los derechos sindicales, o a la actividad política, o contra periodistas independientes. </w:t>
      </w:r>
      <w:r w:rsidRPr="00845503">
        <w:rPr>
          <w:rStyle w:val="apple-converted-space"/>
          <w:rFonts w:ascii="Cambria" w:hAnsi="Cambria"/>
          <w:color w:val="000000"/>
          <w:spacing w:val="-2"/>
          <w:sz w:val="20"/>
          <w:szCs w:val="20"/>
          <w:lang w:val="es-ES"/>
        </w:rPr>
        <w:t> </w:t>
      </w:r>
      <w:r w:rsidRPr="00845503">
        <w:rPr>
          <w:rFonts w:ascii="Cambria" w:hAnsi="Cambria"/>
          <w:color w:val="000000"/>
          <w:spacing w:val="-2"/>
          <w:sz w:val="20"/>
          <w:szCs w:val="20"/>
          <w:lang w:val="es-ES"/>
        </w:rPr>
        <w:t>Tal como se mencionó al principio del presente informe, las figuras penales utilizadas por las autoridades cubanas para concretar estas violaciones son las de</w:t>
      </w:r>
      <w:r w:rsidRPr="00845503">
        <w:rPr>
          <w:rStyle w:val="apple-converted-space"/>
          <w:rFonts w:ascii="Cambria" w:hAnsi="Cambria"/>
          <w:color w:val="000000"/>
          <w:spacing w:val="-2"/>
          <w:sz w:val="20"/>
          <w:szCs w:val="20"/>
          <w:lang w:val="es-ES"/>
        </w:rPr>
        <w:t> </w:t>
      </w:r>
      <w:r w:rsidRPr="00845503">
        <w:rPr>
          <w:rFonts w:ascii="Cambria" w:hAnsi="Cambria"/>
          <w:i/>
          <w:iCs/>
          <w:color w:val="000000"/>
          <w:spacing w:val="-2"/>
          <w:sz w:val="20"/>
          <w:szCs w:val="20"/>
          <w:lang w:val="es-ES"/>
        </w:rPr>
        <w:t>"propaganda enemiga", "desacato", "asociación ilícita", "clandestinidad de impresos", "peligrosidad", "rebelión", "actos contra la seguridad del Estado"</w:t>
      </w:r>
      <w:r w:rsidRPr="00845503">
        <w:rPr>
          <w:rFonts w:ascii="Cambria" w:hAnsi="Cambria"/>
          <w:color w:val="000000"/>
          <w:spacing w:val="-2"/>
          <w:sz w:val="20"/>
          <w:szCs w:val="20"/>
          <w:lang w:val="es-ES"/>
        </w:rPr>
        <w:t>, etc.</w:t>
      </w:r>
    </w:p>
    <w:p w:rsidR="006A7EB2" w:rsidRPr="00845503" w:rsidRDefault="006A7EB2" w:rsidP="0082244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CO"/>
        </w:rPr>
      </w:pPr>
    </w:p>
    <w:p w:rsidR="000740A6" w:rsidRPr="00845503" w:rsidRDefault="006A7EB2" w:rsidP="0082244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CO"/>
        </w:rPr>
      </w:pPr>
      <w:r w:rsidRPr="00845503">
        <w:rPr>
          <w:rFonts w:ascii="Cambria" w:hAnsi="Cambria"/>
          <w:color w:val="000000"/>
          <w:spacing w:val="-2"/>
          <w:sz w:val="20"/>
          <w:szCs w:val="20"/>
          <w:lang w:val="es-ES"/>
        </w:rPr>
        <w:t>La Comisión Interamericana de Derechos Humanos ha recibido informaciones de que durante el período cubierto por el presente Informe Anual, ha continuado la formación de grupos de defensa de los derechos humanos, así como otras asociaciones de índole política, cuyo único objetivo es analizar, de manera pacífica, soluciones o alternativas a los graves problemas que afronta diariamente la sociedad cubana. </w:t>
      </w:r>
      <w:r w:rsidRPr="00845503">
        <w:rPr>
          <w:rStyle w:val="apple-converted-space"/>
          <w:rFonts w:ascii="Cambria" w:hAnsi="Cambria"/>
          <w:color w:val="000000"/>
          <w:spacing w:val="-2"/>
          <w:sz w:val="20"/>
          <w:szCs w:val="20"/>
          <w:lang w:val="es-ES"/>
        </w:rPr>
        <w:t> </w:t>
      </w:r>
      <w:r w:rsidRPr="00845503">
        <w:rPr>
          <w:rFonts w:ascii="Cambria" w:hAnsi="Cambria"/>
          <w:color w:val="000000"/>
          <w:spacing w:val="-2"/>
          <w:sz w:val="20"/>
          <w:szCs w:val="20"/>
          <w:lang w:val="es-ES"/>
        </w:rPr>
        <w:t>Según se ha señalado, los resultados de este análisis son muchas veces planteados al Estado cubano a fin de propiciar un diálogo; sin embargo, a pesar de algunos avances anotados, la respuesta que dan las autoridades ha sido en muchos casos represiva</w:t>
      </w:r>
      <w:r w:rsidR="00E13D83" w:rsidRPr="00845503">
        <w:rPr>
          <w:rStyle w:val="FootnoteReference"/>
          <w:rFonts w:ascii="Cambria" w:hAnsi="Cambria"/>
          <w:sz w:val="20"/>
          <w:szCs w:val="20"/>
          <w:lang w:val="es-CO"/>
        </w:rPr>
        <w:footnoteReference w:id="52"/>
      </w:r>
      <w:r w:rsidR="003F2BCC" w:rsidRPr="00845503">
        <w:rPr>
          <w:rFonts w:ascii="Cambria" w:hAnsi="Cambria"/>
          <w:sz w:val="20"/>
          <w:szCs w:val="20"/>
          <w:lang w:val="es-CO"/>
        </w:rPr>
        <w:t>.</w:t>
      </w:r>
    </w:p>
    <w:p w:rsidR="00363BCD" w:rsidRPr="00845503" w:rsidRDefault="00363BCD" w:rsidP="00363BC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rsidR="00576EB4" w:rsidRPr="00845503" w:rsidRDefault="009B11C4"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t xml:space="preserve">En su informe de 1998, la CIDH </w:t>
      </w:r>
      <w:r w:rsidR="00986082" w:rsidRPr="00845503">
        <w:rPr>
          <w:rFonts w:ascii="Cambria" w:hAnsi="Cambria"/>
          <w:sz w:val="20"/>
          <w:szCs w:val="20"/>
          <w:lang w:val="es-CO"/>
        </w:rPr>
        <w:t>i</w:t>
      </w:r>
      <w:r w:rsidR="009E4B5F" w:rsidRPr="00845503">
        <w:rPr>
          <w:rFonts w:ascii="Cambria" w:hAnsi="Cambria"/>
          <w:sz w:val="20"/>
          <w:szCs w:val="20"/>
          <w:lang w:val="es-CO"/>
        </w:rPr>
        <w:t>ndic</w:t>
      </w:r>
      <w:r w:rsidR="00986082" w:rsidRPr="00845503">
        <w:rPr>
          <w:rFonts w:ascii="Cambria" w:hAnsi="Cambria"/>
          <w:sz w:val="20"/>
          <w:szCs w:val="20"/>
          <w:lang w:val="es-CO"/>
        </w:rPr>
        <w:t>ó</w:t>
      </w:r>
      <w:r w:rsidRPr="00845503">
        <w:rPr>
          <w:rFonts w:ascii="Cambria" w:hAnsi="Cambria"/>
          <w:sz w:val="20"/>
          <w:szCs w:val="20"/>
          <w:lang w:val="es-CO"/>
        </w:rPr>
        <w:t xml:space="preserve"> que</w:t>
      </w:r>
      <w:r w:rsidR="00A666C7" w:rsidRPr="00845503">
        <w:rPr>
          <w:rFonts w:ascii="Cambria" w:hAnsi="Cambria"/>
          <w:sz w:val="20"/>
          <w:szCs w:val="20"/>
          <w:lang w:val="es-CO"/>
        </w:rPr>
        <w:t xml:space="preserve"> continúo recibiendo numerosas denuncias </w:t>
      </w:r>
      <w:r w:rsidR="00A666C7" w:rsidRPr="00845503">
        <w:rPr>
          <w:rFonts w:ascii="Cambria" w:hAnsi="Cambria"/>
          <w:sz w:val="20"/>
          <w:szCs w:val="20"/>
          <w:lang w:val="es-ES"/>
        </w:rPr>
        <w:t>“</w:t>
      </w:r>
      <w:r w:rsidR="00A666C7" w:rsidRPr="00845503">
        <w:rPr>
          <w:rFonts w:ascii="Cambria" w:hAnsi="Cambria"/>
          <w:sz w:val="20"/>
          <w:szCs w:val="20"/>
          <w:lang w:val="es-CO"/>
        </w:rPr>
        <w:t>de hostigamientos, acusaciones, adopción de medidas disciplinarias, actos de repudio, aplicaciones de las disposiciones penales sobre el estado peligroso y penas privativas de la libertad a personas que, de manera pacífica, mostraron su desacuerdo con la política gubernamental</w:t>
      </w:r>
      <w:r w:rsidR="009E4B5F" w:rsidRPr="00845503">
        <w:rPr>
          <w:rFonts w:ascii="Cambria" w:hAnsi="Cambria"/>
          <w:sz w:val="20"/>
          <w:szCs w:val="20"/>
          <w:lang w:val="es-CO"/>
        </w:rPr>
        <w:t>”</w:t>
      </w:r>
      <w:r w:rsidR="0061221C" w:rsidRPr="00845503">
        <w:rPr>
          <w:rStyle w:val="FootnoteReference"/>
          <w:rFonts w:ascii="Cambria" w:hAnsi="Cambria"/>
          <w:sz w:val="20"/>
          <w:szCs w:val="20"/>
          <w:lang w:val="es-CO"/>
        </w:rPr>
        <w:footnoteReference w:id="53"/>
      </w:r>
      <w:r w:rsidR="00613F0D" w:rsidRPr="00845503">
        <w:rPr>
          <w:rFonts w:ascii="Cambria" w:hAnsi="Cambria"/>
          <w:sz w:val="20"/>
          <w:szCs w:val="20"/>
          <w:lang w:val="es-CO"/>
        </w:rPr>
        <w:t xml:space="preserve">. En particular, señaló que </w:t>
      </w:r>
      <w:r w:rsidR="00613F0D" w:rsidRPr="00845503">
        <w:rPr>
          <w:rFonts w:ascii="Cambria" w:hAnsi="Cambria"/>
          <w:color w:val="000000"/>
          <w:sz w:val="20"/>
          <w:szCs w:val="20"/>
          <w:lang w:val="es-ES"/>
        </w:rPr>
        <w:t>según informaciones proporcionadas a la Comisión</w:t>
      </w:r>
      <w:r w:rsidRPr="00845503">
        <w:rPr>
          <w:rFonts w:ascii="Cambria" w:hAnsi="Cambria"/>
          <w:sz w:val="20"/>
          <w:szCs w:val="20"/>
          <w:lang w:val="es-CO"/>
        </w:rPr>
        <w:t xml:space="preserve">: </w:t>
      </w:r>
    </w:p>
    <w:p w:rsidR="009B11C4" w:rsidRPr="00845503" w:rsidRDefault="009B11C4" w:rsidP="00822447">
      <w:pPr>
        <w:pStyle w:val="NormalWeb"/>
        <w:ind w:left="720" w:right="720"/>
        <w:jc w:val="both"/>
        <w:rPr>
          <w:rFonts w:ascii="Cambria" w:hAnsi="Cambria"/>
          <w:color w:val="000000"/>
          <w:sz w:val="20"/>
          <w:szCs w:val="20"/>
          <w:lang w:val="es-ES"/>
        </w:rPr>
      </w:pPr>
      <w:r w:rsidRPr="00845503">
        <w:rPr>
          <w:rFonts w:ascii="Cambria" w:hAnsi="Cambria"/>
          <w:color w:val="000000"/>
          <w:sz w:val="20"/>
          <w:szCs w:val="20"/>
          <w:lang w:val="es-ES"/>
        </w:rPr>
        <w:t xml:space="preserve">entre el 1º y el 15 de marzo de 1999, fueron procesados y condenados en Cuba los integrantes del "Grupo de Trabajo de la Disidencia Interna", </w:t>
      </w:r>
      <w:r w:rsidR="00967821" w:rsidRPr="00845503">
        <w:rPr>
          <w:rFonts w:ascii="Cambria" w:hAnsi="Cambria"/>
          <w:color w:val="000000"/>
          <w:sz w:val="20"/>
          <w:szCs w:val="20"/>
          <w:lang w:val="es-ES"/>
        </w:rPr>
        <w:t>Martha</w:t>
      </w:r>
      <w:r w:rsidRPr="00845503">
        <w:rPr>
          <w:rFonts w:ascii="Cambria" w:hAnsi="Cambria"/>
          <w:color w:val="000000"/>
          <w:sz w:val="20"/>
          <w:szCs w:val="20"/>
          <w:lang w:val="es-ES"/>
        </w:rPr>
        <w:t xml:space="preserve"> Beatriz Roque Cabello, Félix Bonne </w:t>
      </w:r>
      <w:r w:rsidR="00DE043A" w:rsidRPr="00845503">
        <w:rPr>
          <w:rFonts w:ascii="Cambria" w:hAnsi="Cambria"/>
          <w:color w:val="000000"/>
          <w:sz w:val="20"/>
          <w:szCs w:val="20"/>
          <w:lang w:val="es-ES"/>
        </w:rPr>
        <w:t>Carcassés</w:t>
      </w:r>
      <w:r w:rsidRPr="00845503">
        <w:rPr>
          <w:rFonts w:ascii="Cambria" w:hAnsi="Cambria"/>
          <w:color w:val="000000"/>
          <w:sz w:val="20"/>
          <w:szCs w:val="20"/>
          <w:lang w:val="es-ES"/>
        </w:rPr>
        <w:t xml:space="preserve">, René Gómez Manzano y Vladimiro Roca Antúnez, por los delitos de </w:t>
      </w:r>
      <w:r w:rsidRPr="00845503">
        <w:rPr>
          <w:rFonts w:ascii="Cambria" w:hAnsi="Cambria"/>
          <w:color w:val="000000"/>
          <w:sz w:val="20"/>
          <w:szCs w:val="20"/>
          <w:lang w:val="es-ES"/>
        </w:rPr>
        <w:lastRenderedPageBreak/>
        <w:t xml:space="preserve">sedición en la causa Nº 4 del 98 por hacer público un manifiesto titulado "La Patria es de Todos" en el que criticaban las </w:t>
      </w:r>
      <w:r w:rsidR="00A31849" w:rsidRPr="00845503">
        <w:rPr>
          <w:rFonts w:ascii="Cambria" w:hAnsi="Cambria"/>
          <w:color w:val="000000"/>
          <w:sz w:val="20"/>
          <w:szCs w:val="20"/>
          <w:lang w:val="es-ES"/>
        </w:rPr>
        <w:t>tesis</w:t>
      </w:r>
      <w:r w:rsidRPr="00845503">
        <w:rPr>
          <w:rFonts w:ascii="Cambria" w:hAnsi="Cambria"/>
          <w:color w:val="000000"/>
          <w:sz w:val="20"/>
          <w:szCs w:val="20"/>
          <w:lang w:val="es-ES"/>
        </w:rPr>
        <w:t xml:space="preserve"> del V Congreso del Partido Comunista Cubano (PCC). Vladimiro Roca Antúnez, ex piloto de la Fuerza Aérea Cubana fue condenado a cinco años de prisión. El académico Félix Bonne </w:t>
      </w:r>
      <w:r w:rsidR="00B73080" w:rsidRPr="00845503">
        <w:rPr>
          <w:rFonts w:ascii="Cambria" w:hAnsi="Cambria"/>
          <w:color w:val="000000"/>
          <w:sz w:val="20"/>
          <w:szCs w:val="20"/>
          <w:lang w:val="es-ES"/>
        </w:rPr>
        <w:t>[</w:t>
      </w:r>
      <w:r w:rsidR="000E2809" w:rsidRPr="00845503">
        <w:rPr>
          <w:rFonts w:ascii="Cambria" w:hAnsi="Cambria"/>
          <w:color w:val="000000"/>
          <w:sz w:val="20"/>
          <w:szCs w:val="20"/>
          <w:lang w:val="es-ES"/>
        </w:rPr>
        <w:t>Carcassés</w:t>
      </w:r>
      <w:r w:rsidR="00B73080" w:rsidRPr="00845503">
        <w:rPr>
          <w:rFonts w:ascii="Cambria" w:hAnsi="Cambria"/>
          <w:color w:val="000000"/>
          <w:sz w:val="20"/>
          <w:szCs w:val="20"/>
          <w:lang w:val="es-ES"/>
        </w:rPr>
        <w:t>]</w:t>
      </w:r>
      <w:r w:rsidR="000E2809" w:rsidRPr="00845503">
        <w:rPr>
          <w:rFonts w:ascii="Cambria" w:hAnsi="Cambria"/>
          <w:color w:val="000000"/>
          <w:sz w:val="20"/>
          <w:szCs w:val="20"/>
          <w:lang w:val="es-ES"/>
        </w:rPr>
        <w:t xml:space="preserve"> </w:t>
      </w:r>
      <w:r w:rsidRPr="00845503">
        <w:rPr>
          <w:rFonts w:ascii="Cambria" w:hAnsi="Cambria"/>
          <w:color w:val="000000"/>
          <w:sz w:val="20"/>
          <w:szCs w:val="20"/>
          <w:lang w:val="es-ES"/>
        </w:rPr>
        <w:t xml:space="preserve">de 59 años de edad, y el abogado René Gómez Manzano, de 55, recibieron una sentencia de cuatro años de cárcel. La economista </w:t>
      </w:r>
      <w:r w:rsidR="00967821" w:rsidRPr="00845503">
        <w:rPr>
          <w:rFonts w:ascii="Cambria" w:hAnsi="Cambria"/>
          <w:color w:val="000000"/>
          <w:sz w:val="20"/>
          <w:szCs w:val="20"/>
          <w:lang w:val="es-ES"/>
        </w:rPr>
        <w:t>Martha</w:t>
      </w:r>
      <w:r w:rsidRPr="00845503">
        <w:rPr>
          <w:rFonts w:ascii="Cambria" w:hAnsi="Cambria"/>
          <w:color w:val="000000"/>
          <w:sz w:val="20"/>
          <w:szCs w:val="20"/>
          <w:lang w:val="es-ES"/>
        </w:rPr>
        <w:t xml:space="preserve"> Beatriz Roque Cabello, de 53 años de edad fue condenada a tres años y medio de cárcel. Estas cuatro personas se encontraban bajo detención preventiva desde el 16 de julio de 1997. La Comisión fue informada, asimismo, que las autoridades cubanas restringieron severamente la publicidad de este proceso. </w:t>
      </w:r>
      <w:r w:rsidR="00986082" w:rsidRPr="00845503">
        <w:rPr>
          <w:rFonts w:ascii="Cambria" w:hAnsi="Cambria"/>
          <w:color w:val="000000"/>
          <w:sz w:val="20"/>
          <w:szCs w:val="20"/>
          <w:lang w:val="es-ES"/>
        </w:rPr>
        <w:t>[….]</w:t>
      </w:r>
    </w:p>
    <w:p w:rsidR="00986082" w:rsidRPr="00845503" w:rsidRDefault="009B11C4" w:rsidP="00822447">
      <w:pPr>
        <w:pStyle w:val="NormalWeb"/>
        <w:ind w:left="720" w:right="720"/>
        <w:jc w:val="both"/>
        <w:rPr>
          <w:rFonts w:ascii="Cambria" w:hAnsi="Cambria"/>
          <w:color w:val="000000"/>
          <w:sz w:val="20"/>
          <w:szCs w:val="20"/>
          <w:lang w:val="es-ES"/>
        </w:rPr>
      </w:pPr>
      <w:r w:rsidRPr="00845503">
        <w:rPr>
          <w:rFonts w:ascii="Cambria" w:hAnsi="Cambria"/>
          <w:color w:val="000000"/>
          <w:sz w:val="20"/>
          <w:szCs w:val="20"/>
          <w:lang w:val="es-ES"/>
        </w:rPr>
        <w:t xml:space="preserve">La Comisión tampoco puede dejar de manifestar su preocupación por el hecho que se haya mantenido a estas cuatro personas bajo detención preventiva durante un año y cinco meses sin que un juez haya verificado la legalidad del arresto y sin ser juzgados dentro de un plazo razonable. </w:t>
      </w:r>
      <w:r w:rsidR="00986082" w:rsidRPr="00845503">
        <w:rPr>
          <w:rFonts w:ascii="Cambria" w:hAnsi="Cambria"/>
          <w:color w:val="000000"/>
          <w:sz w:val="20"/>
          <w:szCs w:val="20"/>
          <w:lang w:val="es-ES"/>
        </w:rPr>
        <w:t>[…]</w:t>
      </w:r>
    </w:p>
    <w:p w:rsidR="003142C9" w:rsidRPr="00845503" w:rsidRDefault="009B11C4" w:rsidP="00822447">
      <w:pPr>
        <w:pStyle w:val="NormalWeb"/>
        <w:ind w:left="720" w:right="720"/>
        <w:jc w:val="both"/>
        <w:rPr>
          <w:rFonts w:ascii="Cambria" w:hAnsi="Cambria" w:cs="Calibri"/>
          <w:sz w:val="20"/>
          <w:szCs w:val="20"/>
          <w:lang w:val="es-CO"/>
        </w:rPr>
      </w:pPr>
      <w:r w:rsidRPr="00845503">
        <w:rPr>
          <w:rFonts w:ascii="Cambria" w:hAnsi="Cambria"/>
          <w:color w:val="000000"/>
          <w:sz w:val="20"/>
          <w:szCs w:val="20"/>
          <w:lang w:val="es-ES"/>
        </w:rPr>
        <w:t>La Comisión Interamericana también fue informada que en los días previos al proceso judicial un centenar de opositores pacíficos al régimen cubano fueron arrestados masivamente en un gran operativo policial.  Las detenciones se produjeron en La Habana y otras localidades del interior del país y en muchos casos consistieron en un arresto domiciliario. Sin embargo, otro grupo de detenidos fueron trasladados a dependencias policiales. A pesar que la Comisión ha sido informada que estas personas están siendo puestas en libertad progresivamente, no puede dejar de manifestar al mismo tiempo su preocupación, por cuanto estos hechos demuestran claramente el incremento de la represión del Estado cubano contra aquellas personas que discrepan pacíficamente de la política gubernamental</w:t>
      </w:r>
      <w:r w:rsidR="00986082" w:rsidRPr="00845503">
        <w:rPr>
          <w:rStyle w:val="FootnoteReference"/>
          <w:rFonts w:ascii="Cambria" w:hAnsi="Cambria"/>
          <w:color w:val="000000"/>
          <w:sz w:val="20"/>
          <w:szCs w:val="20"/>
        </w:rPr>
        <w:footnoteReference w:id="54"/>
      </w:r>
      <w:r w:rsidRPr="00845503">
        <w:rPr>
          <w:rFonts w:ascii="Cambria" w:hAnsi="Cambria"/>
          <w:color w:val="000000"/>
          <w:sz w:val="20"/>
          <w:szCs w:val="20"/>
          <w:lang w:val="es-ES"/>
        </w:rPr>
        <w:t>.</w:t>
      </w:r>
    </w:p>
    <w:p w:rsidR="003142C9" w:rsidRPr="00845503" w:rsidRDefault="003142C9" w:rsidP="009C22C5">
      <w:pPr>
        <w:pStyle w:val="Heading2"/>
        <w:numPr>
          <w:ilvl w:val="0"/>
          <w:numId w:val="56"/>
        </w:numPr>
        <w:tabs>
          <w:tab w:val="left" w:pos="720"/>
        </w:tabs>
        <w:spacing w:before="0" w:after="0"/>
        <w:ind w:left="0" w:firstLine="720"/>
        <w:jc w:val="both"/>
        <w:rPr>
          <w:rFonts w:ascii="Cambria" w:hAnsi="Cambria"/>
          <w:i w:val="0"/>
          <w:sz w:val="20"/>
          <w:szCs w:val="20"/>
          <w:lang w:val="es-CO"/>
        </w:rPr>
      </w:pPr>
      <w:r w:rsidRPr="00845503">
        <w:rPr>
          <w:rFonts w:ascii="Cambria" w:hAnsi="Cambria"/>
          <w:i w:val="0"/>
          <w:sz w:val="20"/>
          <w:szCs w:val="20"/>
          <w:lang w:val="es-ES"/>
        </w:rPr>
        <w:t xml:space="preserve"> </w:t>
      </w:r>
      <w:bookmarkStart w:id="12" w:name="_Toc505951345"/>
      <w:r w:rsidRPr="00845503">
        <w:rPr>
          <w:rFonts w:ascii="Cambria" w:hAnsi="Cambria"/>
          <w:i w:val="0"/>
          <w:sz w:val="20"/>
          <w:szCs w:val="20"/>
          <w:lang w:val="es-CO"/>
        </w:rPr>
        <w:t>ANÁLISIS DE DERECHO</w:t>
      </w:r>
      <w:bookmarkEnd w:id="12"/>
    </w:p>
    <w:p w:rsidR="003142C9" w:rsidRPr="00845503" w:rsidRDefault="003142C9" w:rsidP="003142C9">
      <w:pPr>
        <w:rPr>
          <w:rFonts w:ascii="Cambria" w:hAnsi="Cambria"/>
          <w:sz w:val="20"/>
          <w:szCs w:val="20"/>
          <w:lang w:val="es-CO"/>
        </w:rPr>
      </w:pPr>
    </w:p>
    <w:p w:rsidR="003142C9" w:rsidRPr="00845503" w:rsidRDefault="003142C9" w:rsidP="009C22C5">
      <w:pPr>
        <w:pStyle w:val="Heading3"/>
        <w:numPr>
          <w:ilvl w:val="0"/>
          <w:numId w:val="67"/>
        </w:numPr>
        <w:spacing w:before="0" w:after="0"/>
        <w:ind w:left="1440" w:hanging="720"/>
        <w:jc w:val="both"/>
        <w:rPr>
          <w:rFonts w:ascii="Cambria" w:hAnsi="Cambria"/>
          <w:sz w:val="20"/>
          <w:szCs w:val="20"/>
          <w:lang w:val="es-CO"/>
        </w:rPr>
      </w:pPr>
      <w:bookmarkStart w:id="13" w:name="_Toc505951346"/>
      <w:r w:rsidRPr="00845503">
        <w:rPr>
          <w:rFonts w:ascii="Cambria" w:hAnsi="Cambria"/>
          <w:sz w:val="20"/>
          <w:szCs w:val="20"/>
          <w:lang w:val="es-CO"/>
        </w:rPr>
        <w:t>Cuestión Preliminar: aplicación e interpretación de la Declaración Americana de los Derechos y Deberes del Hombre</w:t>
      </w:r>
      <w:bookmarkEnd w:id="13"/>
    </w:p>
    <w:p w:rsidR="003142C9" w:rsidRPr="00845503" w:rsidRDefault="003142C9" w:rsidP="003142C9">
      <w:pPr>
        <w:rPr>
          <w:rFonts w:ascii="Cambria" w:hAnsi="Cambria"/>
          <w:sz w:val="20"/>
          <w:szCs w:val="20"/>
          <w:lang w:val="es-CO"/>
        </w:rPr>
      </w:pPr>
    </w:p>
    <w:p w:rsidR="00EF723F"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t xml:space="preserve">Los peticionarios alegaron que el Estado de Cuba es responsable por la violación de los derechos consagrados en los artículos I (Derecho a la vida, a la libertad, a la seguridad e integridad de la persona), IV (Derecho de libertad de investigación, opinión, expresión y difusión), XXV (Derecho de protección contra la detención arbitraria) y XXVI (Derecho a proceso regular) de la Declaración Americana en perjuicio de Vladimiro Roca Antúnez, </w:t>
      </w:r>
      <w:r w:rsidR="00B27E3A" w:rsidRPr="00845503">
        <w:rPr>
          <w:rFonts w:ascii="Cambria" w:hAnsi="Cambria"/>
          <w:sz w:val="20"/>
          <w:szCs w:val="20"/>
          <w:lang w:val="es-ES"/>
        </w:rPr>
        <w:t>René</w:t>
      </w:r>
      <w:r w:rsidRPr="00845503">
        <w:rPr>
          <w:rFonts w:ascii="Cambria" w:hAnsi="Cambria"/>
          <w:sz w:val="20"/>
          <w:szCs w:val="20"/>
          <w:lang w:val="es-ES"/>
        </w:rPr>
        <w:t xml:space="preserve"> Gómez Manzano, </w:t>
      </w:r>
      <w:r w:rsidR="00967821" w:rsidRPr="00845503">
        <w:rPr>
          <w:rFonts w:ascii="Cambria" w:hAnsi="Cambria"/>
          <w:sz w:val="20"/>
          <w:szCs w:val="20"/>
          <w:lang w:val="es-ES"/>
        </w:rPr>
        <w:t>Martha</w:t>
      </w:r>
      <w:r w:rsidRPr="00845503">
        <w:rPr>
          <w:rFonts w:ascii="Cambria" w:hAnsi="Cambria"/>
          <w:sz w:val="20"/>
          <w:szCs w:val="20"/>
          <w:lang w:val="es-ES"/>
        </w:rPr>
        <w:t xml:space="preserve"> Beatriz Roque Cabello y Félix Bonne Carcassés</w:t>
      </w:r>
      <w:r w:rsidRPr="00845503">
        <w:rPr>
          <w:rFonts w:ascii="Cambria" w:hAnsi="Cambria"/>
          <w:sz w:val="20"/>
          <w:szCs w:val="20"/>
          <w:lang w:val="es-CO"/>
        </w:rPr>
        <w:t xml:space="preserve">. </w:t>
      </w:r>
    </w:p>
    <w:p w:rsidR="00EF723F" w:rsidRPr="00845503" w:rsidRDefault="00EF723F" w:rsidP="00EF723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color w:val="auto"/>
          <w:sz w:val="20"/>
          <w:szCs w:val="20"/>
          <w:lang w:val="es-CO"/>
        </w:rPr>
      </w:pPr>
    </w:p>
    <w:p w:rsidR="008979E0"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eastAsia="Times New Roman" w:hAnsi="Cambria"/>
          <w:sz w:val="20"/>
          <w:szCs w:val="20"/>
          <w:lang w:val="es-AR"/>
        </w:rPr>
        <w:t>Como ha expresado la Comisión en reiteradas ocasiones</w:t>
      </w:r>
      <w:r w:rsidR="00EF723F" w:rsidRPr="00845503">
        <w:rPr>
          <w:rStyle w:val="FootnoteReference"/>
          <w:rFonts w:ascii="Cambria" w:eastAsia="Times New Roman" w:hAnsi="Cambria"/>
          <w:sz w:val="20"/>
          <w:szCs w:val="20"/>
          <w:lang w:val="es-AR"/>
        </w:rPr>
        <w:footnoteReference w:id="55"/>
      </w:r>
      <w:r w:rsidRPr="00845503">
        <w:rPr>
          <w:rFonts w:ascii="Cambria" w:eastAsia="Times New Roman" w:hAnsi="Cambria"/>
          <w:sz w:val="20"/>
          <w:szCs w:val="20"/>
          <w:lang w:val="es-AR"/>
        </w:rPr>
        <w:t xml:space="preserve">, la Declaración Americana constituye una fuente de obligación jurídica internacional para todos los Estados miembros de la </w:t>
      </w:r>
      <w:r w:rsidRPr="00845503">
        <w:rPr>
          <w:rFonts w:ascii="Cambria" w:eastAsia="Times New Roman" w:hAnsi="Cambria"/>
          <w:sz w:val="20"/>
          <w:szCs w:val="20"/>
          <w:lang w:val="es-AR"/>
        </w:rPr>
        <w:lastRenderedPageBreak/>
        <w:t xml:space="preserve">Organización de los Estados Americanos, incluido Cuba. Además, </w:t>
      </w:r>
      <w:r w:rsidR="00C643BF" w:rsidRPr="00845503">
        <w:rPr>
          <w:rFonts w:ascii="Cambria" w:eastAsia="Times New Roman" w:hAnsi="Cambria"/>
          <w:sz w:val="20"/>
          <w:szCs w:val="20"/>
          <w:lang w:val="es-AR"/>
        </w:rPr>
        <w:t xml:space="preserve">en relación con los Estados miembros de la OEA que no son parte de la Convención Americana, </w:t>
      </w:r>
      <w:r w:rsidRPr="00845503">
        <w:rPr>
          <w:rFonts w:ascii="Cambria" w:eastAsia="Times New Roman" w:hAnsi="Cambria"/>
          <w:sz w:val="20"/>
          <w:szCs w:val="20"/>
          <w:lang w:val="es-AR"/>
        </w:rPr>
        <w:t>la Comisión está facultada por el artículo 20 de su Estatuto y por los artículos 49 y 50 de su Reglamento para recibir y examinar toda petición que contenga una denuncia de presuntas violaciones de los derechos humanos consagrados en la Declaración Americana,.</w:t>
      </w:r>
    </w:p>
    <w:p w:rsidR="008979E0" w:rsidRPr="00845503" w:rsidRDefault="008979E0" w:rsidP="008979E0">
      <w:pPr>
        <w:pStyle w:val="ListParagraph"/>
        <w:rPr>
          <w:rFonts w:eastAsia="Times New Roman"/>
          <w:sz w:val="20"/>
          <w:szCs w:val="20"/>
          <w:lang w:val="es-AR"/>
        </w:rPr>
      </w:pPr>
    </w:p>
    <w:p w:rsidR="008979E0"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eastAsia="Times New Roman" w:hAnsi="Cambria"/>
          <w:sz w:val="20"/>
          <w:szCs w:val="20"/>
          <w:lang w:val="es-AR"/>
        </w:rPr>
        <w:t>De acuerdo con la jurisprudencia del sistema interamericano de derechos humanos las disposiciones de sus instrumentos, incluida la Declaración Americana, deben ser interpretadas y aplicadas en el contexto de los sistemas interamericano e internacional de derechos humanos y en el sentido más amplio a la luz de la evolución del derecho internacional</w:t>
      </w:r>
      <w:r w:rsidR="008979E0" w:rsidRPr="00845503">
        <w:rPr>
          <w:rFonts w:ascii="Cambria" w:eastAsia="Times New Roman" w:hAnsi="Cambria"/>
          <w:sz w:val="20"/>
          <w:szCs w:val="20"/>
          <w:lang w:val="es-AR"/>
        </w:rPr>
        <w:t xml:space="preserve"> en materia de derechos humanos</w:t>
      </w:r>
      <w:r w:rsidR="008979E0" w:rsidRPr="00845503">
        <w:rPr>
          <w:rStyle w:val="FootnoteReference"/>
          <w:rFonts w:ascii="Cambria" w:eastAsia="Times New Roman" w:hAnsi="Cambria"/>
          <w:sz w:val="20"/>
          <w:szCs w:val="20"/>
          <w:lang w:val="es-AR"/>
        </w:rPr>
        <w:footnoteReference w:id="56"/>
      </w:r>
      <w:r w:rsidRPr="00845503">
        <w:rPr>
          <w:rFonts w:ascii="Cambria" w:eastAsia="Times New Roman" w:hAnsi="Cambria"/>
          <w:sz w:val="20"/>
          <w:szCs w:val="20"/>
          <w:lang w:val="es-AR"/>
        </w:rPr>
        <w:t>.</w:t>
      </w:r>
    </w:p>
    <w:p w:rsidR="008979E0" w:rsidRPr="00845503" w:rsidRDefault="008979E0" w:rsidP="008979E0">
      <w:pPr>
        <w:pStyle w:val="ListParagraph"/>
        <w:rPr>
          <w:rFonts w:eastAsia="Times New Roman"/>
          <w:sz w:val="20"/>
          <w:szCs w:val="20"/>
          <w:lang w:val="es-AR"/>
        </w:rPr>
      </w:pPr>
    </w:p>
    <w:p w:rsidR="008979E0"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eastAsia="Times New Roman" w:hAnsi="Cambria"/>
          <w:sz w:val="20"/>
          <w:szCs w:val="20"/>
          <w:lang w:val="es-AR"/>
        </w:rPr>
        <w:t>En particular, los órganos del sistema interamericano han sostenido que la evolución del cuerpo del derecho internacional en materia de derechos humanos pertinente a la interpretación y aplicación de la Declaración Americana puede extraerse de las disposiciones de otros instrumentos internacionales y regionales de derechos humanos.  Ello incluye la Convención Americana que, en muchas instancias, puede ser considerada representativa de los principios fundamentales establecidos en la Declaración Americana, y</w:t>
      </w:r>
      <w:r w:rsidR="00C643BF" w:rsidRPr="00845503">
        <w:rPr>
          <w:rFonts w:ascii="Cambria" w:eastAsia="Times New Roman" w:hAnsi="Cambria"/>
          <w:sz w:val="20"/>
          <w:szCs w:val="20"/>
          <w:lang w:val="es-AR"/>
        </w:rPr>
        <w:t xml:space="preserve"> sus respectivos protocolos</w:t>
      </w:r>
      <w:r w:rsidRPr="00845503">
        <w:rPr>
          <w:rFonts w:ascii="Cambria" w:eastAsia="Times New Roman" w:hAnsi="Cambria"/>
          <w:sz w:val="20"/>
          <w:szCs w:val="20"/>
          <w:lang w:val="es-AR"/>
        </w:rPr>
        <w:t>. Asimismo, una evolución pertinente también ha sido derivada de las disposiciones de otros tratados multilaterales aprobad</w:t>
      </w:r>
      <w:r w:rsidR="003247D2" w:rsidRPr="00845503">
        <w:rPr>
          <w:rFonts w:ascii="Cambria" w:eastAsia="Times New Roman" w:hAnsi="Cambria"/>
          <w:sz w:val="20"/>
          <w:szCs w:val="20"/>
          <w:lang w:val="es-AR"/>
        </w:rPr>
        <w:t>os dentro y fuera del marco del</w:t>
      </w:r>
      <w:r w:rsidRPr="00845503">
        <w:rPr>
          <w:rFonts w:ascii="Cambria" w:eastAsia="Times New Roman" w:hAnsi="Cambria"/>
          <w:sz w:val="20"/>
          <w:szCs w:val="20"/>
          <w:lang w:val="es-AR"/>
        </w:rPr>
        <w:t xml:space="preserve"> s</w:t>
      </w:r>
      <w:r w:rsidR="00C643BF" w:rsidRPr="00845503">
        <w:rPr>
          <w:rFonts w:ascii="Cambria" w:eastAsia="Times New Roman" w:hAnsi="Cambria"/>
          <w:sz w:val="20"/>
          <w:szCs w:val="20"/>
          <w:lang w:val="es-AR"/>
        </w:rPr>
        <w:t>istema interamericano, incluido</w:t>
      </w:r>
      <w:r w:rsidRPr="00845503">
        <w:rPr>
          <w:rFonts w:ascii="Cambria" w:eastAsia="Times New Roman" w:hAnsi="Cambria"/>
          <w:sz w:val="20"/>
          <w:szCs w:val="20"/>
          <w:lang w:val="es-AR"/>
        </w:rPr>
        <w:t xml:space="preserve"> el Pacto Internacional de Derechos Civiles y Políticos</w:t>
      </w:r>
      <w:r w:rsidR="008979E0" w:rsidRPr="00845503">
        <w:rPr>
          <w:rStyle w:val="FootnoteReference"/>
          <w:rFonts w:ascii="Cambria" w:eastAsia="Times New Roman" w:hAnsi="Cambria"/>
          <w:sz w:val="20"/>
          <w:szCs w:val="20"/>
          <w:lang w:val="es-AR"/>
        </w:rPr>
        <w:footnoteReference w:id="57"/>
      </w:r>
      <w:r w:rsidRPr="00845503">
        <w:rPr>
          <w:rFonts w:ascii="Cambria" w:hAnsi="Cambria"/>
          <w:sz w:val="20"/>
          <w:szCs w:val="20"/>
          <w:lang w:val="es-CO"/>
        </w:rPr>
        <w:t>.</w:t>
      </w:r>
    </w:p>
    <w:p w:rsidR="008979E0" w:rsidRPr="00845503" w:rsidRDefault="008979E0" w:rsidP="008979E0">
      <w:pPr>
        <w:pStyle w:val="ListParagraph"/>
        <w:rPr>
          <w:sz w:val="20"/>
          <w:szCs w:val="20"/>
          <w:lang w:val="es-AR"/>
        </w:rPr>
      </w:pPr>
    </w:p>
    <w:p w:rsidR="003142C9"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AR"/>
        </w:rPr>
        <w:t>Al efectuar su análisis en el presente caso, la Comisión –en la medida que corresponda- interpretará y aplicará las disposiciones pertinentes de la Declaración Americana a la luz de la evolución actual en el campo del derecho internacional en materia de derechos humanos, conforme lo ilustren los tratados, la costumbre y otras fuentes pertinentes del derecho internacional</w:t>
      </w:r>
      <w:r w:rsidRPr="00845503">
        <w:rPr>
          <w:rStyle w:val="FootnoteReference"/>
          <w:rFonts w:ascii="Cambria" w:hAnsi="Cambria"/>
          <w:sz w:val="20"/>
          <w:szCs w:val="20"/>
          <w:lang w:val="es-CO"/>
        </w:rPr>
        <w:footnoteReference w:id="58"/>
      </w:r>
      <w:r w:rsidRPr="00845503">
        <w:rPr>
          <w:rFonts w:ascii="Cambria" w:hAnsi="Cambria"/>
          <w:sz w:val="20"/>
          <w:szCs w:val="20"/>
          <w:lang w:val="es-AR"/>
        </w:rPr>
        <w:t>.</w:t>
      </w:r>
    </w:p>
    <w:p w:rsidR="003142C9" w:rsidRPr="00845503" w:rsidRDefault="003142C9" w:rsidP="003142C9">
      <w:pPr>
        <w:rPr>
          <w:rFonts w:ascii="Cambria" w:hAnsi="Cambria"/>
          <w:sz w:val="20"/>
          <w:szCs w:val="20"/>
          <w:lang w:val="es-CO"/>
        </w:rPr>
      </w:pPr>
    </w:p>
    <w:p w:rsidR="003247D2"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t xml:space="preserve">Es a la luz de estos principios que la Comisión considerará y aplicará las disposiciones pertinentes de la Declaración Americana en el presente caso, con el fin de determinar si el Estado de Cuba ha violado los derechos consagrados en los artículos I (Derecho a la vida, a la libertad, a la seguridad e integridad de la persona), IV (Derecho de libertad de investigación, opinión, expresión y difusión), XXV (Derecho de protección contra la detención arbitraria) y XXVI (Derecho a proceso regular) de la Declaración Americana, </w:t>
      </w:r>
      <w:r w:rsidR="00B24FD3" w:rsidRPr="00845503">
        <w:rPr>
          <w:rFonts w:ascii="Cambria" w:hAnsi="Cambria"/>
          <w:color w:val="000000"/>
          <w:sz w:val="20"/>
          <w:szCs w:val="20"/>
          <w:lang w:val="es-CR"/>
        </w:rPr>
        <w:t xml:space="preserve">en consonancia con lo decidido en el informe de admisibilidad </w:t>
      </w:r>
      <w:r w:rsidRPr="00845503">
        <w:rPr>
          <w:rFonts w:ascii="Cambria" w:hAnsi="Cambria"/>
          <w:sz w:val="20"/>
          <w:szCs w:val="20"/>
          <w:lang w:val="es-CO"/>
        </w:rPr>
        <w:t xml:space="preserve">N° 56/04 emitido por la CIDH. </w:t>
      </w:r>
    </w:p>
    <w:p w:rsidR="003247D2" w:rsidRPr="00845503" w:rsidRDefault="003247D2" w:rsidP="00DE043A">
      <w:pPr>
        <w:pStyle w:val="ListParagraph"/>
        <w:rPr>
          <w:color w:val="auto"/>
          <w:sz w:val="20"/>
          <w:szCs w:val="20"/>
          <w:lang w:val="es-CO"/>
        </w:rPr>
      </w:pPr>
    </w:p>
    <w:p w:rsidR="003247D2" w:rsidRPr="00845503" w:rsidRDefault="003247D2"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t xml:space="preserve">La Comisión observa que si bien en su informe de admisibilidad no se pronunció sobre una presunta violación del artículo XXII </w:t>
      </w:r>
      <w:r w:rsidRPr="00845503">
        <w:rPr>
          <w:rFonts w:ascii="Cambria" w:hAnsi="Cambria"/>
          <w:sz w:val="20"/>
          <w:szCs w:val="20"/>
          <w:lang w:val="es-AR"/>
        </w:rPr>
        <w:t>(derecho de asociación)</w:t>
      </w:r>
      <w:r w:rsidRPr="00845503">
        <w:rPr>
          <w:rFonts w:ascii="Cambria" w:hAnsi="Cambria"/>
          <w:sz w:val="20"/>
          <w:szCs w:val="20"/>
          <w:lang w:val="es-CO"/>
        </w:rPr>
        <w:t xml:space="preserve"> de la Declaración Americana, y este derecho no fue alegado posteriormente por los peticionarios, </w:t>
      </w:r>
      <w:r w:rsidR="00B24FD3" w:rsidRPr="00845503">
        <w:rPr>
          <w:rFonts w:ascii="Cambria" w:hAnsi="Cambria"/>
          <w:sz w:val="20"/>
          <w:szCs w:val="20"/>
          <w:lang w:val="es-CO"/>
        </w:rPr>
        <w:t>de los hechos en litigio surge la relevancia de analizar una posible violación en este sentido</w:t>
      </w:r>
      <w:r w:rsidRPr="00845503">
        <w:rPr>
          <w:rFonts w:ascii="Cambria" w:hAnsi="Cambria"/>
          <w:sz w:val="20"/>
          <w:szCs w:val="20"/>
          <w:lang w:val="es-CO"/>
        </w:rPr>
        <w:t xml:space="preserve">. </w:t>
      </w:r>
      <w:r w:rsidR="005B12F5" w:rsidRPr="00845503">
        <w:rPr>
          <w:rFonts w:ascii="Cambria" w:hAnsi="Cambria"/>
          <w:sz w:val="20"/>
          <w:szCs w:val="20"/>
          <w:lang w:val="es-CO"/>
        </w:rPr>
        <w:t xml:space="preserve">En tal sentido, haciendo uso de las facultades derivadas del principio </w:t>
      </w:r>
      <w:r w:rsidR="005B12F5" w:rsidRPr="00845503">
        <w:rPr>
          <w:rFonts w:ascii="Cambria" w:hAnsi="Cambria"/>
          <w:i/>
          <w:sz w:val="20"/>
          <w:szCs w:val="20"/>
          <w:lang w:val="es-CO"/>
        </w:rPr>
        <w:t>iura novit curia</w:t>
      </w:r>
      <w:r w:rsidR="005B12F5" w:rsidRPr="00845503">
        <w:rPr>
          <w:rFonts w:ascii="Cambria" w:hAnsi="Cambria"/>
          <w:sz w:val="20"/>
          <w:szCs w:val="20"/>
          <w:lang w:val="es-CO"/>
        </w:rPr>
        <w:t>, la Comisión decide estudiar si los hechos denunciados podrían también configurar una violación de dicha disposición de la Declaración Americana.</w:t>
      </w:r>
    </w:p>
    <w:p w:rsidR="003142C9" w:rsidRPr="00845503" w:rsidRDefault="003142C9" w:rsidP="003142C9">
      <w:pPr>
        <w:rPr>
          <w:rFonts w:ascii="Cambria" w:hAnsi="Cambria"/>
          <w:sz w:val="20"/>
          <w:szCs w:val="20"/>
          <w:lang w:val="es-CO"/>
        </w:rPr>
      </w:pPr>
    </w:p>
    <w:p w:rsidR="003142C9" w:rsidRPr="00845503" w:rsidRDefault="003142C9" w:rsidP="009C22C5">
      <w:pPr>
        <w:pStyle w:val="Heading3"/>
        <w:numPr>
          <w:ilvl w:val="0"/>
          <w:numId w:val="67"/>
        </w:numPr>
        <w:spacing w:before="0" w:after="0"/>
        <w:ind w:left="1440" w:hanging="720"/>
        <w:jc w:val="both"/>
        <w:rPr>
          <w:rFonts w:ascii="Cambria" w:hAnsi="Cambria"/>
          <w:sz w:val="20"/>
          <w:szCs w:val="20"/>
          <w:lang w:val="es-CO"/>
        </w:rPr>
      </w:pPr>
      <w:bookmarkStart w:id="14" w:name="_Toc505951347"/>
      <w:r w:rsidRPr="00845503">
        <w:rPr>
          <w:rFonts w:ascii="Cambria" w:hAnsi="Cambria"/>
          <w:sz w:val="20"/>
          <w:szCs w:val="20"/>
          <w:lang w:val="es-CO"/>
        </w:rPr>
        <w:t>Derecho de libertad de investigación, opinión, expresión y difusión (Artículo IV</w:t>
      </w:r>
      <w:r w:rsidR="004B1846" w:rsidRPr="00845503">
        <w:rPr>
          <w:rFonts w:ascii="Cambria" w:hAnsi="Cambria"/>
          <w:sz w:val="20"/>
          <w:szCs w:val="20"/>
          <w:lang w:val="es-CO"/>
        </w:rPr>
        <w:t>)</w:t>
      </w:r>
      <w:r w:rsidR="001B38C2" w:rsidRPr="00845503">
        <w:rPr>
          <w:rFonts w:ascii="Cambria" w:hAnsi="Cambria"/>
          <w:sz w:val="20"/>
          <w:szCs w:val="20"/>
          <w:lang w:val="es-CO"/>
        </w:rPr>
        <w:t xml:space="preserve"> </w:t>
      </w:r>
      <w:r w:rsidR="004B1846" w:rsidRPr="00845503">
        <w:rPr>
          <w:rFonts w:ascii="Cambria" w:hAnsi="Cambria"/>
          <w:sz w:val="20"/>
          <w:szCs w:val="20"/>
          <w:lang w:val="es-AR"/>
        </w:rPr>
        <w:t>y derecho de asociación (artículo XXII)</w:t>
      </w:r>
      <w:r w:rsidR="004B1846" w:rsidRPr="00845503">
        <w:rPr>
          <w:rFonts w:ascii="Cambria" w:hAnsi="Cambria"/>
          <w:sz w:val="20"/>
          <w:szCs w:val="20"/>
          <w:lang w:val="es-CO"/>
        </w:rPr>
        <w:t xml:space="preserve"> de la Declaración Americana</w:t>
      </w:r>
      <w:bookmarkEnd w:id="14"/>
    </w:p>
    <w:p w:rsidR="003142C9" w:rsidRPr="00845503" w:rsidRDefault="003142C9" w:rsidP="003142C9">
      <w:pPr>
        <w:rPr>
          <w:rFonts w:ascii="Cambria" w:hAnsi="Cambria" w:cs="Arial"/>
          <w:sz w:val="20"/>
          <w:szCs w:val="20"/>
          <w:lang w:val="es-CO"/>
        </w:rPr>
      </w:pPr>
    </w:p>
    <w:p w:rsidR="00F53C55"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t>La Declaración American</w:t>
      </w:r>
      <w:r w:rsidR="00616FE6" w:rsidRPr="00845503">
        <w:rPr>
          <w:rFonts w:ascii="Cambria" w:hAnsi="Cambria"/>
          <w:sz w:val="20"/>
          <w:szCs w:val="20"/>
          <w:lang w:val="es-CO"/>
        </w:rPr>
        <w:t>a señala en su artículo IV que</w:t>
      </w:r>
      <w:r w:rsidR="00F53C55" w:rsidRPr="00845503">
        <w:rPr>
          <w:rFonts w:ascii="Cambria" w:hAnsi="Cambria"/>
          <w:sz w:val="20"/>
          <w:szCs w:val="20"/>
          <w:lang w:val="es-CO"/>
        </w:rPr>
        <w:t>:</w:t>
      </w:r>
      <w:r w:rsidR="00616FE6" w:rsidRPr="00845503">
        <w:rPr>
          <w:rFonts w:ascii="Cambria" w:hAnsi="Cambria"/>
          <w:sz w:val="20"/>
          <w:szCs w:val="20"/>
          <w:lang w:val="es-CO"/>
        </w:rPr>
        <w:t xml:space="preserve"> </w:t>
      </w:r>
    </w:p>
    <w:p w:rsidR="00F53C55" w:rsidRPr="00845503" w:rsidRDefault="00F53C55" w:rsidP="00F53C5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sz w:val="20"/>
          <w:szCs w:val="20"/>
          <w:lang w:val="es-CO"/>
        </w:rPr>
      </w:pPr>
    </w:p>
    <w:p w:rsidR="003142C9" w:rsidRPr="00845503" w:rsidRDefault="003142C9" w:rsidP="002E48F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sz w:val="20"/>
          <w:szCs w:val="20"/>
          <w:lang w:val="es-CO"/>
        </w:rPr>
      </w:pPr>
      <w:r w:rsidRPr="00845503">
        <w:rPr>
          <w:sz w:val="20"/>
          <w:szCs w:val="20"/>
          <w:lang w:val="es-CO"/>
        </w:rPr>
        <w:t xml:space="preserve">[t]oda persona tiene derecho a la libertad de investigación, de opinión y de expresión y difusión del pensamiento por cualquier medio. </w:t>
      </w:r>
    </w:p>
    <w:p w:rsidR="00616FE6" w:rsidRPr="00845503" w:rsidRDefault="00616FE6" w:rsidP="00616FE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rsidR="00F53C55" w:rsidRPr="00845503" w:rsidRDefault="0071695F"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lastRenderedPageBreak/>
        <w:t>Por otra parte, e</w:t>
      </w:r>
      <w:r w:rsidR="00616FE6" w:rsidRPr="00845503">
        <w:rPr>
          <w:rFonts w:ascii="Cambria" w:hAnsi="Cambria"/>
          <w:sz w:val="20"/>
          <w:szCs w:val="20"/>
          <w:lang w:val="es-CO"/>
        </w:rPr>
        <w:t>l Artículo XXII</w:t>
      </w:r>
      <w:r w:rsidR="0064625E" w:rsidRPr="00845503">
        <w:rPr>
          <w:rFonts w:ascii="Cambria" w:hAnsi="Cambria"/>
          <w:sz w:val="20"/>
          <w:szCs w:val="20"/>
          <w:lang w:val="es-CO"/>
        </w:rPr>
        <w:t xml:space="preserve"> establece que</w:t>
      </w:r>
      <w:r w:rsidR="00F53C55" w:rsidRPr="00845503">
        <w:rPr>
          <w:rFonts w:ascii="Cambria" w:hAnsi="Cambria"/>
          <w:sz w:val="20"/>
          <w:szCs w:val="20"/>
          <w:lang w:val="es-CO"/>
        </w:rPr>
        <w:t>:</w:t>
      </w:r>
      <w:r w:rsidR="00616FE6" w:rsidRPr="00845503">
        <w:rPr>
          <w:rFonts w:ascii="Cambria" w:hAnsi="Cambria"/>
          <w:sz w:val="20"/>
          <w:szCs w:val="20"/>
          <w:lang w:val="es-CO"/>
        </w:rPr>
        <w:t xml:space="preserve"> </w:t>
      </w:r>
    </w:p>
    <w:p w:rsidR="00F53C55" w:rsidRPr="00845503" w:rsidRDefault="00F53C55" w:rsidP="00F53C5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sz w:val="20"/>
          <w:szCs w:val="20"/>
          <w:lang w:val="es-CO"/>
        </w:rPr>
      </w:pPr>
    </w:p>
    <w:p w:rsidR="00887F90" w:rsidRPr="00845503" w:rsidRDefault="00616FE6" w:rsidP="002E48F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sz w:val="20"/>
          <w:szCs w:val="20"/>
          <w:lang w:val="es-CO"/>
        </w:rPr>
      </w:pPr>
      <w:r w:rsidRPr="00845503">
        <w:rPr>
          <w:sz w:val="20"/>
          <w:szCs w:val="20"/>
          <w:lang w:val="es-CO"/>
        </w:rPr>
        <w:t>[t]</w:t>
      </w:r>
      <w:r w:rsidR="007364FC" w:rsidRPr="00845503">
        <w:rPr>
          <w:sz w:val="20"/>
          <w:szCs w:val="20"/>
          <w:lang w:val="es-CO"/>
        </w:rPr>
        <w:t>o</w:t>
      </w:r>
      <w:r w:rsidRPr="00845503">
        <w:rPr>
          <w:sz w:val="20"/>
          <w:szCs w:val="20"/>
          <w:lang w:val="es-CO"/>
        </w:rPr>
        <w:t>da persona tiene el derecho de asociarse con otras para promover, ejercer y proteger sus intereses legítimos de orden político, económico, religioso, social, cultural, profesional, sindical o de cualquier otro orden.</w:t>
      </w:r>
    </w:p>
    <w:p w:rsidR="00887F90" w:rsidRPr="00845503" w:rsidRDefault="00887F90" w:rsidP="00887F90">
      <w:pPr>
        <w:pStyle w:val="ListParagraph"/>
        <w:rPr>
          <w:sz w:val="20"/>
          <w:szCs w:val="20"/>
          <w:lang w:val="es-MX"/>
        </w:rPr>
      </w:pPr>
    </w:p>
    <w:p w:rsidR="00B27E3A" w:rsidRPr="00845503" w:rsidRDefault="00887F90"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MX"/>
        </w:rPr>
        <w:t xml:space="preserve">Tal como fuera establecido en los hechos probados, los señores </w:t>
      </w:r>
      <w:r w:rsidRPr="00845503">
        <w:rPr>
          <w:rFonts w:ascii="Cambria" w:hAnsi="Cambria"/>
          <w:sz w:val="20"/>
          <w:szCs w:val="20"/>
          <w:lang w:val="es-CO"/>
        </w:rPr>
        <w:t xml:space="preserve">Vladimiro Roca Antúnez, </w:t>
      </w:r>
      <w:r w:rsidRPr="00845503">
        <w:rPr>
          <w:rFonts w:ascii="Cambria" w:hAnsi="Cambria"/>
          <w:sz w:val="20"/>
          <w:szCs w:val="20"/>
          <w:lang w:val="es-ES"/>
        </w:rPr>
        <w:t>Ren</w:t>
      </w:r>
      <w:r w:rsidR="00B27E3A" w:rsidRPr="00845503">
        <w:rPr>
          <w:rFonts w:ascii="Cambria" w:hAnsi="Cambria"/>
          <w:sz w:val="20"/>
          <w:szCs w:val="20"/>
          <w:lang w:val="es-ES"/>
        </w:rPr>
        <w:t>é</w:t>
      </w:r>
      <w:r w:rsidRPr="00845503">
        <w:rPr>
          <w:rFonts w:ascii="Cambria" w:hAnsi="Cambria"/>
          <w:sz w:val="20"/>
          <w:szCs w:val="20"/>
          <w:lang w:val="es-ES"/>
        </w:rPr>
        <w:t xml:space="preserve"> Gómez Manzano, </w:t>
      </w:r>
      <w:r w:rsidR="00967821" w:rsidRPr="00845503">
        <w:rPr>
          <w:rFonts w:ascii="Cambria" w:hAnsi="Cambria"/>
          <w:sz w:val="20"/>
          <w:szCs w:val="20"/>
          <w:lang w:val="es-ES"/>
        </w:rPr>
        <w:t>Martha</w:t>
      </w:r>
      <w:r w:rsidRPr="00845503">
        <w:rPr>
          <w:rFonts w:ascii="Cambria" w:hAnsi="Cambria"/>
          <w:sz w:val="20"/>
          <w:szCs w:val="20"/>
          <w:lang w:val="es-ES"/>
        </w:rPr>
        <w:t xml:space="preserve"> Beatriz Roque Cabello y Félix Bonne Carcassés fueron procesados y condenados penalmente por el delito de sedición. El proceso penal y condena se </w:t>
      </w:r>
      <w:r w:rsidR="009B3919" w:rsidRPr="00845503">
        <w:rPr>
          <w:rFonts w:ascii="Cambria" w:hAnsi="Cambria"/>
          <w:sz w:val="20"/>
          <w:szCs w:val="20"/>
          <w:lang w:val="es-ES"/>
        </w:rPr>
        <w:t>suscitó</w:t>
      </w:r>
      <w:r w:rsidRPr="00845503">
        <w:rPr>
          <w:rFonts w:ascii="Cambria" w:hAnsi="Cambria"/>
          <w:sz w:val="20"/>
          <w:szCs w:val="20"/>
          <w:lang w:val="es-MX"/>
        </w:rPr>
        <w:t xml:space="preserve"> luego de que las presuntas v</w:t>
      </w:r>
      <w:r w:rsidR="00F53C55" w:rsidRPr="00845503">
        <w:rPr>
          <w:rFonts w:ascii="Cambria" w:hAnsi="Cambria"/>
          <w:sz w:val="20"/>
          <w:szCs w:val="20"/>
          <w:lang w:val="es-MX"/>
        </w:rPr>
        <w:t>íctimas conformara</w:t>
      </w:r>
      <w:r w:rsidR="00B27E3A" w:rsidRPr="00845503">
        <w:rPr>
          <w:rFonts w:ascii="Cambria" w:hAnsi="Cambria"/>
          <w:sz w:val="20"/>
          <w:szCs w:val="20"/>
          <w:lang w:val="es-MX"/>
        </w:rPr>
        <w:t xml:space="preserve">n el llamado “Grupo </w:t>
      </w:r>
      <w:r w:rsidR="00092F2B" w:rsidRPr="00845503">
        <w:rPr>
          <w:rFonts w:ascii="Cambria" w:hAnsi="Cambria"/>
          <w:sz w:val="20"/>
          <w:szCs w:val="20"/>
          <w:lang w:val="es-MX"/>
        </w:rPr>
        <w:t>de Trabajo de</w:t>
      </w:r>
      <w:r w:rsidR="00B27E3A" w:rsidRPr="00845503">
        <w:rPr>
          <w:rFonts w:ascii="Cambria" w:hAnsi="Cambria"/>
          <w:sz w:val="20"/>
          <w:szCs w:val="20"/>
          <w:lang w:val="es-MX"/>
        </w:rPr>
        <w:t xml:space="preserve"> la Disidencia Interna” y publicar</w:t>
      </w:r>
      <w:r w:rsidR="00F53C55" w:rsidRPr="00845503">
        <w:rPr>
          <w:rFonts w:ascii="Cambria" w:hAnsi="Cambria"/>
          <w:sz w:val="20"/>
          <w:szCs w:val="20"/>
          <w:lang w:val="es-MX"/>
        </w:rPr>
        <w:t>a</w:t>
      </w:r>
      <w:r w:rsidR="00B27E3A" w:rsidRPr="00845503">
        <w:rPr>
          <w:rFonts w:ascii="Cambria" w:hAnsi="Cambria"/>
          <w:sz w:val="20"/>
          <w:szCs w:val="20"/>
          <w:lang w:val="es-MX"/>
        </w:rPr>
        <w:t>n</w:t>
      </w:r>
      <w:r w:rsidR="00F53C55" w:rsidRPr="00845503">
        <w:rPr>
          <w:rFonts w:ascii="Cambria" w:hAnsi="Cambria"/>
          <w:sz w:val="20"/>
          <w:szCs w:val="20"/>
          <w:lang w:val="es-MX"/>
        </w:rPr>
        <w:t xml:space="preserve"> conjuntamente</w:t>
      </w:r>
      <w:r w:rsidR="00B27E3A" w:rsidRPr="00845503">
        <w:rPr>
          <w:rFonts w:ascii="Cambria" w:hAnsi="Cambria"/>
          <w:sz w:val="20"/>
          <w:szCs w:val="20"/>
          <w:lang w:val="es-MX"/>
        </w:rPr>
        <w:t xml:space="preserve"> varios documentos </w:t>
      </w:r>
      <w:r w:rsidR="00F53C55" w:rsidRPr="00845503">
        <w:rPr>
          <w:rFonts w:ascii="Cambria" w:hAnsi="Cambria"/>
          <w:sz w:val="20"/>
          <w:szCs w:val="20"/>
          <w:lang w:val="es-MX"/>
        </w:rPr>
        <w:t xml:space="preserve">sobre </w:t>
      </w:r>
      <w:r w:rsidR="00B27E3A" w:rsidRPr="00845503">
        <w:rPr>
          <w:rFonts w:ascii="Cambria" w:hAnsi="Cambria"/>
          <w:sz w:val="20"/>
          <w:szCs w:val="20"/>
          <w:lang w:val="es-MX"/>
        </w:rPr>
        <w:t>el sistema político vigente</w:t>
      </w:r>
      <w:r w:rsidR="00F53C55" w:rsidRPr="00845503">
        <w:rPr>
          <w:rFonts w:ascii="Cambria" w:hAnsi="Cambria"/>
          <w:sz w:val="20"/>
          <w:szCs w:val="20"/>
          <w:lang w:val="es-MX"/>
        </w:rPr>
        <w:t xml:space="preserve"> en Cuba</w:t>
      </w:r>
      <w:r w:rsidRPr="00845503">
        <w:rPr>
          <w:rFonts w:ascii="Cambria" w:hAnsi="Cambria"/>
          <w:sz w:val="20"/>
          <w:szCs w:val="20"/>
          <w:lang w:val="es-MX"/>
        </w:rPr>
        <w:t xml:space="preserve">.  </w:t>
      </w:r>
    </w:p>
    <w:p w:rsidR="00B27E3A" w:rsidRPr="00845503" w:rsidRDefault="00B27E3A" w:rsidP="00B27E3A">
      <w:pPr>
        <w:pStyle w:val="ListParagraph"/>
        <w:rPr>
          <w:sz w:val="20"/>
          <w:szCs w:val="20"/>
          <w:lang w:val="es-MX"/>
        </w:rPr>
      </w:pPr>
    </w:p>
    <w:p w:rsidR="00887F90" w:rsidRPr="00845503" w:rsidRDefault="00887F90"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MX"/>
        </w:rPr>
        <w:t xml:space="preserve">De acuerdo a los </w:t>
      </w:r>
      <w:r w:rsidR="007364FC" w:rsidRPr="00845503">
        <w:rPr>
          <w:rFonts w:ascii="Cambria" w:hAnsi="Cambria"/>
          <w:sz w:val="20"/>
          <w:szCs w:val="20"/>
          <w:lang w:val="es-MX"/>
        </w:rPr>
        <w:t xml:space="preserve">alegatos y </w:t>
      </w:r>
      <w:r w:rsidRPr="00845503">
        <w:rPr>
          <w:rFonts w:ascii="Cambria" w:hAnsi="Cambria"/>
          <w:sz w:val="20"/>
          <w:szCs w:val="20"/>
          <w:lang w:val="es-MX"/>
        </w:rPr>
        <w:t xml:space="preserve">hechos expuestos, corresponde a la CIDH establecer si </w:t>
      </w:r>
      <w:r w:rsidR="00B27E3A" w:rsidRPr="00845503">
        <w:rPr>
          <w:rFonts w:ascii="Cambria" w:hAnsi="Cambria"/>
          <w:sz w:val="20"/>
          <w:szCs w:val="20"/>
          <w:lang w:val="es-MX"/>
        </w:rPr>
        <w:t>la condena penal impuesta a los</w:t>
      </w:r>
      <w:r w:rsidR="00092F2B" w:rsidRPr="00845503">
        <w:rPr>
          <w:rFonts w:ascii="Cambria" w:hAnsi="Cambria"/>
          <w:sz w:val="20"/>
          <w:szCs w:val="20"/>
          <w:lang w:val="es-MX"/>
        </w:rPr>
        <w:t xml:space="preserve"> cuatro miembros del “Grupo de Trabajo de</w:t>
      </w:r>
      <w:r w:rsidR="00B27E3A" w:rsidRPr="00845503">
        <w:rPr>
          <w:rFonts w:ascii="Cambria" w:hAnsi="Cambria"/>
          <w:sz w:val="20"/>
          <w:szCs w:val="20"/>
          <w:lang w:val="es-MX"/>
        </w:rPr>
        <w:t xml:space="preserve"> la Disidencia Interna” </w:t>
      </w:r>
      <w:r w:rsidRPr="00845503">
        <w:rPr>
          <w:rFonts w:ascii="Cambria" w:hAnsi="Cambria"/>
          <w:sz w:val="20"/>
          <w:szCs w:val="20"/>
          <w:lang w:val="es-MX"/>
        </w:rPr>
        <w:t>constituyó una vulneración de su derecho a la libertad de expresión</w:t>
      </w:r>
      <w:r w:rsidR="00B27E3A" w:rsidRPr="00845503">
        <w:rPr>
          <w:rFonts w:ascii="Cambria" w:hAnsi="Cambria"/>
          <w:sz w:val="20"/>
          <w:szCs w:val="20"/>
          <w:lang w:val="es-MX"/>
        </w:rPr>
        <w:t xml:space="preserve"> y del derecho de asociación</w:t>
      </w:r>
      <w:r w:rsidRPr="00845503">
        <w:rPr>
          <w:rFonts w:ascii="Cambria" w:hAnsi="Cambria"/>
          <w:sz w:val="20"/>
          <w:szCs w:val="20"/>
          <w:lang w:val="es-MX"/>
        </w:rPr>
        <w:t xml:space="preserve">. En otras palabras, la Comisión resolverá si existió una </w:t>
      </w:r>
      <w:r w:rsidR="00B27E3A" w:rsidRPr="00845503">
        <w:rPr>
          <w:rFonts w:ascii="Cambria" w:hAnsi="Cambria"/>
          <w:sz w:val="20"/>
          <w:szCs w:val="20"/>
          <w:lang w:val="es-MX"/>
        </w:rPr>
        <w:t>restricción</w:t>
      </w:r>
      <w:r w:rsidRPr="00845503">
        <w:rPr>
          <w:rFonts w:ascii="Cambria" w:hAnsi="Cambria"/>
          <w:sz w:val="20"/>
          <w:szCs w:val="20"/>
          <w:lang w:val="es-MX"/>
        </w:rPr>
        <w:t xml:space="preserve"> al ejercicio del derecho a la libertad de expresión </w:t>
      </w:r>
      <w:r w:rsidR="00B27E3A" w:rsidRPr="00845503">
        <w:rPr>
          <w:rFonts w:ascii="Cambria" w:hAnsi="Cambria"/>
          <w:sz w:val="20"/>
          <w:szCs w:val="20"/>
          <w:lang w:val="es-MX"/>
        </w:rPr>
        <w:t xml:space="preserve">y de asociación </w:t>
      </w:r>
      <w:r w:rsidRPr="00845503">
        <w:rPr>
          <w:rFonts w:ascii="Cambria" w:hAnsi="Cambria"/>
          <w:sz w:val="20"/>
          <w:szCs w:val="20"/>
          <w:lang w:val="es-MX"/>
        </w:rPr>
        <w:t>de la</w:t>
      </w:r>
      <w:r w:rsidR="00B27E3A" w:rsidRPr="00845503">
        <w:rPr>
          <w:rFonts w:ascii="Cambria" w:hAnsi="Cambria"/>
          <w:sz w:val="20"/>
          <w:szCs w:val="20"/>
          <w:lang w:val="es-MX"/>
        </w:rPr>
        <w:t>s</w:t>
      </w:r>
      <w:r w:rsidRPr="00845503">
        <w:rPr>
          <w:rFonts w:ascii="Cambria" w:hAnsi="Cambria"/>
          <w:sz w:val="20"/>
          <w:szCs w:val="20"/>
          <w:lang w:val="es-MX"/>
        </w:rPr>
        <w:t xml:space="preserve"> presunta</w:t>
      </w:r>
      <w:r w:rsidR="00B27E3A" w:rsidRPr="00845503">
        <w:rPr>
          <w:rFonts w:ascii="Cambria" w:hAnsi="Cambria"/>
          <w:sz w:val="20"/>
          <w:szCs w:val="20"/>
          <w:lang w:val="es-MX"/>
        </w:rPr>
        <w:t>s</w:t>
      </w:r>
      <w:r w:rsidRPr="00845503">
        <w:rPr>
          <w:rFonts w:ascii="Cambria" w:hAnsi="Cambria"/>
          <w:sz w:val="20"/>
          <w:szCs w:val="20"/>
          <w:lang w:val="es-MX"/>
        </w:rPr>
        <w:t xml:space="preserve"> víctima</w:t>
      </w:r>
      <w:r w:rsidR="00B27E3A" w:rsidRPr="00845503">
        <w:rPr>
          <w:rFonts w:ascii="Cambria" w:hAnsi="Cambria"/>
          <w:sz w:val="20"/>
          <w:szCs w:val="20"/>
          <w:lang w:val="es-MX"/>
        </w:rPr>
        <w:t>s</w:t>
      </w:r>
      <w:r w:rsidRPr="00845503">
        <w:rPr>
          <w:rFonts w:ascii="Cambria" w:hAnsi="Cambria"/>
          <w:sz w:val="20"/>
          <w:szCs w:val="20"/>
          <w:lang w:val="es-MX"/>
        </w:rPr>
        <w:t xml:space="preserve">, y en caso afirmativo, si dicha </w:t>
      </w:r>
      <w:r w:rsidR="00B27E3A" w:rsidRPr="00845503">
        <w:rPr>
          <w:rFonts w:ascii="Cambria" w:hAnsi="Cambria"/>
          <w:sz w:val="20"/>
          <w:szCs w:val="20"/>
          <w:lang w:val="es-MX"/>
        </w:rPr>
        <w:t>restricción</w:t>
      </w:r>
      <w:r w:rsidRPr="00845503">
        <w:rPr>
          <w:rFonts w:ascii="Cambria" w:hAnsi="Cambria"/>
          <w:sz w:val="20"/>
          <w:szCs w:val="20"/>
          <w:lang w:val="es-MX"/>
        </w:rPr>
        <w:t xml:space="preserve"> satisface los requisitos establecidos en</w:t>
      </w:r>
      <w:r w:rsidR="00B27E3A" w:rsidRPr="00845503">
        <w:rPr>
          <w:rFonts w:ascii="Cambria" w:hAnsi="Cambria"/>
          <w:sz w:val="20"/>
          <w:szCs w:val="20"/>
          <w:lang w:val="es-MX"/>
        </w:rPr>
        <w:t xml:space="preserve"> el derecho internacional de los derechos humanos</w:t>
      </w:r>
      <w:r w:rsidRPr="00845503">
        <w:rPr>
          <w:rFonts w:ascii="Cambria" w:hAnsi="Cambria"/>
          <w:sz w:val="20"/>
          <w:szCs w:val="20"/>
          <w:lang w:val="es-MX"/>
        </w:rPr>
        <w:t>.</w:t>
      </w:r>
      <w:r w:rsidR="00651235" w:rsidRPr="00845503">
        <w:rPr>
          <w:rFonts w:ascii="Cambria" w:hAnsi="Cambria"/>
          <w:sz w:val="20"/>
          <w:szCs w:val="20"/>
          <w:lang w:val="es-MX"/>
        </w:rPr>
        <w:t xml:space="preserve"> Para</w:t>
      </w:r>
      <w:r w:rsidR="00092F2B" w:rsidRPr="00845503">
        <w:rPr>
          <w:rFonts w:ascii="Cambria" w:hAnsi="Cambria"/>
          <w:sz w:val="20"/>
          <w:szCs w:val="20"/>
          <w:lang w:val="es-MX"/>
        </w:rPr>
        <w:t xml:space="preserve"> ello</w:t>
      </w:r>
      <w:r w:rsidRPr="00845503">
        <w:rPr>
          <w:rFonts w:ascii="Cambria" w:hAnsi="Cambria"/>
          <w:sz w:val="20"/>
          <w:szCs w:val="20"/>
          <w:lang w:val="es-MX"/>
        </w:rPr>
        <w:t xml:space="preserve">, la Comisión abordará, </w:t>
      </w:r>
      <w:r w:rsidR="00F53C55" w:rsidRPr="00845503">
        <w:rPr>
          <w:rFonts w:ascii="Cambria" w:hAnsi="Cambria"/>
          <w:sz w:val="20"/>
          <w:szCs w:val="20"/>
          <w:lang w:val="es-MX"/>
        </w:rPr>
        <w:t>brevemente</w:t>
      </w:r>
      <w:r w:rsidRPr="00845503">
        <w:rPr>
          <w:rFonts w:ascii="Cambria" w:hAnsi="Cambria"/>
          <w:sz w:val="20"/>
          <w:szCs w:val="20"/>
          <w:lang w:val="es-MX"/>
        </w:rPr>
        <w:t>, el alcance y protección del derecho a la libertad de expresión</w:t>
      </w:r>
      <w:r w:rsidR="00F53C55" w:rsidRPr="00845503">
        <w:rPr>
          <w:rFonts w:ascii="Cambria" w:hAnsi="Cambria"/>
          <w:sz w:val="20"/>
          <w:szCs w:val="20"/>
          <w:lang w:val="es-MX"/>
        </w:rPr>
        <w:t xml:space="preserve"> y de asociación con fines políticos e ideológicos</w:t>
      </w:r>
      <w:r w:rsidRPr="00845503">
        <w:rPr>
          <w:rFonts w:ascii="Cambria" w:hAnsi="Cambria"/>
          <w:sz w:val="20"/>
          <w:szCs w:val="20"/>
          <w:lang w:val="es-MX"/>
        </w:rPr>
        <w:t xml:space="preserve">, y precisará su doctrina sobre los límites permisibles </w:t>
      </w:r>
      <w:r w:rsidR="00F53C55" w:rsidRPr="00845503">
        <w:rPr>
          <w:rFonts w:ascii="Cambria" w:hAnsi="Cambria"/>
          <w:sz w:val="20"/>
          <w:szCs w:val="20"/>
          <w:lang w:val="es-MX"/>
        </w:rPr>
        <w:t>a estos derechos</w:t>
      </w:r>
      <w:r w:rsidRPr="00845503">
        <w:rPr>
          <w:rFonts w:ascii="Cambria" w:hAnsi="Cambria"/>
          <w:sz w:val="20"/>
          <w:szCs w:val="20"/>
          <w:lang w:val="es-MX"/>
        </w:rPr>
        <w:t>. Sobre la base de estas consideraciones, analizará el caso concreto.</w:t>
      </w:r>
    </w:p>
    <w:p w:rsidR="00F53C55" w:rsidRPr="00845503" w:rsidRDefault="00F53C55" w:rsidP="00F53C55">
      <w:pPr>
        <w:pStyle w:val="ListParagraph"/>
        <w:rPr>
          <w:sz w:val="20"/>
          <w:szCs w:val="20"/>
          <w:lang w:val="es-CO"/>
        </w:rPr>
      </w:pPr>
    </w:p>
    <w:p w:rsidR="00F53C55" w:rsidRPr="00845503" w:rsidRDefault="00F53C55" w:rsidP="009C22C5">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sz w:val="20"/>
          <w:szCs w:val="20"/>
          <w:lang w:val="es-CO"/>
        </w:rPr>
      </w:pPr>
      <w:r w:rsidRPr="00845503">
        <w:rPr>
          <w:b/>
          <w:sz w:val="20"/>
          <w:szCs w:val="20"/>
          <w:lang w:val="es-HN"/>
        </w:rPr>
        <w:t xml:space="preserve">El derecho a la libertad de expresión y la libertad de asociación </w:t>
      </w:r>
    </w:p>
    <w:p w:rsidR="00C43DAA" w:rsidRPr="00845503" w:rsidRDefault="00C43DAA" w:rsidP="00C43DAA">
      <w:pPr>
        <w:pStyle w:val="ListParagraph"/>
        <w:rPr>
          <w:sz w:val="20"/>
          <w:szCs w:val="20"/>
          <w:lang w:val="es-CO"/>
        </w:rPr>
      </w:pPr>
    </w:p>
    <w:p w:rsidR="006E1CD9" w:rsidRPr="00845503" w:rsidRDefault="00820AE8"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Calibri" w:hAnsi="Cambria"/>
          <w:sz w:val="20"/>
          <w:szCs w:val="20"/>
          <w:lang w:val="es-ES"/>
        </w:rPr>
      </w:pPr>
      <w:r w:rsidRPr="00845503">
        <w:rPr>
          <w:rFonts w:ascii="Cambria" w:hAnsi="Cambria"/>
          <w:sz w:val="20"/>
          <w:szCs w:val="20"/>
          <w:lang w:val="es-ES"/>
        </w:rPr>
        <w:t xml:space="preserve">La CIDH ha reconocido en reiteradas oportunidades que </w:t>
      </w:r>
      <w:r w:rsidR="00300951" w:rsidRPr="00845503">
        <w:rPr>
          <w:rFonts w:ascii="Cambria" w:hAnsi="Cambria"/>
          <w:sz w:val="20"/>
          <w:szCs w:val="20"/>
          <w:lang w:val="es-ES"/>
        </w:rPr>
        <w:t>l</w:t>
      </w:r>
      <w:r w:rsidR="009B3919" w:rsidRPr="00845503">
        <w:rPr>
          <w:rFonts w:ascii="Cambria" w:hAnsi="Cambria"/>
          <w:sz w:val="20"/>
          <w:szCs w:val="20"/>
          <w:lang w:val="es-ES"/>
        </w:rPr>
        <w:t xml:space="preserve">a libertad de expresar ideas y difundir información de toda índole </w:t>
      </w:r>
      <w:r w:rsidR="00EE1570" w:rsidRPr="00845503">
        <w:rPr>
          <w:rFonts w:ascii="Cambria" w:hAnsi="Cambria"/>
          <w:sz w:val="20"/>
          <w:szCs w:val="20"/>
          <w:lang w:val="es-ES"/>
        </w:rPr>
        <w:t xml:space="preserve">y sin consideración de fronteras </w:t>
      </w:r>
      <w:r w:rsidR="000C4E39" w:rsidRPr="00845503">
        <w:rPr>
          <w:rFonts w:ascii="Cambria" w:hAnsi="Cambria"/>
          <w:sz w:val="20"/>
          <w:szCs w:val="20"/>
          <w:lang w:val="es-ES"/>
        </w:rPr>
        <w:t xml:space="preserve">es un derecho  fundamental e inalienable, inherente a todas las personas. </w:t>
      </w:r>
      <w:r w:rsidR="006E1CD9" w:rsidRPr="00845503">
        <w:rPr>
          <w:rFonts w:ascii="Cambria" w:hAnsi="Cambria"/>
          <w:sz w:val="20"/>
          <w:szCs w:val="20"/>
          <w:lang w:val="es-ES"/>
        </w:rPr>
        <w:t>S</w:t>
      </w:r>
      <w:r w:rsidR="006E1CD9" w:rsidRPr="00845503">
        <w:rPr>
          <w:rFonts w:ascii="Cambria" w:eastAsia="Calibri" w:hAnsi="Cambria"/>
          <w:sz w:val="20"/>
          <w:szCs w:val="20"/>
          <w:lang w:val="es-ES"/>
        </w:rPr>
        <w:t>e trata de “uno de los derechos individuales que de manera más clara refleja la virtud que acompaña—y caracteriza—a los seres humanos: la virtud única y preciosa de pensar al mundo desde nuestra propia perspectiva y de comunicarnos con los otros para construir, a través de un proceso deliberativo, no sólo el modelo de vida que cada uno tiene derecho a adoptar, sino el modelo de sociedad en el cual queremos vivir”</w:t>
      </w:r>
      <w:r w:rsidR="006E1CD9" w:rsidRPr="00845503">
        <w:rPr>
          <w:rStyle w:val="FootnoteReference"/>
          <w:rFonts w:ascii="Cambria" w:eastAsia="Calibri" w:hAnsi="Cambria"/>
          <w:sz w:val="20"/>
          <w:szCs w:val="20"/>
          <w:lang w:val="es-ES"/>
        </w:rPr>
        <w:footnoteReference w:id="59"/>
      </w:r>
      <w:r w:rsidR="006E1CD9" w:rsidRPr="00845503">
        <w:rPr>
          <w:rFonts w:ascii="Cambria" w:eastAsia="Calibri" w:hAnsi="Cambria"/>
          <w:sz w:val="20"/>
          <w:szCs w:val="20"/>
          <w:lang w:val="es-ES"/>
        </w:rPr>
        <w:t xml:space="preserve">. </w:t>
      </w:r>
    </w:p>
    <w:p w:rsidR="006E1CD9" w:rsidRPr="00845503" w:rsidRDefault="006E1CD9" w:rsidP="006E1CD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eastAsia="Calibri"/>
          <w:sz w:val="20"/>
          <w:szCs w:val="20"/>
          <w:lang w:val="es-ES"/>
        </w:rPr>
      </w:pPr>
    </w:p>
    <w:p w:rsidR="0010048E" w:rsidRPr="00845503" w:rsidRDefault="006E1CD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ES"/>
        </w:rPr>
        <w:t>E</w:t>
      </w:r>
      <w:r w:rsidR="00300951" w:rsidRPr="00845503">
        <w:rPr>
          <w:rFonts w:ascii="Cambria" w:hAnsi="Cambria"/>
          <w:sz w:val="20"/>
          <w:szCs w:val="20"/>
          <w:lang w:val="es-ES"/>
        </w:rPr>
        <w:t>s,</w:t>
      </w:r>
      <w:r w:rsidR="000C4E39" w:rsidRPr="00845503">
        <w:rPr>
          <w:rFonts w:ascii="Cambria" w:hAnsi="Cambria"/>
          <w:sz w:val="20"/>
          <w:szCs w:val="20"/>
          <w:lang w:val="es-ES"/>
        </w:rPr>
        <w:t xml:space="preserve"> además, un requisito indispensable para la existencia misma de una sociedad democrática. </w:t>
      </w:r>
      <w:r w:rsidR="00300951" w:rsidRPr="00845503">
        <w:rPr>
          <w:rFonts w:ascii="Cambria" w:hAnsi="Cambria"/>
          <w:sz w:val="20"/>
          <w:szCs w:val="20"/>
          <w:lang w:val="es-ES"/>
        </w:rPr>
        <w:t>El objetivo mismo de ese derecho es el de fortalecer el funcionamiento de sistemas democráticos pluralistas y deliberativos, mediante la protección y el fomento de la libre circulación de i</w:t>
      </w:r>
      <w:r w:rsidR="00EE1570" w:rsidRPr="00845503">
        <w:rPr>
          <w:rFonts w:ascii="Cambria" w:hAnsi="Cambria"/>
          <w:sz w:val="20"/>
          <w:szCs w:val="20"/>
          <w:lang w:val="es-ES"/>
        </w:rPr>
        <w:t>nformación, ideas y expresiones</w:t>
      </w:r>
      <w:r w:rsidR="00300951" w:rsidRPr="00845503">
        <w:rPr>
          <w:rStyle w:val="FootnoteReference"/>
          <w:rFonts w:ascii="Cambria" w:hAnsi="Cambria"/>
          <w:sz w:val="20"/>
          <w:szCs w:val="20"/>
          <w:lang w:val="es-ES"/>
        </w:rPr>
        <w:footnoteReference w:id="60"/>
      </w:r>
      <w:r w:rsidR="00300951" w:rsidRPr="00845503">
        <w:rPr>
          <w:rFonts w:ascii="Cambria" w:hAnsi="Cambria"/>
          <w:sz w:val="20"/>
          <w:szCs w:val="20"/>
          <w:lang w:val="es-ES"/>
        </w:rPr>
        <w:t xml:space="preserve">. En este sentido, </w:t>
      </w:r>
      <w:r w:rsidR="00D963DB" w:rsidRPr="00845503">
        <w:rPr>
          <w:rFonts w:ascii="Cambria" w:hAnsi="Cambria"/>
          <w:sz w:val="20"/>
          <w:szCs w:val="20"/>
          <w:lang w:val="es-ES"/>
        </w:rPr>
        <w:t xml:space="preserve">en su opinión consultiva No. 5 </w:t>
      </w:r>
      <w:r w:rsidR="00300951" w:rsidRPr="00845503">
        <w:rPr>
          <w:rFonts w:ascii="Cambria" w:hAnsi="Cambria"/>
          <w:sz w:val="20"/>
          <w:szCs w:val="20"/>
          <w:lang w:val="es-ES"/>
        </w:rPr>
        <w:t xml:space="preserve">la Corte Interamericana </w:t>
      </w:r>
      <w:r w:rsidR="00D963DB" w:rsidRPr="00845503">
        <w:rPr>
          <w:rFonts w:ascii="Cambria" w:hAnsi="Cambria"/>
          <w:sz w:val="20"/>
          <w:szCs w:val="20"/>
          <w:lang w:val="es-ES"/>
        </w:rPr>
        <w:t>afirmó</w:t>
      </w:r>
      <w:r w:rsidR="00300951" w:rsidRPr="00845503">
        <w:rPr>
          <w:rFonts w:ascii="Cambria" w:hAnsi="Cambria"/>
          <w:sz w:val="20"/>
          <w:szCs w:val="20"/>
          <w:lang w:val="es-ES"/>
        </w:rPr>
        <w:t xml:space="preserve"> que:</w:t>
      </w:r>
      <w:r w:rsidR="00300951" w:rsidRPr="00845503">
        <w:rPr>
          <w:rFonts w:ascii="Cambria" w:hAnsi="Cambria"/>
          <w:sz w:val="20"/>
          <w:szCs w:val="20"/>
          <w:lang w:val="es-CO"/>
        </w:rPr>
        <w:t xml:space="preserve"> </w:t>
      </w:r>
    </w:p>
    <w:p w:rsidR="0010048E" w:rsidRPr="00845503" w:rsidRDefault="0010048E" w:rsidP="0010048E">
      <w:pPr>
        <w:pStyle w:val="ListParagraph"/>
        <w:rPr>
          <w:sz w:val="20"/>
          <w:szCs w:val="20"/>
          <w:lang w:val="es-CO"/>
        </w:rPr>
      </w:pPr>
    </w:p>
    <w:p w:rsidR="000C4E39" w:rsidRPr="00845503" w:rsidRDefault="000C4E39" w:rsidP="002E48F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right="720"/>
        <w:jc w:val="both"/>
        <w:rPr>
          <w:sz w:val="20"/>
          <w:szCs w:val="20"/>
          <w:lang w:val="es-CO"/>
        </w:rPr>
      </w:pPr>
      <w:r w:rsidRPr="00845503">
        <w:rPr>
          <w:sz w:val="20"/>
          <w:szCs w:val="20"/>
          <w:lang w:val="es-ES"/>
        </w:rPr>
        <w:t>La libertad de expresión es una piedra angular en la existencia misma de u</w:t>
      </w:r>
      <w:r w:rsidR="00820AE8" w:rsidRPr="00845503">
        <w:rPr>
          <w:sz w:val="20"/>
          <w:szCs w:val="20"/>
          <w:lang w:val="es-ES"/>
        </w:rPr>
        <w:t xml:space="preserve"> </w:t>
      </w:r>
      <w:r w:rsidRPr="00845503">
        <w:rPr>
          <w:sz w:val="20"/>
          <w:szCs w:val="20"/>
          <w:lang w:val="es-ES"/>
        </w:rPr>
        <w:t xml:space="preserve">na sociedad democrática. Es indispensable para la formación de la opinión pública. Es también </w:t>
      </w:r>
      <w:r w:rsidRPr="00845503">
        <w:rPr>
          <w:i/>
          <w:sz w:val="20"/>
          <w:szCs w:val="20"/>
          <w:lang w:val="es-ES"/>
        </w:rPr>
        <w:t>conditio</w:t>
      </w:r>
      <w:r w:rsidRPr="00845503">
        <w:rPr>
          <w:sz w:val="20"/>
          <w:szCs w:val="20"/>
          <w:lang w:val="es-ES"/>
        </w:rPr>
        <w:t xml:space="preserve"> </w:t>
      </w:r>
      <w:r w:rsidRPr="00845503">
        <w:rPr>
          <w:i/>
          <w:sz w:val="20"/>
          <w:szCs w:val="20"/>
          <w:lang w:val="es-ES"/>
        </w:rPr>
        <w:t>sine qua non</w:t>
      </w:r>
      <w:r w:rsidRPr="00845503">
        <w:rPr>
          <w:sz w:val="20"/>
          <w:szCs w:val="20"/>
          <w:lang w:val="es-ES"/>
        </w:rPr>
        <w:t xml:space="preserve"> para que los partidos políticos, los sindicatos, las sociedades científicas y culturales, y en general, quienes deseen influir sobre la colectividad puedan desarrollarse plenamente. Es, en fin, condición para que la comunidad, a la hora de ejercer sus opciones, </w:t>
      </w:r>
      <w:r w:rsidRPr="00845503">
        <w:rPr>
          <w:sz w:val="20"/>
          <w:szCs w:val="20"/>
          <w:lang w:val="es-ES"/>
        </w:rPr>
        <w:lastRenderedPageBreak/>
        <w:t>esté suficientemente informada. Por ende, es posible afirmar que una sociedad que no está bien i</w:t>
      </w:r>
      <w:r w:rsidR="00B20059" w:rsidRPr="00845503">
        <w:rPr>
          <w:sz w:val="20"/>
          <w:szCs w:val="20"/>
          <w:lang w:val="es-ES"/>
        </w:rPr>
        <w:t>nformada no es plenamente libre</w:t>
      </w:r>
      <w:r w:rsidR="00A10EFE" w:rsidRPr="00845503">
        <w:rPr>
          <w:rStyle w:val="FootnoteReference"/>
          <w:sz w:val="20"/>
          <w:szCs w:val="20"/>
        </w:rPr>
        <w:footnoteReference w:id="61"/>
      </w:r>
      <w:r w:rsidR="00A10EFE" w:rsidRPr="00845503">
        <w:rPr>
          <w:sz w:val="20"/>
          <w:szCs w:val="20"/>
          <w:lang w:val="es-ES"/>
        </w:rPr>
        <w:t xml:space="preserve">. </w:t>
      </w:r>
    </w:p>
    <w:p w:rsidR="000C4E39" w:rsidRPr="00845503" w:rsidRDefault="000C4E39" w:rsidP="000C4E39">
      <w:pPr>
        <w:pStyle w:val="ListParagraph"/>
        <w:rPr>
          <w:sz w:val="20"/>
          <w:szCs w:val="20"/>
          <w:lang w:val="es-ES"/>
        </w:rPr>
      </w:pPr>
    </w:p>
    <w:p w:rsidR="00E05B8D" w:rsidRPr="00845503" w:rsidRDefault="00300951"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Calibri" w:hAnsi="Cambria"/>
          <w:sz w:val="20"/>
          <w:szCs w:val="20"/>
          <w:lang w:val="es-ES"/>
        </w:rPr>
      </w:pPr>
      <w:r w:rsidRPr="00845503">
        <w:rPr>
          <w:rFonts w:ascii="Cambria" w:hAnsi="Cambria"/>
          <w:sz w:val="20"/>
          <w:szCs w:val="20"/>
          <w:lang w:val="es-AR"/>
        </w:rPr>
        <w:t>La CIDH ha indicado que “cuando el artículo IV de la Declaración proclama que ‘toda persona tiene derecho a la libertad de investigación, de opinión y de expresión y difusión del pensamiento’ a través de cualquier medio, está señalando que la expresión y la difusión del pensamiento son indivisibles, de modo que una restricción de las posibilidades de divulgación representa directamente, y en la misma medida, un límite al derecho de expresarse libremente”</w:t>
      </w:r>
      <w:r w:rsidRPr="00845503">
        <w:rPr>
          <w:rStyle w:val="FootnoteReference"/>
          <w:rFonts w:ascii="Cambria" w:hAnsi="Cambria"/>
          <w:sz w:val="20"/>
          <w:szCs w:val="20"/>
          <w:lang w:val="es-AR"/>
        </w:rPr>
        <w:footnoteReference w:id="62"/>
      </w:r>
      <w:r w:rsidRPr="00845503">
        <w:rPr>
          <w:rFonts w:ascii="Cambria" w:hAnsi="Cambria"/>
          <w:sz w:val="20"/>
          <w:szCs w:val="20"/>
          <w:lang w:val="es-AR"/>
        </w:rPr>
        <w:t xml:space="preserve">. En efecto, </w:t>
      </w:r>
      <w:r w:rsidR="00A57FE0" w:rsidRPr="00845503">
        <w:rPr>
          <w:rFonts w:ascii="Cambria" w:hAnsi="Cambria"/>
          <w:sz w:val="20"/>
          <w:szCs w:val="20"/>
          <w:lang w:val="es-AR"/>
        </w:rPr>
        <w:t xml:space="preserve">de acuerdo con </w:t>
      </w:r>
      <w:r w:rsidRPr="00845503">
        <w:rPr>
          <w:rFonts w:ascii="Cambria" w:hAnsi="Cambria"/>
          <w:sz w:val="20"/>
          <w:szCs w:val="20"/>
          <w:lang w:val="es-AR"/>
        </w:rPr>
        <w:t>la doctrina y jurisprudencia del siste</w:t>
      </w:r>
      <w:r w:rsidR="00A57FE0" w:rsidRPr="00845503">
        <w:rPr>
          <w:rFonts w:ascii="Cambria" w:hAnsi="Cambria"/>
          <w:sz w:val="20"/>
          <w:szCs w:val="20"/>
          <w:lang w:val="es-AR"/>
        </w:rPr>
        <w:t xml:space="preserve">ma interamericano </w:t>
      </w:r>
      <w:r w:rsidR="00A10EFE" w:rsidRPr="00845503">
        <w:rPr>
          <w:rFonts w:ascii="Cambria" w:hAnsi="Cambria"/>
          <w:sz w:val="20"/>
          <w:szCs w:val="20"/>
          <w:lang w:val="es-ES"/>
        </w:rPr>
        <w:t xml:space="preserve">la libertad de expresión tiene una dimensión individual y una dimensión social, </w:t>
      </w:r>
      <w:r w:rsidR="00A57FE0" w:rsidRPr="00845503">
        <w:rPr>
          <w:rFonts w:ascii="Cambria" w:hAnsi="Cambria"/>
          <w:sz w:val="20"/>
          <w:szCs w:val="20"/>
          <w:lang w:val="es-ES"/>
        </w:rPr>
        <w:t xml:space="preserve">que </w:t>
      </w:r>
      <w:r w:rsidR="00A10EFE" w:rsidRPr="00845503">
        <w:rPr>
          <w:rFonts w:ascii="Cambria" w:hAnsi="Cambria"/>
          <w:sz w:val="20"/>
          <w:szCs w:val="20"/>
          <w:lang w:val="es-ES"/>
        </w:rPr>
        <w:t>deben ser garantizadas plenamente en forma simu</w:t>
      </w:r>
      <w:r w:rsidR="00755876" w:rsidRPr="00845503">
        <w:rPr>
          <w:rFonts w:ascii="Cambria" w:hAnsi="Cambria"/>
          <w:sz w:val="20"/>
          <w:szCs w:val="20"/>
          <w:lang w:val="es-ES"/>
        </w:rPr>
        <w:t>ltánea para dar efectividad</w:t>
      </w:r>
      <w:r w:rsidR="00A10EFE" w:rsidRPr="00845503">
        <w:rPr>
          <w:rFonts w:ascii="Cambria" w:hAnsi="Cambria"/>
          <w:sz w:val="20"/>
          <w:szCs w:val="20"/>
          <w:lang w:val="es-ES"/>
        </w:rPr>
        <w:t xml:space="preserve"> al derecho a la libertad de expresión</w:t>
      </w:r>
      <w:r w:rsidR="00A10EFE" w:rsidRPr="00845503">
        <w:rPr>
          <w:rStyle w:val="FootnoteReference"/>
          <w:rFonts w:ascii="Cambria" w:hAnsi="Cambria"/>
          <w:sz w:val="20"/>
          <w:szCs w:val="20"/>
        </w:rPr>
        <w:footnoteReference w:id="63"/>
      </w:r>
      <w:r w:rsidR="00A10EFE" w:rsidRPr="00845503">
        <w:rPr>
          <w:rFonts w:ascii="Cambria" w:hAnsi="Cambria"/>
          <w:sz w:val="20"/>
          <w:szCs w:val="20"/>
          <w:lang w:val="es-ES"/>
        </w:rPr>
        <w:t>.</w:t>
      </w:r>
      <w:r w:rsidR="00A57FE0" w:rsidRPr="00845503">
        <w:rPr>
          <w:rFonts w:ascii="Cambria" w:hAnsi="Cambria"/>
          <w:sz w:val="20"/>
          <w:szCs w:val="20"/>
          <w:lang w:val="es-ES"/>
        </w:rPr>
        <w:t xml:space="preserve"> L</w:t>
      </w:r>
      <w:r w:rsidR="00A10EFE" w:rsidRPr="00845503">
        <w:rPr>
          <w:rFonts w:ascii="Cambria" w:eastAsia="Calibri" w:hAnsi="Cambria"/>
          <w:sz w:val="20"/>
          <w:szCs w:val="20"/>
          <w:lang w:val="es-ES"/>
        </w:rPr>
        <w:t>a libertad de expresión requiere, por un lado, que nadie sea arbitrariamente menoscabado o impedido de manifestar su propio pensamiento</w:t>
      </w:r>
      <w:r w:rsidR="00A57FE0" w:rsidRPr="00845503">
        <w:rPr>
          <w:rFonts w:ascii="Cambria" w:eastAsia="Calibri" w:hAnsi="Cambria"/>
          <w:sz w:val="20"/>
          <w:szCs w:val="20"/>
          <w:lang w:val="es-ES"/>
        </w:rPr>
        <w:t xml:space="preserve"> y difundir informaciones de toda índole</w:t>
      </w:r>
      <w:r w:rsidR="00A10EFE" w:rsidRPr="00845503">
        <w:rPr>
          <w:rFonts w:ascii="Cambria" w:eastAsia="Calibri" w:hAnsi="Cambria"/>
          <w:sz w:val="20"/>
          <w:szCs w:val="20"/>
          <w:lang w:val="es-ES"/>
        </w:rPr>
        <w:t>; pero implica también, por otro lado, un derecho colectivo a recibir cualquier información y a conocer la expresión del pensamiento ajeno</w:t>
      </w:r>
      <w:r w:rsidR="00A10EFE" w:rsidRPr="00845503">
        <w:rPr>
          <w:rStyle w:val="FootnoteReference"/>
          <w:rFonts w:ascii="Cambria" w:eastAsia="Calibri" w:hAnsi="Cambria"/>
          <w:sz w:val="20"/>
          <w:szCs w:val="20"/>
        </w:rPr>
        <w:footnoteReference w:id="64"/>
      </w:r>
      <w:r w:rsidR="00A10EFE" w:rsidRPr="00845503">
        <w:rPr>
          <w:rFonts w:ascii="Cambria" w:eastAsia="Calibri" w:hAnsi="Cambria"/>
          <w:sz w:val="20"/>
          <w:szCs w:val="20"/>
          <w:lang w:val="es-ES"/>
        </w:rPr>
        <w:t>.</w:t>
      </w:r>
    </w:p>
    <w:p w:rsidR="00E05B8D" w:rsidRPr="00845503" w:rsidRDefault="00E05B8D" w:rsidP="00E05B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eastAsia="Calibri"/>
          <w:sz w:val="20"/>
          <w:szCs w:val="20"/>
          <w:lang w:val="es-ES"/>
        </w:rPr>
      </w:pPr>
    </w:p>
    <w:p w:rsidR="00666B21" w:rsidRPr="00845503" w:rsidRDefault="00A10EFE"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Calibri" w:hAnsi="Cambria"/>
          <w:sz w:val="20"/>
          <w:szCs w:val="20"/>
          <w:lang w:val="es-ES"/>
        </w:rPr>
      </w:pPr>
      <w:r w:rsidRPr="00845503">
        <w:rPr>
          <w:rFonts w:ascii="Cambria" w:hAnsi="Cambria"/>
          <w:sz w:val="20"/>
          <w:szCs w:val="20"/>
          <w:lang w:val="es-AR"/>
        </w:rPr>
        <w:t xml:space="preserve">De forma similar, </w:t>
      </w:r>
      <w:r w:rsidR="00B31A30" w:rsidRPr="00845503">
        <w:rPr>
          <w:rFonts w:ascii="Cambria" w:hAnsi="Cambria"/>
          <w:sz w:val="20"/>
          <w:szCs w:val="20"/>
          <w:lang w:val="es-AR"/>
        </w:rPr>
        <w:t>la libertad de asociarse con otras personas es un derecho</w:t>
      </w:r>
      <w:r w:rsidR="00B31A30" w:rsidRPr="00845503">
        <w:rPr>
          <w:rFonts w:ascii="Cambria" w:eastAsia="Times New Roman" w:hAnsi="Cambria"/>
          <w:sz w:val="20"/>
          <w:szCs w:val="20"/>
          <w:lang w:val="es-ES"/>
        </w:rPr>
        <w:t xml:space="preserve"> fundamental, vinculado a la existencia de toda sociedad democrática. </w:t>
      </w:r>
      <w:r w:rsidR="00397535" w:rsidRPr="00845503">
        <w:rPr>
          <w:rFonts w:ascii="Cambria" w:eastAsia="Calibri" w:hAnsi="Cambria"/>
          <w:sz w:val="20"/>
          <w:szCs w:val="20"/>
          <w:lang w:val="es-ES"/>
        </w:rPr>
        <w:t>A este respecto, el Comité de Derechos Humanos de las Naciones Unidas ha expresado que “la existencia y funcionamiento de asociaciones, incluidas aquellas que promuevan pacíficamente ideas que no son necesariamente recibidas favorablemente por el gobierno o la mayoría de la población es una piedra angular de la sociedad democrática”</w:t>
      </w:r>
      <w:r w:rsidR="00397535" w:rsidRPr="00845503">
        <w:rPr>
          <w:rStyle w:val="FootnoteReference"/>
          <w:rFonts w:ascii="Cambria" w:eastAsia="Calibri" w:hAnsi="Cambria"/>
          <w:sz w:val="20"/>
          <w:szCs w:val="20"/>
          <w:lang w:val="es-ES"/>
        </w:rPr>
        <w:footnoteReference w:id="65"/>
      </w:r>
      <w:r w:rsidR="00397535" w:rsidRPr="00845503">
        <w:rPr>
          <w:rFonts w:ascii="Cambria" w:eastAsia="Calibri" w:hAnsi="Cambria"/>
          <w:sz w:val="20"/>
          <w:szCs w:val="20"/>
          <w:lang w:val="es-ES"/>
        </w:rPr>
        <w:t xml:space="preserve">. </w:t>
      </w:r>
    </w:p>
    <w:p w:rsidR="00666B21" w:rsidRPr="00845503" w:rsidRDefault="00666B21" w:rsidP="00666B21">
      <w:pPr>
        <w:pStyle w:val="ListParagraph"/>
        <w:rPr>
          <w:rFonts w:eastAsia="Times New Roman"/>
          <w:sz w:val="20"/>
          <w:szCs w:val="20"/>
          <w:lang w:val="es-ES"/>
        </w:rPr>
      </w:pPr>
    </w:p>
    <w:p w:rsidR="00241F2A" w:rsidRPr="00845503" w:rsidRDefault="00DD1EEE"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Calibri" w:hAnsi="Cambria"/>
          <w:sz w:val="20"/>
          <w:szCs w:val="20"/>
          <w:lang w:val="es-ES"/>
        </w:rPr>
      </w:pPr>
      <w:r w:rsidRPr="00845503">
        <w:rPr>
          <w:rFonts w:ascii="Cambria" w:eastAsia="Times New Roman" w:hAnsi="Cambria"/>
          <w:sz w:val="20"/>
          <w:szCs w:val="20"/>
          <w:lang w:val="es-ES"/>
        </w:rPr>
        <w:t>E</w:t>
      </w:r>
      <w:r w:rsidR="000A7A64" w:rsidRPr="00845503">
        <w:rPr>
          <w:rFonts w:ascii="Cambria" w:eastAsia="Times New Roman" w:hAnsi="Cambria"/>
          <w:sz w:val="20"/>
          <w:szCs w:val="20"/>
          <w:lang w:val="es-ES"/>
        </w:rPr>
        <w:t xml:space="preserve">l derecho de asociación </w:t>
      </w:r>
      <w:r w:rsidR="00666B21" w:rsidRPr="00845503">
        <w:rPr>
          <w:rFonts w:ascii="Cambria" w:eastAsia="Times New Roman" w:hAnsi="Cambria"/>
          <w:sz w:val="20"/>
          <w:szCs w:val="20"/>
          <w:lang w:val="es-ES"/>
        </w:rPr>
        <w:t xml:space="preserve">del artículo XXII de la Declaración Americana </w:t>
      </w:r>
      <w:r w:rsidR="00C9663B" w:rsidRPr="00845503">
        <w:rPr>
          <w:rFonts w:ascii="Cambria" w:eastAsia="Times New Roman" w:hAnsi="Cambria"/>
          <w:sz w:val="20"/>
          <w:szCs w:val="20"/>
          <w:lang w:val="es-ES"/>
        </w:rPr>
        <w:t xml:space="preserve">protege la libertad de asociarse </w:t>
      </w:r>
      <w:r w:rsidR="00C9663B" w:rsidRPr="00845503">
        <w:rPr>
          <w:rFonts w:ascii="Cambria" w:eastAsia="Times New Roman" w:hAnsi="Cambria"/>
          <w:i/>
          <w:sz w:val="20"/>
          <w:szCs w:val="20"/>
          <w:lang w:val="es-ES"/>
        </w:rPr>
        <w:t>inter alia</w:t>
      </w:r>
      <w:r w:rsidR="00C9663B" w:rsidRPr="00845503">
        <w:rPr>
          <w:rFonts w:ascii="Cambria" w:eastAsia="Times New Roman" w:hAnsi="Cambria"/>
          <w:sz w:val="20"/>
          <w:szCs w:val="20"/>
          <w:lang w:val="es-ES"/>
        </w:rPr>
        <w:t xml:space="preserve"> con fines ideológicos y políticos, sin intervención de las autoridades públicas que limite o entorpezca el ejercicio del referido derecho y no exclusivamente el de integrar una organización sindical o profesional</w:t>
      </w:r>
      <w:r w:rsidR="00C9663B" w:rsidRPr="00845503">
        <w:rPr>
          <w:rStyle w:val="FootnoteReference"/>
          <w:rFonts w:ascii="Cambria" w:eastAsia="Times New Roman" w:hAnsi="Cambria"/>
          <w:sz w:val="20"/>
          <w:szCs w:val="20"/>
          <w:lang w:val="es-ES"/>
        </w:rPr>
        <w:footnoteReference w:id="66"/>
      </w:r>
      <w:r w:rsidR="00C9663B" w:rsidRPr="00845503">
        <w:rPr>
          <w:rFonts w:ascii="Cambria" w:eastAsia="Times New Roman" w:hAnsi="Cambria"/>
          <w:sz w:val="20"/>
          <w:szCs w:val="20"/>
          <w:lang w:val="es-ES"/>
        </w:rPr>
        <w:t xml:space="preserve">. </w:t>
      </w:r>
      <w:r w:rsidRPr="00845503">
        <w:rPr>
          <w:rFonts w:ascii="Cambria" w:eastAsia="Times New Roman" w:hAnsi="Cambria"/>
          <w:sz w:val="20"/>
          <w:szCs w:val="20"/>
          <w:lang w:val="es-ES"/>
        </w:rPr>
        <w:t>L</w:t>
      </w:r>
      <w:r w:rsidR="00401AB7" w:rsidRPr="00845503">
        <w:rPr>
          <w:rFonts w:ascii="Cambria" w:eastAsia="Times New Roman" w:hAnsi="Cambria"/>
          <w:sz w:val="20"/>
          <w:szCs w:val="20"/>
          <w:lang w:val="es-ES"/>
        </w:rPr>
        <w:t xml:space="preserve">a protección otorgada por </w:t>
      </w:r>
      <w:r w:rsidR="00666B21" w:rsidRPr="00845503">
        <w:rPr>
          <w:rFonts w:ascii="Cambria" w:eastAsia="Times New Roman" w:hAnsi="Cambria"/>
          <w:sz w:val="20"/>
          <w:szCs w:val="20"/>
          <w:lang w:val="es-ES"/>
        </w:rPr>
        <w:t>este</w:t>
      </w:r>
      <w:r w:rsidR="00401AB7" w:rsidRPr="00845503">
        <w:rPr>
          <w:rFonts w:ascii="Cambria" w:eastAsia="Times New Roman" w:hAnsi="Cambria"/>
          <w:sz w:val="20"/>
          <w:szCs w:val="20"/>
          <w:lang w:val="es-ES"/>
        </w:rPr>
        <w:t xml:space="preserve"> der</w:t>
      </w:r>
      <w:r w:rsidR="00EE1570" w:rsidRPr="00845503">
        <w:rPr>
          <w:rFonts w:ascii="Cambria" w:eastAsia="Times New Roman" w:hAnsi="Cambria"/>
          <w:sz w:val="20"/>
          <w:szCs w:val="20"/>
          <w:lang w:val="es-ES"/>
        </w:rPr>
        <w:t>echo</w:t>
      </w:r>
      <w:r w:rsidR="000F3CF9" w:rsidRPr="00845503">
        <w:rPr>
          <w:rFonts w:ascii="Cambria" w:eastAsia="Times New Roman" w:hAnsi="Cambria"/>
          <w:sz w:val="20"/>
          <w:szCs w:val="20"/>
          <w:lang w:val="es-ES"/>
        </w:rPr>
        <w:t xml:space="preserve">, no solo </w:t>
      </w:r>
      <w:r w:rsidR="00397535" w:rsidRPr="00845503">
        <w:rPr>
          <w:rFonts w:ascii="Cambria" w:eastAsia="Times New Roman" w:hAnsi="Cambria"/>
          <w:sz w:val="20"/>
          <w:szCs w:val="20"/>
          <w:lang w:val="es-ES"/>
        </w:rPr>
        <w:t>garantiza</w:t>
      </w:r>
      <w:r w:rsidR="000F3CF9" w:rsidRPr="00845503">
        <w:rPr>
          <w:rFonts w:ascii="Cambria" w:eastAsia="Times New Roman" w:hAnsi="Cambria"/>
          <w:sz w:val="20"/>
          <w:szCs w:val="20"/>
          <w:lang w:val="es-ES"/>
        </w:rPr>
        <w:t xml:space="preserve"> el derecho a formar </w:t>
      </w:r>
      <w:r w:rsidR="000A7A64" w:rsidRPr="00845503">
        <w:rPr>
          <w:rFonts w:ascii="Cambria" w:eastAsia="Times New Roman" w:hAnsi="Cambria"/>
          <w:sz w:val="20"/>
          <w:szCs w:val="20"/>
          <w:lang w:val="es-ES"/>
        </w:rPr>
        <w:t xml:space="preserve">e integrar </w:t>
      </w:r>
      <w:r w:rsidR="000F3CF9" w:rsidRPr="00845503">
        <w:rPr>
          <w:rFonts w:ascii="Cambria" w:eastAsia="Times New Roman" w:hAnsi="Cambria"/>
          <w:sz w:val="20"/>
          <w:szCs w:val="20"/>
          <w:lang w:val="es-ES"/>
        </w:rPr>
        <w:t>una asociación, sino que</w:t>
      </w:r>
      <w:r w:rsidR="00401AB7" w:rsidRPr="00845503">
        <w:rPr>
          <w:rFonts w:ascii="Cambria" w:eastAsia="Times New Roman" w:hAnsi="Cambria"/>
          <w:sz w:val="20"/>
          <w:szCs w:val="20"/>
          <w:lang w:val="es-ES"/>
        </w:rPr>
        <w:t xml:space="preserve"> se e</w:t>
      </w:r>
      <w:r w:rsidR="00397535" w:rsidRPr="00845503">
        <w:rPr>
          <w:rFonts w:ascii="Cambria" w:eastAsia="Times New Roman" w:hAnsi="Cambria"/>
          <w:sz w:val="20"/>
          <w:szCs w:val="20"/>
          <w:lang w:val="es-ES"/>
        </w:rPr>
        <w:t xml:space="preserve">xtiende a todas las actividades que son esenciales para </w:t>
      </w:r>
      <w:r w:rsidR="000A7A64" w:rsidRPr="00845503">
        <w:rPr>
          <w:rFonts w:ascii="Cambria" w:eastAsia="Times New Roman" w:hAnsi="Cambria"/>
          <w:sz w:val="20"/>
          <w:szCs w:val="20"/>
          <w:lang w:val="es-ES"/>
        </w:rPr>
        <w:t>su</w:t>
      </w:r>
      <w:r w:rsidR="00397535" w:rsidRPr="00845503">
        <w:rPr>
          <w:rFonts w:ascii="Cambria" w:eastAsia="Times New Roman" w:hAnsi="Cambria"/>
          <w:sz w:val="20"/>
          <w:szCs w:val="20"/>
          <w:lang w:val="es-ES"/>
        </w:rPr>
        <w:t xml:space="preserve"> funcionamiento efectivo</w:t>
      </w:r>
      <w:r w:rsidR="00401AB7" w:rsidRPr="00845503">
        <w:rPr>
          <w:rFonts w:ascii="Cambria" w:eastAsia="Times New Roman" w:hAnsi="Cambria"/>
          <w:sz w:val="20"/>
          <w:szCs w:val="20"/>
          <w:lang w:val="es-ES"/>
        </w:rPr>
        <w:t xml:space="preserve">, incluida </w:t>
      </w:r>
      <w:r w:rsidR="00E8216B" w:rsidRPr="00845503">
        <w:rPr>
          <w:rFonts w:ascii="Cambria" w:eastAsia="Times New Roman" w:hAnsi="Cambria"/>
          <w:sz w:val="20"/>
          <w:szCs w:val="20"/>
          <w:lang w:val="es-ES"/>
        </w:rPr>
        <w:t>la pos</w:t>
      </w:r>
      <w:r w:rsidR="00957A07" w:rsidRPr="00845503">
        <w:rPr>
          <w:rFonts w:ascii="Cambria" w:eastAsia="Times New Roman" w:hAnsi="Cambria"/>
          <w:sz w:val="20"/>
          <w:szCs w:val="20"/>
          <w:lang w:val="es-ES"/>
        </w:rPr>
        <w:t xml:space="preserve">ibilidad de expresar opiniones y difundir </w:t>
      </w:r>
      <w:r w:rsidR="00E8216B" w:rsidRPr="00845503">
        <w:rPr>
          <w:rFonts w:ascii="Cambria" w:eastAsia="Times New Roman" w:hAnsi="Cambria"/>
          <w:sz w:val="20"/>
          <w:szCs w:val="20"/>
          <w:lang w:val="es-ES"/>
        </w:rPr>
        <w:t>informaciones</w:t>
      </w:r>
      <w:r w:rsidR="000F3CF9" w:rsidRPr="00845503">
        <w:rPr>
          <w:rFonts w:ascii="Cambria" w:eastAsia="Times New Roman" w:hAnsi="Cambria"/>
          <w:sz w:val="20"/>
          <w:szCs w:val="20"/>
          <w:lang w:val="es-ES"/>
        </w:rPr>
        <w:t xml:space="preserve"> para el logro de los fines del grupo</w:t>
      </w:r>
      <w:r w:rsidR="00397535" w:rsidRPr="00845503">
        <w:rPr>
          <w:rFonts w:ascii="Cambria" w:eastAsia="Times New Roman" w:hAnsi="Cambria"/>
          <w:sz w:val="20"/>
          <w:szCs w:val="20"/>
          <w:lang w:val="es-ES"/>
        </w:rPr>
        <w:t xml:space="preserve"> asociado</w:t>
      </w:r>
      <w:r w:rsidR="00C9663B" w:rsidRPr="00845503">
        <w:rPr>
          <w:rStyle w:val="FootnoteReference"/>
          <w:rFonts w:ascii="Cambria" w:eastAsia="Times New Roman" w:hAnsi="Cambria"/>
          <w:sz w:val="20"/>
          <w:szCs w:val="20"/>
          <w:lang w:val="es-ES"/>
        </w:rPr>
        <w:footnoteReference w:id="67"/>
      </w:r>
      <w:r w:rsidR="000F3CF9" w:rsidRPr="00845503">
        <w:rPr>
          <w:rFonts w:ascii="Cambria" w:eastAsia="Times New Roman" w:hAnsi="Cambria"/>
          <w:sz w:val="20"/>
          <w:szCs w:val="20"/>
          <w:lang w:val="es-ES"/>
        </w:rPr>
        <w:t>.</w:t>
      </w:r>
      <w:r w:rsidR="00242835" w:rsidRPr="00845503">
        <w:rPr>
          <w:rFonts w:ascii="Cambria" w:eastAsia="Times New Roman" w:hAnsi="Cambria" w:cs="Courier New"/>
          <w:sz w:val="20"/>
          <w:szCs w:val="20"/>
          <w:bdr w:val="none" w:sz="0" w:space="0" w:color="auto"/>
          <w:lang w:val="es-ES"/>
        </w:rPr>
        <w:t xml:space="preserve"> </w:t>
      </w:r>
    </w:p>
    <w:p w:rsidR="00241F2A" w:rsidRPr="00845503" w:rsidRDefault="00241F2A" w:rsidP="00241F2A">
      <w:pPr>
        <w:pStyle w:val="ListParagraph"/>
        <w:rPr>
          <w:rFonts w:eastAsia="Times New Roman"/>
          <w:sz w:val="20"/>
          <w:szCs w:val="20"/>
          <w:lang w:val="es-ES"/>
        </w:rPr>
      </w:pPr>
    </w:p>
    <w:p w:rsidR="001A02C1" w:rsidRPr="00845503" w:rsidRDefault="00C9663B"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Calibri" w:hAnsi="Cambria"/>
          <w:sz w:val="20"/>
          <w:szCs w:val="20"/>
          <w:lang w:val="es-ES"/>
        </w:rPr>
      </w:pPr>
      <w:r w:rsidRPr="00845503">
        <w:rPr>
          <w:rFonts w:ascii="Cambria" w:eastAsia="Times New Roman" w:hAnsi="Cambria"/>
          <w:sz w:val="20"/>
          <w:szCs w:val="20"/>
          <w:lang w:val="es-ES"/>
        </w:rPr>
        <w:t>La C</w:t>
      </w:r>
      <w:r w:rsidR="00691544" w:rsidRPr="00845503">
        <w:rPr>
          <w:rFonts w:ascii="Cambria" w:eastAsia="Times New Roman" w:hAnsi="Cambria"/>
          <w:sz w:val="20"/>
          <w:szCs w:val="20"/>
          <w:lang w:val="es-ES"/>
        </w:rPr>
        <w:t>omisión</w:t>
      </w:r>
      <w:r w:rsidRPr="00845503">
        <w:rPr>
          <w:rFonts w:ascii="Cambria" w:eastAsia="Times New Roman" w:hAnsi="Cambria"/>
          <w:sz w:val="20"/>
          <w:szCs w:val="20"/>
          <w:lang w:val="es-ES"/>
        </w:rPr>
        <w:t xml:space="preserve"> ha reconocido la relación de interdependencia que existe entre el derecho a la libertad de expresión y el derecho a la libertad de asociación, y en particular el rol instrumental que juega el derecho a la libertad de expresión para el ejercicio de otros derechos humanos</w:t>
      </w:r>
      <w:r w:rsidRPr="00845503">
        <w:rPr>
          <w:rStyle w:val="FootnoteReference"/>
          <w:rFonts w:ascii="Cambria" w:eastAsia="Times New Roman" w:hAnsi="Cambria"/>
          <w:sz w:val="20"/>
          <w:szCs w:val="20"/>
          <w:lang w:val="es-ES"/>
        </w:rPr>
        <w:footnoteReference w:id="68"/>
      </w:r>
      <w:r w:rsidRPr="00845503">
        <w:rPr>
          <w:rFonts w:ascii="Cambria" w:eastAsia="Times New Roman" w:hAnsi="Cambria"/>
          <w:sz w:val="20"/>
          <w:szCs w:val="20"/>
          <w:lang w:val="es-ES"/>
        </w:rPr>
        <w:t xml:space="preserve">. </w:t>
      </w:r>
      <w:r w:rsidR="00241F2A" w:rsidRPr="00845503">
        <w:rPr>
          <w:rFonts w:ascii="Cambria" w:eastAsia="Times New Roman" w:hAnsi="Cambria" w:cs="Courier New"/>
          <w:sz w:val="20"/>
          <w:szCs w:val="20"/>
          <w:bdr w:val="none" w:sz="0" w:space="0" w:color="auto"/>
          <w:lang w:val="es-ES"/>
        </w:rPr>
        <w:t xml:space="preserve">La </w:t>
      </w:r>
      <w:r w:rsidR="00CD7D69" w:rsidRPr="00845503">
        <w:rPr>
          <w:rFonts w:ascii="Cambria" w:eastAsia="Times New Roman" w:hAnsi="Cambria" w:cs="Courier New"/>
          <w:sz w:val="20"/>
          <w:szCs w:val="20"/>
          <w:bdr w:val="none" w:sz="0" w:space="0" w:color="auto"/>
          <w:lang w:val="es-ES"/>
        </w:rPr>
        <w:t>de</w:t>
      </w:r>
      <w:r w:rsidR="005E2246" w:rsidRPr="00845503">
        <w:rPr>
          <w:rFonts w:ascii="Cambria" w:eastAsia="Times New Roman" w:hAnsi="Cambria" w:cs="Courier New"/>
          <w:sz w:val="20"/>
          <w:szCs w:val="20"/>
          <w:bdr w:val="none" w:sz="0" w:space="0" w:color="auto"/>
          <w:lang w:val="es-ES"/>
        </w:rPr>
        <w:t>fen</w:t>
      </w:r>
      <w:r w:rsidR="00241F2A" w:rsidRPr="00845503">
        <w:rPr>
          <w:rFonts w:ascii="Cambria" w:eastAsia="Times New Roman" w:hAnsi="Cambria" w:cs="Courier New"/>
          <w:sz w:val="20"/>
          <w:szCs w:val="20"/>
          <w:bdr w:val="none" w:sz="0" w:space="0" w:color="auto"/>
          <w:lang w:val="es-ES"/>
        </w:rPr>
        <w:t>sa de</w:t>
      </w:r>
      <w:r w:rsidR="005E2246" w:rsidRPr="00845503">
        <w:rPr>
          <w:rFonts w:ascii="Cambria" w:eastAsia="Times New Roman" w:hAnsi="Cambria" w:cs="Courier New"/>
          <w:sz w:val="20"/>
          <w:szCs w:val="20"/>
          <w:bdr w:val="none" w:sz="0" w:space="0" w:color="auto"/>
          <w:lang w:val="es-ES"/>
        </w:rPr>
        <w:t xml:space="preserve"> los derechos humanos</w:t>
      </w:r>
      <w:r w:rsidR="004D27DD" w:rsidRPr="00845503">
        <w:rPr>
          <w:rFonts w:ascii="Cambria" w:eastAsia="Times New Roman" w:hAnsi="Cambria" w:cs="Courier New"/>
          <w:sz w:val="20"/>
          <w:szCs w:val="20"/>
          <w:bdr w:val="none" w:sz="0" w:space="0" w:color="auto"/>
          <w:lang w:val="es-ES"/>
        </w:rPr>
        <w:t xml:space="preserve"> y </w:t>
      </w:r>
      <w:r w:rsidR="00241F2A" w:rsidRPr="00845503">
        <w:rPr>
          <w:rFonts w:ascii="Cambria" w:eastAsia="Times New Roman" w:hAnsi="Cambria" w:cs="Courier New"/>
          <w:sz w:val="20"/>
          <w:szCs w:val="20"/>
          <w:bdr w:val="none" w:sz="0" w:space="0" w:color="auto"/>
          <w:lang w:val="es-ES"/>
        </w:rPr>
        <w:t xml:space="preserve">el derecho a </w:t>
      </w:r>
      <w:r w:rsidR="004D27DD" w:rsidRPr="00845503">
        <w:rPr>
          <w:rFonts w:ascii="Cambria" w:eastAsia="Times New Roman" w:hAnsi="Cambria" w:cs="Courier New"/>
          <w:sz w:val="20"/>
          <w:szCs w:val="20"/>
          <w:bdr w:val="none" w:sz="0" w:space="0" w:color="auto"/>
          <w:lang w:val="es-ES"/>
        </w:rPr>
        <w:t xml:space="preserve">participar efectivamente en asuntos públicos, </w:t>
      </w:r>
      <w:r w:rsidR="00242835" w:rsidRPr="00845503">
        <w:rPr>
          <w:rFonts w:ascii="Cambria" w:eastAsia="Times New Roman" w:hAnsi="Cambria" w:cs="Courier New"/>
          <w:sz w:val="20"/>
          <w:szCs w:val="20"/>
          <w:bdr w:val="none" w:sz="0" w:space="0" w:color="auto"/>
          <w:lang w:val="es-ES"/>
        </w:rPr>
        <w:t>solo es</w:t>
      </w:r>
      <w:r w:rsidR="00241F2A" w:rsidRPr="00845503">
        <w:rPr>
          <w:rFonts w:ascii="Cambria" w:eastAsia="Times New Roman" w:hAnsi="Cambria" w:cs="Courier New"/>
          <w:sz w:val="20"/>
          <w:szCs w:val="20"/>
          <w:bdr w:val="none" w:sz="0" w:space="0" w:color="auto"/>
          <w:lang w:val="es-ES"/>
        </w:rPr>
        <w:t xml:space="preserve"> posible </w:t>
      </w:r>
      <w:r w:rsidR="005E2246" w:rsidRPr="00845503">
        <w:rPr>
          <w:rFonts w:ascii="Cambria" w:eastAsia="Times New Roman" w:hAnsi="Cambria" w:cs="Courier New"/>
          <w:sz w:val="20"/>
          <w:szCs w:val="20"/>
          <w:bdr w:val="none" w:sz="0" w:space="0" w:color="auto"/>
          <w:lang w:val="es-ES"/>
        </w:rPr>
        <w:t>si las personas</w:t>
      </w:r>
      <w:r w:rsidR="00242835" w:rsidRPr="00845503">
        <w:rPr>
          <w:rFonts w:ascii="Cambria" w:eastAsia="Times New Roman" w:hAnsi="Cambria" w:cs="Courier New"/>
          <w:sz w:val="20"/>
          <w:szCs w:val="20"/>
          <w:bdr w:val="none" w:sz="0" w:space="0" w:color="auto"/>
          <w:lang w:val="es-ES"/>
        </w:rPr>
        <w:t xml:space="preserve"> son </w:t>
      </w:r>
      <w:r w:rsidR="00CD7D69" w:rsidRPr="00845503">
        <w:rPr>
          <w:rFonts w:ascii="Cambria" w:eastAsia="Times New Roman" w:hAnsi="Cambria" w:cs="Courier New"/>
          <w:sz w:val="20"/>
          <w:szCs w:val="20"/>
          <w:bdr w:val="none" w:sz="0" w:space="0" w:color="auto"/>
          <w:lang w:val="es-ES"/>
        </w:rPr>
        <w:t>capaces de organizarse en torno a necesida</w:t>
      </w:r>
      <w:r w:rsidR="004D27DD" w:rsidRPr="00845503">
        <w:rPr>
          <w:rFonts w:ascii="Cambria" w:eastAsia="Times New Roman" w:hAnsi="Cambria" w:cs="Courier New"/>
          <w:sz w:val="20"/>
          <w:szCs w:val="20"/>
          <w:bdr w:val="none" w:sz="0" w:space="0" w:color="auto"/>
          <w:lang w:val="es-ES"/>
        </w:rPr>
        <w:t>des e intereses comunes y expresarse</w:t>
      </w:r>
      <w:r w:rsidR="00666B21" w:rsidRPr="00845503">
        <w:rPr>
          <w:rFonts w:ascii="Cambria" w:eastAsia="Times New Roman" w:hAnsi="Cambria" w:cs="Courier New"/>
          <w:sz w:val="20"/>
          <w:szCs w:val="20"/>
          <w:bdr w:val="none" w:sz="0" w:space="0" w:color="auto"/>
          <w:lang w:val="es-ES"/>
        </w:rPr>
        <w:t xml:space="preserve"> públicamente al respecto</w:t>
      </w:r>
      <w:r w:rsidR="00CD7D69" w:rsidRPr="00845503">
        <w:rPr>
          <w:rFonts w:ascii="Cambria" w:eastAsia="Times New Roman" w:hAnsi="Cambria" w:cs="Courier New"/>
          <w:sz w:val="20"/>
          <w:szCs w:val="20"/>
          <w:bdr w:val="none" w:sz="0" w:space="0" w:color="auto"/>
          <w:lang w:val="es-ES"/>
        </w:rPr>
        <w:t>.</w:t>
      </w:r>
      <w:r w:rsidR="00DD1EEE" w:rsidRPr="00845503">
        <w:rPr>
          <w:rFonts w:ascii="Cambria" w:eastAsia="Times New Roman" w:hAnsi="Cambria" w:cs="Courier New"/>
          <w:sz w:val="20"/>
          <w:szCs w:val="20"/>
          <w:bdr w:val="none" w:sz="0" w:space="0" w:color="auto"/>
          <w:lang w:val="es-ES"/>
        </w:rPr>
        <w:t xml:space="preserve"> L</w:t>
      </w:r>
      <w:r w:rsidR="00241F2A" w:rsidRPr="00845503">
        <w:rPr>
          <w:rFonts w:ascii="Cambria" w:hAnsi="Cambria"/>
          <w:sz w:val="20"/>
          <w:szCs w:val="20"/>
          <w:lang w:val="es-ES"/>
        </w:rPr>
        <w:t xml:space="preserve">a CIDH </w:t>
      </w:r>
      <w:r w:rsidR="00DD1EEE" w:rsidRPr="00845503">
        <w:rPr>
          <w:rFonts w:ascii="Cambria" w:hAnsi="Cambria"/>
          <w:sz w:val="20"/>
          <w:szCs w:val="20"/>
          <w:lang w:val="es-ES"/>
        </w:rPr>
        <w:t>ha sido</w:t>
      </w:r>
      <w:r w:rsidR="00242835" w:rsidRPr="00845503">
        <w:rPr>
          <w:rFonts w:ascii="Cambria" w:hAnsi="Cambria"/>
          <w:sz w:val="20"/>
          <w:szCs w:val="20"/>
          <w:lang w:val="es-ES"/>
        </w:rPr>
        <w:t xml:space="preserve"> enfática al afirmar</w:t>
      </w:r>
      <w:r w:rsidR="00241F2A" w:rsidRPr="00845503">
        <w:rPr>
          <w:rFonts w:ascii="Cambria" w:hAnsi="Cambria"/>
          <w:sz w:val="20"/>
          <w:szCs w:val="20"/>
          <w:lang w:val="es-ES"/>
        </w:rPr>
        <w:t xml:space="preserve"> que los m</w:t>
      </w:r>
      <w:r w:rsidR="00241F2A" w:rsidRPr="00845503">
        <w:rPr>
          <w:rFonts w:ascii="Cambria" w:eastAsia="Times New Roman" w:hAnsi="Cambria" w:cs="Courier New"/>
          <w:sz w:val="20"/>
          <w:szCs w:val="20"/>
          <w:bdr w:val="none" w:sz="0" w:space="0" w:color="auto"/>
          <w:lang w:val="es-ES"/>
        </w:rPr>
        <w:t xml:space="preserve">iembros de asociaciones, particularmente aquellos dedicados a </w:t>
      </w:r>
      <w:r w:rsidR="00241F2A" w:rsidRPr="00845503">
        <w:rPr>
          <w:rFonts w:ascii="Cambria" w:eastAsia="Times New Roman" w:hAnsi="Cambria" w:cs="Courier New"/>
          <w:sz w:val="20"/>
          <w:szCs w:val="20"/>
          <w:bdr w:val="none" w:sz="0" w:space="0" w:color="auto"/>
          <w:lang w:val="es-ES"/>
        </w:rPr>
        <w:lastRenderedPageBreak/>
        <w:t>defend</w:t>
      </w:r>
      <w:r w:rsidR="00242835" w:rsidRPr="00845503">
        <w:rPr>
          <w:rFonts w:ascii="Cambria" w:eastAsia="Times New Roman" w:hAnsi="Cambria" w:cs="Courier New"/>
          <w:sz w:val="20"/>
          <w:szCs w:val="20"/>
          <w:bdr w:val="none" w:sz="0" w:space="0" w:color="auto"/>
          <w:lang w:val="es-ES"/>
        </w:rPr>
        <w:t>er los derechos humanos, debe</w:t>
      </w:r>
      <w:r w:rsidR="00241F2A" w:rsidRPr="00845503">
        <w:rPr>
          <w:rFonts w:ascii="Cambria" w:eastAsia="Times New Roman" w:hAnsi="Cambria" w:cs="Courier New"/>
          <w:sz w:val="20"/>
          <w:szCs w:val="20"/>
          <w:bdr w:val="none" w:sz="0" w:space="0" w:color="auto"/>
          <w:lang w:val="es-ES"/>
        </w:rPr>
        <w:t>n gozar plenamente del derecho a la libertad de expresión y, en particular, la libertad de ser abiertamente críticos con políticas y práctica</w:t>
      </w:r>
      <w:r w:rsidR="007A18DF" w:rsidRPr="00845503">
        <w:rPr>
          <w:rFonts w:ascii="Cambria" w:eastAsia="Times New Roman" w:hAnsi="Cambria" w:cs="Courier New"/>
          <w:sz w:val="20"/>
          <w:szCs w:val="20"/>
          <w:bdr w:val="none" w:sz="0" w:space="0" w:color="auto"/>
          <w:lang w:val="es-ES"/>
        </w:rPr>
        <w:t>s</w:t>
      </w:r>
      <w:r w:rsidR="00241F2A" w:rsidRPr="00845503">
        <w:rPr>
          <w:rFonts w:ascii="Cambria" w:eastAsia="Times New Roman" w:hAnsi="Cambria" w:cs="Courier New"/>
          <w:sz w:val="20"/>
          <w:szCs w:val="20"/>
          <w:bdr w:val="none" w:sz="0" w:space="0" w:color="auto"/>
          <w:lang w:val="es-ES"/>
        </w:rPr>
        <w:t xml:space="preserve"> gubernamentales</w:t>
      </w:r>
      <w:r w:rsidR="00AC01CE" w:rsidRPr="00845503">
        <w:rPr>
          <w:rStyle w:val="FootnoteReference"/>
          <w:rFonts w:ascii="Cambria" w:eastAsia="Times New Roman" w:hAnsi="Cambria" w:cs="Courier New"/>
          <w:sz w:val="20"/>
          <w:szCs w:val="20"/>
          <w:bdr w:val="none" w:sz="0" w:space="0" w:color="auto"/>
          <w:lang w:val="es-ES"/>
        </w:rPr>
        <w:footnoteReference w:id="69"/>
      </w:r>
      <w:r w:rsidR="00241F2A" w:rsidRPr="00845503">
        <w:rPr>
          <w:rFonts w:ascii="Cambria" w:eastAsia="Times New Roman" w:hAnsi="Cambria" w:cs="Courier New"/>
          <w:sz w:val="20"/>
          <w:szCs w:val="20"/>
          <w:bdr w:val="none" w:sz="0" w:space="0" w:color="auto"/>
          <w:lang w:val="es-ES"/>
        </w:rPr>
        <w:t>.</w:t>
      </w:r>
      <w:r w:rsidR="00241F2A" w:rsidRPr="00845503">
        <w:rPr>
          <w:rFonts w:ascii="Cambria" w:hAnsi="Cambria"/>
          <w:sz w:val="20"/>
          <w:szCs w:val="20"/>
          <w:lang w:val="es-ES"/>
        </w:rPr>
        <w:t xml:space="preserve"> </w:t>
      </w:r>
    </w:p>
    <w:p w:rsidR="001A02C1" w:rsidRPr="00845503" w:rsidRDefault="001A02C1" w:rsidP="001A02C1">
      <w:pPr>
        <w:pStyle w:val="ListParagraph"/>
        <w:rPr>
          <w:rFonts w:eastAsia="Calibri"/>
          <w:color w:val="auto"/>
          <w:sz w:val="20"/>
          <w:szCs w:val="20"/>
          <w:lang w:val="es-ES"/>
        </w:rPr>
      </w:pPr>
    </w:p>
    <w:p w:rsidR="003F30D8" w:rsidRPr="00845503" w:rsidRDefault="009A16E2"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eastAsia="Times New Roman" w:hAnsi="Cambria" w:cs="Courier New"/>
          <w:sz w:val="20"/>
          <w:szCs w:val="20"/>
          <w:bdr w:val="none" w:sz="0" w:space="0" w:color="auto"/>
          <w:lang w:val="es-ES"/>
        </w:rPr>
        <w:t xml:space="preserve">De esta manera, </w:t>
      </w:r>
      <w:r w:rsidR="00B32474" w:rsidRPr="00845503">
        <w:rPr>
          <w:rFonts w:ascii="Cambria" w:eastAsia="Times New Roman" w:hAnsi="Cambria" w:cs="Courier New"/>
          <w:sz w:val="20"/>
          <w:szCs w:val="20"/>
          <w:bdr w:val="none" w:sz="0" w:space="0" w:color="auto"/>
          <w:lang w:val="es-ES"/>
        </w:rPr>
        <w:t>y como surge de la jurisprudencia reiterada de los órganos del sistema interamericano</w:t>
      </w:r>
      <w:r w:rsidR="006E1CD9" w:rsidRPr="00845503">
        <w:rPr>
          <w:rStyle w:val="FootnoteReference"/>
          <w:rFonts w:ascii="Cambria" w:hAnsi="Cambria"/>
          <w:sz w:val="20"/>
          <w:szCs w:val="20"/>
          <w:lang w:val="es-ES_tradnl"/>
        </w:rPr>
        <w:footnoteReference w:id="70"/>
      </w:r>
      <w:r w:rsidR="00B32474" w:rsidRPr="00845503">
        <w:rPr>
          <w:rFonts w:ascii="Cambria" w:eastAsia="Times New Roman" w:hAnsi="Cambria" w:cs="Courier New"/>
          <w:sz w:val="20"/>
          <w:szCs w:val="20"/>
          <w:bdr w:val="none" w:sz="0" w:space="0" w:color="auto"/>
          <w:lang w:val="es-ES"/>
        </w:rPr>
        <w:t xml:space="preserve"> y del sistema universal de protección de derechos humanos</w:t>
      </w:r>
      <w:r w:rsidR="00B32474" w:rsidRPr="00845503">
        <w:rPr>
          <w:rStyle w:val="FootnoteReference"/>
          <w:rFonts w:ascii="Cambria" w:eastAsia="Times New Roman" w:hAnsi="Cambria" w:cs="Courier New"/>
          <w:sz w:val="20"/>
          <w:szCs w:val="20"/>
          <w:bdr w:val="none" w:sz="0" w:space="0" w:color="auto"/>
          <w:lang w:val="es-ES"/>
        </w:rPr>
        <w:footnoteReference w:id="71"/>
      </w:r>
      <w:r w:rsidR="00B32474" w:rsidRPr="00845503">
        <w:rPr>
          <w:rFonts w:ascii="Cambria" w:eastAsia="Times New Roman" w:hAnsi="Cambria" w:cs="Courier New"/>
          <w:sz w:val="20"/>
          <w:szCs w:val="20"/>
          <w:bdr w:val="none" w:sz="0" w:space="0" w:color="auto"/>
          <w:lang w:val="es-ES"/>
        </w:rPr>
        <w:t xml:space="preserve">, </w:t>
      </w:r>
      <w:r w:rsidRPr="00845503">
        <w:rPr>
          <w:rFonts w:ascii="Cambria" w:eastAsia="Times New Roman" w:hAnsi="Cambria" w:cs="Courier New"/>
          <w:sz w:val="20"/>
          <w:szCs w:val="20"/>
          <w:bdr w:val="none" w:sz="0" w:space="0" w:color="auto"/>
          <w:lang w:val="es-ES"/>
        </w:rPr>
        <w:t xml:space="preserve">el derecho a la libertad de expresión de </w:t>
      </w:r>
      <w:r w:rsidR="00242835" w:rsidRPr="00845503">
        <w:rPr>
          <w:rFonts w:ascii="Cambria" w:eastAsia="Times New Roman" w:hAnsi="Cambria" w:cs="Courier New"/>
          <w:sz w:val="20"/>
          <w:szCs w:val="20"/>
          <w:bdr w:val="none" w:sz="0" w:space="0" w:color="auto"/>
          <w:lang w:val="es-ES"/>
        </w:rPr>
        <w:t>los miembros de una</w:t>
      </w:r>
      <w:r w:rsidRPr="00845503">
        <w:rPr>
          <w:rFonts w:ascii="Cambria" w:eastAsia="Times New Roman" w:hAnsi="Cambria" w:cs="Courier New"/>
          <w:sz w:val="20"/>
          <w:szCs w:val="20"/>
          <w:bdr w:val="none" w:sz="0" w:space="0" w:color="auto"/>
          <w:lang w:val="es-ES"/>
        </w:rPr>
        <w:t xml:space="preserve"> asociación no puede estar sometido a controles previos por parte del Estado y solo puede estar sujeto a responsabilidades </w:t>
      </w:r>
      <w:r w:rsidR="00A31849" w:rsidRPr="00845503">
        <w:rPr>
          <w:rFonts w:ascii="Cambria" w:eastAsia="Times New Roman" w:hAnsi="Cambria" w:cs="Courier New"/>
          <w:sz w:val="20"/>
          <w:szCs w:val="20"/>
          <w:bdr w:val="none" w:sz="0" w:space="0" w:color="auto"/>
          <w:lang w:val="es-ES"/>
        </w:rPr>
        <w:t>ulteriores</w:t>
      </w:r>
      <w:r w:rsidRPr="00845503">
        <w:rPr>
          <w:rFonts w:ascii="Cambria" w:eastAsia="Times New Roman" w:hAnsi="Cambria" w:cs="Courier New"/>
          <w:sz w:val="20"/>
          <w:szCs w:val="20"/>
          <w:bdr w:val="none" w:sz="0" w:space="0" w:color="auto"/>
          <w:lang w:val="es-ES"/>
        </w:rPr>
        <w:t xml:space="preserve">, </w:t>
      </w:r>
      <w:r w:rsidRPr="00845503">
        <w:rPr>
          <w:rFonts w:ascii="Cambria" w:hAnsi="Cambria"/>
          <w:sz w:val="20"/>
          <w:szCs w:val="20"/>
          <w:lang w:val="es-ES"/>
        </w:rPr>
        <w:t>siempre que</w:t>
      </w:r>
      <w:r w:rsidR="00A10EFE" w:rsidRPr="00845503">
        <w:rPr>
          <w:rFonts w:ascii="Cambria" w:hAnsi="Cambria"/>
          <w:sz w:val="20"/>
          <w:szCs w:val="20"/>
          <w:lang w:val="es-ES"/>
        </w:rPr>
        <w:t xml:space="preserve"> no sean abusivas o arbitrarias, por ello, deben estar previstas en ley, perseguir un fin legítimo y cumplir con los requisitos de idoneidad, necesidad y proporcionalidad.</w:t>
      </w:r>
      <w:r w:rsidR="003A7517" w:rsidRPr="00845503">
        <w:rPr>
          <w:rFonts w:ascii="Cambria" w:hAnsi="Cambria"/>
          <w:sz w:val="20"/>
          <w:szCs w:val="20"/>
          <w:lang w:val="es-ES"/>
        </w:rPr>
        <w:t xml:space="preserve"> </w:t>
      </w:r>
      <w:r w:rsidR="003142C9" w:rsidRPr="00845503">
        <w:rPr>
          <w:rFonts w:ascii="Cambria" w:hAnsi="Cambria"/>
          <w:sz w:val="20"/>
          <w:szCs w:val="20"/>
          <w:lang w:val="es-CO"/>
        </w:rPr>
        <w:t xml:space="preserve">En </w:t>
      </w:r>
      <w:r w:rsidR="00820518" w:rsidRPr="00845503">
        <w:rPr>
          <w:rFonts w:ascii="Cambria" w:hAnsi="Cambria"/>
          <w:sz w:val="20"/>
          <w:szCs w:val="20"/>
          <w:lang w:val="es-CO"/>
        </w:rPr>
        <w:t xml:space="preserve">particular, en cuanto </w:t>
      </w:r>
      <w:r w:rsidR="00E34795" w:rsidRPr="00845503">
        <w:rPr>
          <w:rFonts w:ascii="Cambria" w:hAnsi="Cambria"/>
          <w:sz w:val="20"/>
          <w:szCs w:val="20"/>
          <w:lang w:val="es-CO"/>
        </w:rPr>
        <w:t xml:space="preserve">las </w:t>
      </w:r>
      <w:r w:rsidR="003142C9" w:rsidRPr="00845503">
        <w:rPr>
          <w:rFonts w:ascii="Cambria" w:hAnsi="Cambria"/>
          <w:sz w:val="20"/>
          <w:szCs w:val="20"/>
          <w:lang w:val="es-AR"/>
        </w:rPr>
        <w:t xml:space="preserve">restricciones </w:t>
      </w:r>
      <w:r w:rsidR="00E34795" w:rsidRPr="00845503">
        <w:rPr>
          <w:rFonts w:ascii="Cambria" w:hAnsi="Cambria"/>
          <w:sz w:val="20"/>
          <w:szCs w:val="20"/>
          <w:lang w:val="es-AR"/>
        </w:rPr>
        <w:t>al derecho a la libertad de expresión</w:t>
      </w:r>
      <w:r w:rsidR="00AC2406" w:rsidRPr="00845503">
        <w:rPr>
          <w:rFonts w:ascii="Cambria" w:hAnsi="Cambria"/>
          <w:sz w:val="20"/>
          <w:szCs w:val="20"/>
          <w:lang w:val="es-AR"/>
        </w:rPr>
        <w:t xml:space="preserve"> reconocido en la Declaración Americana</w:t>
      </w:r>
      <w:r w:rsidR="00820518" w:rsidRPr="00845503">
        <w:rPr>
          <w:rFonts w:ascii="Cambria" w:hAnsi="Cambria"/>
          <w:sz w:val="20"/>
          <w:szCs w:val="20"/>
          <w:lang w:val="es-AR"/>
        </w:rPr>
        <w:t xml:space="preserve">, </w:t>
      </w:r>
      <w:r w:rsidR="00820518" w:rsidRPr="00845503">
        <w:rPr>
          <w:rFonts w:ascii="Cambria" w:hAnsi="Cambria"/>
          <w:sz w:val="20"/>
          <w:szCs w:val="20"/>
          <w:lang w:val="es-CO"/>
        </w:rPr>
        <w:t>la C</w:t>
      </w:r>
      <w:r w:rsidR="00691544" w:rsidRPr="00845503">
        <w:rPr>
          <w:rFonts w:ascii="Cambria" w:hAnsi="Cambria"/>
          <w:sz w:val="20"/>
          <w:szCs w:val="20"/>
          <w:lang w:val="es-CO"/>
        </w:rPr>
        <w:t>omisión</w:t>
      </w:r>
      <w:r w:rsidR="00820518" w:rsidRPr="00845503">
        <w:rPr>
          <w:rFonts w:ascii="Cambria" w:hAnsi="Cambria"/>
          <w:sz w:val="20"/>
          <w:szCs w:val="20"/>
          <w:lang w:val="es-CO"/>
        </w:rPr>
        <w:t xml:space="preserve"> </w:t>
      </w:r>
      <w:r w:rsidR="00BD43B8" w:rsidRPr="00845503">
        <w:rPr>
          <w:rFonts w:ascii="Cambria" w:hAnsi="Cambria"/>
          <w:sz w:val="20"/>
          <w:szCs w:val="20"/>
          <w:lang w:val="es-CO"/>
        </w:rPr>
        <w:t xml:space="preserve">ha </w:t>
      </w:r>
      <w:r w:rsidR="00820518" w:rsidRPr="00845503">
        <w:rPr>
          <w:rFonts w:ascii="Cambria" w:hAnsi="Cambria"/>
          <w:sz w:val="20"/>
          <w:szCs w:val="20"/>
          <w:lang w:val="es-CO"/>
        </w:rPr>
        <w:t>indic</w:t>
      </w:r>
      <w:r w:rsidR="00BD43B8" w:rsidRPr="00845503">
        <w:rPr>
          <w:rFonts w:ascii="Cambria" w:hAnsi="Cambria"/>
          <w:sz w:val="20"/>
          <w:szCs w:val="20"/>
          <w:lang w:val="es-CO"/>
        </w:rPr>
        <w:t>ado</w:t>
      </w:r>
      <w:r w:rsidR="00820518" w:rsidRPr="00845503">
        <w:rPr>
          <w:rFonts w:ascii="Cambria" w:hAnsi="Cambria"/>
          <w:sz w:val="20"/>
          <w:szCs w:val="20"/>
          <w:lang w:val="es-CO"/>
        </w:rPr>
        <w:t xml:space="preserve"> </w:t>
      </w:r>
      <w:r w:rsidR="00AC2406" w:rsidRPr="00845503">
        <w:rPr>
          <w:rFonts w:ascii="Cambria" w:hAnsi="Cambria"/>
          <w:sz w:val="20"/>
          <w:szCs w:val="20"/>
          <w:lang w:val="es-CO"/>
        </w:rPr>
        <w:t>que</w:t>
      </w:r>
      <w:r w:rsidR="00820518" w:rsidRPr="00845503">
        <w:rPr>
          <w:rFonts w:ascii="Cambria" w:hAnsi="Cambria"/>
          <w:sz w:val="20"/>
          <w:szCs w:val="20"/>
          <w:lang w:val="es-CO"/>
        </w:rPr>
        <w:t xml:space="preserve"> éstas </w:t>
      </w:r>
      <w:r w:rsidR="003142C9" w:rsidRPr="00845503">
        <w:rPr>
          <w:rFonts w:ascii="Cambria" w:hAnsi="Cambria"/>
          <w:sz w:val="20"/>
          <w:szCs w:val="20"/>
          <w:lang w:val="es-AR"/>
        </w:rPr>
        <w:t>“deben estar previstas en una ley y orientadas a proteger objetivos legítimos, [y] deben ser además necesarias para lograr tal protección y no pueden ser aplicadas en forma previa a la difusión de una idea o información sino en forma posterior”</w:t>
      </w:r>
      <w:r w:rsidR="00820518" w:rsidRPr="00845503">
        <w:rPr>
          <w:rStyle w:val="FootnoteReference"/>
          <w:rFonts w:ascii="Cambria" w:hAnsi="Cambria"/>
          <w:sz w:val="20"/>
          <w:szCs w:val="20"/>
          <w:lang w:val="es-AR"/>
        </w:rPr>
        <w:footnoteReference w:id="72"/>
      </w:r>
      <w:r w:rsidR="003142C9" w:rsidRPr="00845503">
        <w:rPr>
          <w:rFonts w:ascii="Cambria" w:hAnsi="Cambria"/>
          <w:sz w:val="20"/>
          <w:szCs w:val="20"/>
          <w:lang w:val="es-AR"/>
        </w:rPr>
        <w:t>.</w:t>
      </w:r>
      <w:r w:rsidR="003142C9" w:rsidRPr="00845503">
        <w:rPr>
          <w:rFonts w:ascii="Cambria" w:hAnsi="Cambria"/>
          <w:sz w:val="20"/>
          <w:szCs w:val="20"/>
          <w:lang w:val="es-ES"/>
        </w:rPr>
        <w:t xml:space="preserve"> </w:t>
      </w:r>
    </w:p>
    <w:p w:rsidR="00F644D5" w:rsidRPr="00845503" w:rsidRDefault="00F644D5" w:rsidP="00F644D5">
      <w:pPr>
        <w:pStyle w:val="ListParagraph"/>
        <w:rPr>
          <w:color w:val="auto"/>
          <w:sz w:val="20"/>
          <w:szCs w:val="20"/>
          <w:lang w:val="es-CO"/>
        </w:rPr>
      </w:pPr>
    </w:p>
    <w:p w:rsidR="005061B2" w:rsidRPr="00845503" w:rsidRDefault="003A7517"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t>A</w:t>
      </w:r>
      <w:r w:rsidR="00691544" w:rsidRPr="00845503">
        <w:rPr>
          <w:rFonts w:ascii="Cambria" w:hAnsi="Cambria"/>
          <w:sz w:val="20"/>
          <w:szCs w:val="20"/>
          <w:lang w:val="es-CO"/>
        </w:rPr>
        <w:t>l momento de examinar la validez de las restricciones impuestas</w:t>
      </w:r>
      <w:r w:rsidRPr="00845503">
        <w:rPr>
          <w:rFonts w:ascii="Cambria" w:hAnsi="Cambria"/>
          <w:sz w:val="20"/>
          <w:szCs w:val="20"/>
          <w:lang w:val="es-CO"/>
        </w:rPr>
        <w:t xml:space="preserve">, </w:t>
      </w:r>
      <w:r w:rsidR="00691544" w:rsidRPr="00845503">
        <w:rPr>
          <w:rFonts w:ascii="Cambria" w:hAnsi="Cambria"/>
          <w:sz w:val="20"/>
          <w:szCs w:val="20"/>
          <w:lang w:val="es-CO"/>
        </w:rPr>
        <w:t xml:space="preserve">se debe tener en cuenta </w:t>
      </w:r>
      <w:r w:rsidR="008F3DA5" w:rsidRPr="00845503">
        <w:rPr>
          <w:rFonts w:ascii="Cambria" w:hAnsi="Cambria"/>
          <w:sz w:val="20"/>
          <w:szCs w:val="20"/>
          <w:lang w:val="es-CO"/>
        </w:rPr>
        <w:t xml:space="preserve">que </w:t>
      </w:r>
      <w:r w:rsidR="00BD43B8" w:rsidRPr="00845503">
        <w:rPr>
          <w:rFonts w:ascii="Cambria" w:hAnsi="Cambria"/>
          <w:sz w:val="20"/>
          <w:szCs w:val="20"/>
          <w:lang w:val="es-CO"/>
        </w:rPr>
        <w:t>l</w:t>
      </w:r>
      <w:r w:rsidR="00AC2406" w:rsidRPr="00845503">
        <w:rPr>
          <w:rFonts w:ascii="Cambria" w:hAnsi="Cambria"/>
          <w:sz w:val="20"/>
          <w:szCs w:val="20"/>
          <w:lang w:val="es-CO"/>
        </w:rPr>
        <w:t xml:space="preserve">a libertad de emitir opiniones y difundir informaciones de </w:t>
      </w:r>
      <w:r w:rsidR="00192609" w:rsidRPr="00845503">
        <w:rPr>
          <w:rFonts w:ascii="Cambria" w:hAnsi="Cambria"/>
          <w:sz w:val="20"/>
          <w:szCs w:val="20"/>
          <w:lang w:val="es-CO"/>
        </w:rPr>
        <w:t>índole</w:t>
      </w:r>
      <w:r w:rsidR="00AC2406" w:rsidRPr="00845503">
        <w:rPr>
          <w:rFonts w:ascii="Cambria" w:hAnsi="Cambria"/>
          <w:sz w:val="20"/>
          <w:szCs w:val="20"/>
          <w:lang w:val="es-CO"/>
        </w:rPr>
        <w:t xml:space="preserve"> político </w:t>
      </w:r>
      <w:r w:rsidR="00872703" w:rsidRPr="00845503">
        <w:rPr>
          <w:rFonts w:ascii="Cambria" w:hAnsi="Cambria"/>
          <w:sz w:val="20"/>
          <w:szCs w:val="20"/>
          <w:lang w:val="es-CO"/>
        </w:rPr>
        <w:t>es absolutamente central a</w:t>
      </w:r>
      <w:r w:rsidR="00AC2406" w:rsidRPr="00845503">
        <w:rPr>
          <w:rFonts w:ascii="Cambria" w:hAnsi="Cambria"/>
          <w:sz w:val="20"/>
          <w:szCs w:val="20"/>
          <w:lang w:val="es-CO"/>
        </w:rPr>
        <w:t>l</w:t>
      </w:r>
      <w:r w:rsidR="00872703" w:rsidRPr="00845503">
        <w:rPr>
          <w:rFonts w:ascii="Cambria" w:hAnsi="Cambria"/>
          <w:sz w:val="20"/>
          <w:szCs w:val="20"/>
          <w:lang w:val="es-CO"/>
        </w:rPr>
        <w:t xml:space="preserve"> derecho protegido por el artículo IV de la Declaración Americana</w:t>
      </w:r>
      <w:r w:rsidR="007127D4" w:rsidRPr="00845503">
        <w:rPr>
          <w:rFonts w:ascii="Cambria" w:hAnsi="Cambria"/>
          <w:sz w:val="20"/>
          <w:szCs w:val="20"/>
          <w:lang w:val="es-CO"/>
        </w:rPr>
        <w:t xml:space="preserve">. La Comisión </w:t>
      </w:r>
      <w:r w:rsidR="003142C9" w:rsidRPr="00845503">
        <w:rPr>
          <w:rFonts w:ascii="Cambria" w:hAnsi="Cambria"/>
          <w:sz w:val="20"/>
          <w:szCs w:val="20"/>
          <w:lang w:val="es-CO"/>
        </w:rPr>
        <w:t xml:space="preserve">ha señalado </w:t>
      </w:r>
      <w:r w:rsidR="003142C9" w:rsidRPr="00845503">
        <w:rPr>
          <w:rFonts w:ascii="Cambria" w:hAnsi="Cambria" w:cs="Arial"/>
          <w:sz w:val="20"/>
          <w:szCs w:val="20"/>
          <w:lang w:val="es-CO"/>
        </w:rPr>
        <w:t>consistentemente que los Estados tienen un campo más limitado para imponer restricciones a la libertad de expresión cuando quiera que se trate de expresiones atinentes al Estado, a asuntos de interés público, a funcionarios públicos en ejercicio de sus funciones o candidatos a ocupar cargos públicos, o a particulares involucrados voluntariamente en asuntos públicos, así como al discurso y debate político”</w:t>
      </w:r>
      <w:r w:rsidR="003142C9" w:rsidRPr="00845503">
        <w:rPr>
          <w:rStyle w:val="FootnoteReference"/>
          <w:rFonts w:ascii="Cambria" w:hAnsi="Cambria" w:cs="Arial"/>
          <w:sz w:val="20"/>
          <w:szCs w:val="20"/>
          <w:lang w:val="es-CO"/>
        </w:rPr>
        <w:footnoteReference w:id="73"/>
      </w:r>
      <w:r w:rsidR="003142C9" w:rsidRPr="00845503">
        <w:rPr>
          <w:rFonts w:ascii="Cambria" w:hAnsi="Cambria" w:cs="Arial"/>
          <w:sz w:val="20"/>
          <w:szCs w:val="20"/>
          <w:lang w:val="es-CO"/>
        </w:rPr>
        <w:t xml:space="preserve">. </w:t>
      </w:r>
      <w:r w:rsidR="003142C9" w:rsidRPr="00845503">
        <w:rPr>
          <w:rFonts w:ascii="Cambria" w:hAnsi="Cambria"/>
          <w:sz w:val="20"/>
          <w:szCs w:val="20"/>
          <w:lang w:val="es-CO"/>
        </w:rPr>
        <w:t xml:space="preserve"> </w:t>
      </w:r>
    </w:p>
    <w:p w:rsidR="005061B2" w:rsidRPr="00845503" w:rsidRDefault="005061B2" w:rsidP="005061B2">
      <w:pPr>
        <w:pStyle w:val="ListParagraph"/>
        <w:rPr>
          <w:sz w:val="20"/>
          <w:szCs w:val="20"/>
          <w:lang w:val="es-CO"/>
        </w:rPr>
      </w:pPr>
    </w:p>
    <w:p w:rsidR="002A3A96"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t xml:space="preserve">La CIDH también han afirmado que cuando las restricciones </w:t>
      </w:r>
      <w:r w:rsidR="00AC2406" w:rsidRPr="00845503">
        <w:rPr>
          <w:rFonts w:ascii="Cambria" w:hAnsi="Cambria"/>
          <w:sz w:val="20"/>
          <w:szCs w:val="20"/>
          <w:lang w:val="es-CO"/>
        </w:rPr>
        <w:t xml:space="preserve">al ejercicio del derecho a la libertad de expresión </w:t>
      </w:r>
      <w:r w:rsidRPr="00845503">
        <w:rPr>
          <w:rFonts w:ascii="Cambria" w:hAnsi="Cambria"/>
          <w:sz w:val="20"/>
          <w:szCs w:val="20"/>
          <w:lang w:val="es-CO"/>
        </w:rPr>
        <w:t>son impuestas a través de</w:t>
      </w:r>
      <w:r w:rsidRPr="00845503">
        <w:rPr>
          <w:rFonts w:ascii="Cambria" w:hAnsi="Cambria" w:cs="Arial"/>
          <w:sz w:val="20"/>
          <w:szCs w:val="20"/>
          <w:lang w:val="es-ES"/>
        </w:rPr>
        <w:t>l derecho penal, el cumplimiento de estas condiciones  recibe un escrutinio más estricto</w:t>
      </w:r>
      <w:r w:rsidR="005061B2" w:rsidRPr="00845503">
        <w:rPr>
          <w:rStyle w:val="FootnoteReference"/>
          <w:rFonts w:ascii="Cambria" w:hAnsi="Cambria" w:cs="Arial"/>
          <w:sz w:val="20"/>
          <w:szCs w:val="20"/>
          <w:lang w:val="es-ES"/>
        </w:rPr>
        <w:footnoteReference w:id="74"/>
      </w:r>
      <w:r w:rsidR="003B3AC8" w:rsidRPr="00845503">
        <w:rPr>
          <w:rFonts w:ascii="Cambria" w:hAnsi="Cambria" w:cs="Arial"/>
          <w:sz w:val="20"/>
          <w:szCs w:val="20"/>
          <w:lang w:val="es-ES"/>
        </w:rPr>
        <w:t>.</w:t>
      </w:r>
      <w:r w:rsidR="003B3AC8" w:rsidRPr="00845503">
        <w:rPr>
          <w:rFonts w:ascii="Cambria" w:hAnsi="Cambria"/>
          <w:sz w:val="20"/>
          <w:szCs w:val="20"/>
          <w:lang w:val="es-ES"/>
        </w:rPr>
        <w:t xml:space="preserve"> De acuerdo con la reiterada jurisprudencia del sistema </w:t>
      </w:r>
      <w:r w:rsidR="00A31849" w:rsidRPr="00845503">
        <w:rPr>
          <w:rFonts w:ascii="Cambria" w:hAnsi="Cambria"/>
          <w:sz w:val="20"/>
          <w:szCs w:val="20"/>
          <w:lang w:val="es-ES"/>
        </w:rPr>
        <w:t>interamericano</w:t>
      </w:r>
      <w:r w:rsidR="003B3AC8" w:rsidRPr="00845503">
        <w:rPr>
          <w:rFonts w:ascii="Cambria" w:hAnsi="Cambria"/>
          <w:sz w:val="20"/>
          <w:szCs w:val="20"/>
          <w:lang w:val="es-ES"/>
        </w:rPr>
        <w:t xml:space="preserve">, el derecho penal es el medio más restrictivo y severo para establecer responsabilidades respecto de una conducta ilícita, particularmente cuando se imponen penas privativas de libertad. Por lo tanto, el uso de la vía penal debe responder al principio de intervención mínima, en razón de la naturaleza del derecho penal como </w:t>
      </w:r>
      <w:r w:rsidR="003B3AC8" w:rsidRPr="00845503">
        <w:rPr>
          <w:rFonts w:ascii="Cambria" w:hAnsi="Cambria"/>
          <w:i/>
          <w:sz w:val="20"/>
          <w:szCs w:val="20"/>
          <w:lang w:val="es-ES"/>
        </w:rPr>
        <w:t>ultima ratio</w:t>
      </w:r>
      <w:r w:rsidR="003B3AC8" w:rsidRPr="00845503">
        <w:rPr>
          <w:rFonts w:ascii="Cambria" w:hAnsi="Cambria"/>
          <w:sz w:val="20"/>
          <w:szCs w:val="20"/>
          <w:lang w:val="es-ES"/>
        </w:rPr>
        <w:t xml:space="preserve">. </w:t>
      </w:r>
      <w:r w:rsidR="00B32474" w:rsidRPr="00845503">
        <w:rPr>
          <w:rFonts w:ascii="Cambria" w:hAnsi="Cambria"/>
          <w:sz w:val="20"/>
          <w:szCs w:val="20"/>
          <w:lang w:val="es-ES"/>
        </w:rPr>
        <w:t>E</w:t>
      </w:r>
      <w:r w:rsidR="003B3AC8" w:rsidRPr="00845503">
        <w:rPr>
          <w:rFonts w:ascii="Cambria" w:hAnsi="Cambria"/>
          <w:sz w:val="20"/>
          <w:szCs w:val="20"/>
          <w:lang w:val="es-ES"/>
        </w:rPr>
        <w:t>n una sociedad democrática el poder punitivo sólo se puede ejercer en la medida estrictamente necesaria para proteger los bienes jurídicos fundamentales de los ataques más graves que los dañen o pongan en peligro. Lo contrario conduciría al ejercicio abusivo e innecesario del poder punitivo del Estado</w:t>
      </w:r>
      <w:r w:rsidR="005533B7" w:rsidRPr="00845503">
        <w:rPr>
          <w:rFonts w:ascii="Cambria" w:hAnsi="Cambria"/>
          <w:sz w:val="20"/>
          <w:szCs w:val="20"/>
          <w:lang w:val="es-ES"/>
        </w:rPr>
        <w:t>.</w:t>
      </w:r>
    </w:p>
    <w:p w:rsidR="002A3A96" w:rsidRPr="00845503" w:rsidRDefault="002A3A96" w:rsidP="002A3A96">
      <w:pPr>
        <w:pStyle w:val="ListParagraph"/>
        <w:rPr>
          <w:rFonts w:cs="Arial"/>
          <w:sz w:val="20"/>
          <w:szCs w:val="20"/>
          <w:lang w:val="es-MX"/>
        </w:rPr>
      </w:pPr>
    </w:p>
    <w:p w:rsidR="002E48F5" w:rsidRDefault="002E48F5">
      <w:pPr>
        <w:rPr>
          <w:rFonts w:ascii="Cambria" w:eastAsia="Cambria" w:hAnsi="Cambria" w:cs="Cambria"/>
          <w:b/>
          <w:color w:val="000000"/>
          <w:sz w:val="20"/>
          <w:szCs w:val="20"/>
          <w:u w:color="000000"/>
          <w:lang w:val="es-MX" w:eastAsia="es-ES"/>
        </w:rPr>
      </w:pPr>
      <w:r>
        <w:rPr>
          <w:b/>
          <w:sz w:val="20"/>
          <w:szCs w:val="20"/>
          <w:lang w:val="es-MX"/>
        </w:rPr>
        <w:br w:type="page"/>
      </w:r>
    </w:p>
    <w:p w:rsidR="00651235" w:rsidRPr="00845503" w:rsidRDefault="00651235" w:rsidP="009C22C5">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b/>
          <w:sz w:val="20"/>
          <w:szCs w:val="20"/>
          <w:lang w:val="es-MX"/>
        </w:rPr>
      </w:pPr>
      <w:r w:rsidRPr="00845503">
        <w:rPr>
          <w:b/>
          <w:sz w:val="20"/>
          <w:szCs w:val="20"/>
          <w:lang w:val="es-MX"/>
        </w:rPr>
        <w:lastRenderedPageBreak/>
        <w:t>Análisis del caso concreto</w:t>
      </w:r>
    </w:p>
    <w:p w:rsidR="00651235" w:rsidRPr="00845503" w:rsidRDefault="00651235" w:rsidP="0065123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sz w:val="20"/>
          <w:szCs w:val="20"/>
          <w:lang w:val="es-CO"/>
        </w:rPr>
      </w:pPr>
    </w:p>
    <w:p w:rsidR="00E34795" w:rsidRPr="00845503" w:rsidRDefault="002A3A96"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t xml:space="preserve">En el presente asunto, </w:t>
      </w:r>
      <w:r w:rsidR="00BC42CC" w:rsidRPr="00845503">
        <w:rPr>
          <w:rFonts w:ascii="Cambria" w:hAnsi="Cambria"/>
          <w:sz w:val="20"/>
          <w:szCs w:val="20"/>
          <w:lang w:val="es-CO"/>
        </w:rPr>
        <w:t>no existe controversia en cuanto a que la</w:t>
      </w:r>
      <w:r w:rsidRPr="00845503">
        <w:rPr>
          <w:rFonts w:ascii="Cambria" w:hAnsi="Cambria" w:cs="Arial"/>
          <w:sz w:val="20"/>
          <w:szCs w:val="20"/>
          <w:lang w:val="es-MX"/>
        </w:rPr>
        <w:t xml:space="preserve"> condena penal</w:t>
      </w:r>
      <w:r w:rsidR="00BC42CC" w:rsidRPr="00845503">
        <w:rPr>
          <w:rFonts w:ascii="Cambria" w:hAnsi="Cambria" w:cs="Arial"/>
          <w:sz w:val="20"/>
          <w:szCs w:val="20"/>
          <w:lang w:val="es-MX"/>
        </w:rPr>
        <w:t xml:space="preserve"> impuesta a las cuatro presuntas víctimas constituyó</w:t>
      </w:r>
      <w:r w:rsidRPr="00845503">
        <w:rPr>
          <w:rFonts w:ascii="Cambria" w:hAnsi="Cambria" w:cs="Arial"/>
          <w:sz w:val="20"/>
          <w:szCs w:val="20"/>
          <w:lang w:val="es-MX"/>
        </w:rPr>
        <w:t xml:space="preserve"> una interferencia en e</w:t>
      </w:r>
      <w:r w:rsidR="00BC42CC" w:rsidRPr="00845503">
        <w:rPr>
          <w:rFonts w:ascii="Cambria" w:hAnsi="Cambria" w:cs="Arial"/>
          <w:sz w:val="20"/>
          <w:szCs w:val="20"/>
          <w:lang w:val="es-MX"/>
        </w:rPr>
        <w:t>l ejercicio de sus</w:t>
      </w:r>
      <w:r w:rsidRPr="00845503">
        <w:rPr>
          <w:rFonts w:ascii="Cambria" w:hAnsi="Cambria" w:cs="Arial"/>
          <w:sz w:val="20"/>
          <w:szCs w:val="20"/>
          <w:lang w:val="es-MX"/>
        </w:rPr>
        <w:t xml:space="preserve"> derecho</w:t>
      </w:r>
      <w:r w:rsidR="00BC42CC" w:rsidRPr="00845503">
        <w:rPr>
          <w:rFonts w:ascii="Cambria" w:hAnsi="Cambria" w:cs="Arial"/>
          <w:sz w:val="20"/>
          <w:szCs w:val="20"/>
          <w:lang w:val="es-MX"/>
        </w:rPr>
        <w:t>s</w:t>
      </w:r>
      <w:r w:rsidRPr="00845503">
        <w:rPr>
          <w:rFonts w:ascii="Cambria" w:hAnsi="Cambria" w:cs="Arial"/>
          <w:sz w:val="20"/>
          <w:szCs w:val="20"/>
          <w:lang w:val="es-MX"/>
        </w:rPr>
        <w:t xml:space="preserve"> a la libertad de pensamiento y expresión</w:t>
      </w:r>
      <w:r w:rsidR="00BC42CC" w:rsidRPr="00845503">
        <w:rPr>
          <w:rFonts w:ascii="Cambria" w:hAnsi="Cambria" w:cs="Arial"/>
          <w:sz w:val="20"/>
          <w:szCs w:val="20"/>
          <w:lang w:val="es-MX"/>
        </w:rPr>
        <w:t xml:space="preserve"> y asociación</w:t>
      </w:r>
      <w:r w:rsidRPr="00845503">
        <w:rPr>
          <w:rFonts w:ascii="Cambria" w:hAnsi="Cambria" w:cs="Arial"/>
          <w:sz w:val="20"/>
          <w:szCs w:val="20"/>
          <w:lang w:val="es-MX"/>
        </w:rPr>
        <w:t>.</w:t>
      </w:r>
      <w:r w:rsidRPr="00845503">
        <w:rPr>
          <w:rFonts w:ascii="Cambria" w:hAnsi="Cambria"/>
          <w:sz w:val="20"/>
          <w:szCs w:val="20"/>
          <w:lang w:val="es-ES"/>
        </w:rPr>
        <w:t xml:space="preserve"> Lo que corresponde analizar</w:t>
      </w:r>
      <w:r w:rsidR="00BC42CC" w:rsidRPr="00845503">
        <w:rPr>
          <w:rFonts w:ascii="Cambria" w:hAnsi="Cambria"/>
          <w:sz w:val="20"/>
          <w:szCs w:val="20"/>
          <w:lang w:val="es-ES"/>
        </w:rPr>
        <w:t xml:space="preserve"> en este tipo de casos es </w:t>
      </w:r>
      <w:r w:rsidR="00E34795" w:rsidRPr="00845503">
        <w:rPr>
          <w:rFonts w:ascii="Cambria" w:hAnsi="Cambria"/>
          <w:sz w:val="20"/>
          <w:szCs w:val="20"/>
          <w:lang w:val="es-CO"/>
        </w:rPr>
        <w:t>si la sanción penal impuesta en este caso satisface los requisitos antes mencionados, esto es</w:t>
      </w:r>
      <w:r w:rsidR="007364FC" w:rsidRPr="00845503">
        <w:rPr>
          <w:rFonts w:ascii="Cambria" w:hAnsi="Cambria"/>
          <w:sz w:val="20"/>
          <w:szCs w:val="20"/>
          <w:lang w:val="es-CO"/>
        </w:rPr>
        <w:t xml:space="preserve"> si</w:t>
      </w:r>
      <w:r w:rsidR="00E34795" w:rsidRPr="00845503">
        <w:rPr>
          <w:rFonts w:ascii="Cambria" w:hAnsi="Cambria"/>
          <w:sz w:val="20"/>
          <w:szCs w:val="20"/>
          <w:lang w:val="es-CO"/>
        </w:rPr>
        <w:t>: a) está prevista en una ley, b) tiene fin legítimo y c) es necesaria y proporcional para el logro de ese fin. Corresponde a la autoridad que impone la sanción demostrar que dichas condiciones han sido cumplidas. Basta con que una de las condiciones enunciadas no sea cumplida para que las limitaciones impuestas sean consideradas ilegítimas bajo el derecho internacional de los derechos humanos.</w:t>
      </w:r>
    </w:p>
    <w:p w:rsidR="003142C9" w:rsidRPr="00845503" w:rsidRDefault="003142C9" w:rsidP="003142C9">
      <w:pPr>
        <w:pStyle w:val="ListParagraph"/>
        <w:rPr>
          <w:sz w:val="20"/>
          <w:szCs w:val="20"/>
          <w:lang w:val="es-CO"/>
        </w:rPr>
      </w:pPr>
    </w:p>
    <w:p w:rsidR="00BE42C5" w:rsidRPr="00845503" w:rsidRDefault="00BE42C5" w:rsidP="009C22C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rFonts w:cs="Arial"/>
          <w:b/>
          <w:sz w:val="20"/>
          <w:szCs w:val="20"/>
          <w:lang w:val="es-ES"/>
        </w:rPr>
      </w:pPr>
      <w:r w:rsidRPr="00845503">
        <w:rPr>
          <w:rFonts w:cs="Arial"/>
          <w:b/>
          <w:sz w:val="20"/>
          <w:szCs w:val="20"/>
          <w:lang w:val="es-MX"/>
        </w:rPr>
        <w:t>Previsi</w:t>
      </w:r>
      <w:r w:rsidRPr="00845503">
        <w:rPr>
          <w:rFonts w:cs="Arial"/>
          <w:b/>
          <w:sz w:val="20"/>
          <w:szCs w:val="20"/>
          <w:lang w:val="es-ES"/>
        </w:rPr>
        <w:t>ón legal de la restricción</w:t>
      </w:r>
    </w:p>
    <w:p w:rsidR="00BE42C5" w:rsidRPr="00845503" w:rsidRDefault="00BE42C5" w:rsidP="003142C9">
      <w:pPr>
        <w:pStyle w:val="ListParagraph"/>
        <w:rPr>
          <w:sz w:val="20"/>
          <w:szCs w:val="20"/>
          <w:lang w:val="es-CO"/>
        </w:rPr>
      </w:pPr>
    </w:p>
    <w:p w:rsidR="003142C9"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t>Respecto a la previsión legal de la restricción, la CIDH ha señalado que es la ley la que debe establecer las restricciones a la libertad de expresión</w:t>
      </w:r>
      <w:r w:rsidRPr="00845503">
        <w:rPr>
          <w:rStyle w:val="FootnoteReference"/>
          <w:rFonts w:ascii="Cambria" w:hAnsi="Cambria"/>
          <w:sz w:val="20"/>
          <w:szCs w:val="20"/>
          <w:lang w:val="es-CO"/>
        </w:rPr>
        <w:footnoteReference w:id="75"/>
      </w:r>
      <w:r w:rsidRPr="00845503">
        <w:rPr>
          <w:rFonts w:ascii="Cambria" w:hAnsi="Cambria"/>
          <w:sz w:val="20"/>
          <w:szCs w:val="20"/>
          <w:lang w:val="es-CO"/>
        </w:rPr>
        <w:t>. En este sentido, cualquier limitación o restricción a aquélla debe estar prevista en la ley, tanto en sentido formal como material. Si la restricción o limitación proviene del derecho penal, es preciso observar los estrictos requerimientos característicos de la tipificación penal para satisfacer en este ámbito el principio de legalidad, utilizando términos estrictos y unívocos, que acoten claramente las conductas punibles</w:t>
      </w:r>
      <w:r w:rsidRPr="00845503">
        <w:rPr>
          <w:rStyle w:val="FootnoteReference"/>
          <w:rFonts w:ascii="Cambria" w:hAnsi="Cambria"/>
          <w:sz w:val="20"/>
          <w:szCs w:val="20"/>
          <w:lang w:val="es-CO"/>
        </w:rPr>
        <w:footnoteReference w:id="76"/>
      </w:r>
      <w:r w:rsidRPr="00845503">
        <w:rPr>
          <w:rFonts w:ascii="Cambria" w:hAnsi="Cambria"/>
          <w:sz w:val="20"/>
          <w:szCs w:val="20"/>
          <w:lang w:val="es-CO"/>
        </w:rPr>
        <w:t>. Por lo tanto, la tipificación de los delitos referidos a las expresiones debe formularse “en forma expresa, precisa, taxativa y previa, más aún cuando el derecho penal es el medio más restrictivo y severo para establecer responsabilidades respecto de una conducta ilícita, teniendo en cuenta que el marco legal debe brindar seguridad jurídica al ciudadano”</w:t>
      </w:r>
      <w:r w:rsidRPr="00845503">
        <w:rPr>
          <w:rStyle w:val="FootnoteReference"/>
          <w:rFonts w:ascii="Cambria" w:hAnsi="Cambria"/>
          <w:sz w:val="20"/>
          <w:szCs w:val="20"/>
          <w:lang w:val="es-CO"/>
        </w:rPr>
        <w:footnoteReference w:id="77"/>
      </w:r>
      <w:r w:rsidRPr="00845503">
        <w:rPr>
          <w:rFonts w:ascii="Cambria" w:hAnsi="Cambria"/>
          <w:sz w:val="20"/>
          <w:szCs w:val="20"/>
          <w:lang w:val="es-CO"/>
        </w:rPr>
        <w:t xml:space="preserve">. </w:t>
      </w:r>
    </w:p>
    <w:p w:rsidR="00652D8B" w:rsidRPr="00845503" w:rsidRDefault="00652D8B" w:rsidP="00652D8B">
      <w:pPr>
        <w:pStyle w:val="ListParagraph"/>
        <w:rPr>
          <w:sz w:val="20"/>
          <w:szCs w:val="20"/>
          <w:lang w:val="es-CO"/>
        </w:rPr>
      </w:pPr>
    </w:p>
    <w:p w:rsidR="003142C9"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t xml:space="preserve">En el presente caso, las víctimas fueron procesadas y condenadas por infracción de las conductas previstas en el artículo 100 </w:t>
      </w:r>
      <w:r w:rsidR="00C1205D" w:rsidRPr="00845503">
        <w:rPr>
          <w:rFonts w:ascii="Cambria" w:hAnsi="Cambria"/>
          <w:sz w:val="20"/>
          <w:szCs w:val="20"/>
          <w:lang w:val="es-CO"/>
        </w:rPr>
        <w:t xml:space="preserve"> c) </w:t>
      </w:r>
      <w:r w:rsidRPr="00845503">
        <w:rPr>
          <w:rFonts w:ascii="Cambria" w:hAnsi="Cambria"/>
          <w:sz w:val="20"/>
          <w:szCs w:val="20"/>
          <w:lang w:val="es-CO"/>
        </w:rPr>
        <w:t xml:space="preserve">del Código Penal cubano, </w:t>
      </w:r>
      <w:r w:rsidR="001D5580" w:rsidRPr="00845503">
        <w:rPr>
          <w:rFonts w:ascii="Cambria" w:hAnsi="Cambria"/>
          <w:sz w:val="20"/>
          <w:szCs w:val="20"/>
          <w:lang w:val="es-CO"/>
        </w:rPr>
        <w:t>en relación con el art</w:t>
      </w:r>
      <w:r w:rsidR="00DD10A3" w:rsidRPr="00845503">
        <w:rPr>
          <w:rFonts w:ascii="Cambria" w:hAnsi="Cambria"/>
          <w:sz w:val="20"/>
          <w:szCs w:val="20"/>
          <w:lang w:val="es-CO"/>
        </w:rPr>
        <w:t>ículo 125</w:t>
      </w:r>
      <w:r w:rsidR="007A3201" w:rsidRPr="00845503">
        <w:rPr>
          <w:rFonts w:ascii="Cambria" w:hAnsi="Cambria"/>
          <w:sz w:val="20"/>
          <w:szCs w:val="20"/>
          <w:lang w:val="es-CO"/>
        </w:rPr>
        <w:t xml:space="preserve"> c)</w:t>
      </w:r>
      <w:r w:rsidR="00DD10A3" w:rsidRPr="00845503">
        <w:rPr>
          <w:rFonts w:ascii="Cambria" w:hAnsi="Cambria"/>
          <w:sz w:val="20"/>
          <w:szCs w:val="20"/>
          <w:lang w:val="es-CO"/>
        </w:rPr>
        <w:t xml:space="preserve"> del mismo, </w:t>
      </w:r>
      <w:r w:rsidRPr="00845503">
        <w:rPr>
          <w:rFonts w:ascii="Cambria" w:hAnsi="Cambria"/>
          <w:sz w:val="20"/>
          <w:szCs w:val="20"/>
          <w:lang w:val="es-CO"/>
        </w:rPr>
        <w:t>que dispone</w:t>
      </w:r>
      <w:r w:rsidR="00DD10A3" w:rsidRPr="00845503">
        <w:rPr>
          <w:rFonts w:ascii="Cambria" w:hAnsi="Cambria"/>
          <w:sz w:val="20"/>
          <w:szCs w:val="20"/>
          <w:lang w:val="es-CO"/>
        </w:rPr>
        <w:t>n</w:t>
      </w:r>
      <w:r w:rsidRPr="00845503">
        <w:rPr>
          <w:rFonts w:ascii="Cambria" w:hAnsi="Cambria"/>
          <w:sz w:val="20"/>
          <w:szCs w:val="20"/>
          <w:lang w:val="es-CO"/>
        </w:rPr>
        <w:t xml:space="preserve"> que:</w:t>
      </w:r>
    </w:p>
    <w:p w:rsidR="003142C9" w:rsidRPr="00845503" w:rsidRDefault="003142C9" w:rsidP="003142C9">
      <w:pPr>
        <w:pStyle w:val="ListParagraph"/>
        <w:rPr>
          <w:color w:val="auto"/>
          <w:sz w:val="20"/>
          <w:szCs w:val="20"/>
          <w:lang w:val="es-CO"/>
        </w:rPr>
      </w:pPr>
    </w:p>
    <w:p w:rsidR="003142C9" w:rsidRPr="00845503" w:rsidRDefault="003142C9" w:rsidP="002E48F5">
      <w:pPr>
        <w:ind w:left="720" w:right="720"/>
        <w:jc w:val="both"/>
        <w:rPr>
          <w:rFonts w:ascii="Cambria" w:hAnsi="Cambria"/>
          <w:sz w:val="20"/>
          <w:szCs w:val="20"/>
          <w:lang w:val="es-CO"/>
        </w:rPr>
      </w:pPr>
      <w:r w:rsidRPr="00845503">
        <w:rPr>
          <w:rFonts w:ascii="Cambria" w:hAnsi="Cambria"/>
          <w:b/>
          <w:sz w:val="20"/>
          <w:szCs w:val="20"/>
          <w:lang w:val="es-CO"/>
        </w:rPr>
        <w:t>ARTÍCULO 100</w:t>
      </w:r>
      <w:r w:rsidRPr="00845503">
        <w:rPr>
          <w:rFonts w:ascii="Cambria" w:hAnsi="Cambria"/>
          <w:sz w:val="20"/>
          <w:szCs w:val="20"/>
          <w:lang w:val="es-CO"/>
        </w:rPr>
        <w:t xml:space="preserve">. Los que, tumultuariamente y mediante concierto expreso o tácito, empleando violencia, perturben el orden socialista o la celebración de elecciones o referendos, o impidan el cumplimiento de alguna sentencia, disposición legal o medida dictada por el Gobierno, o por una autoridad civil o militar en el ejercicio de sus respectivas funciones, o rehúsen obedecerlas, o realicen exigencias, o se resistan a cumplir sus deberes, son sancionados: </w:t>
      </w:r>
    </w:p>
    <w:p w:rsidR="003142C9" w:rsidRPr="00845503" w:rsidRDefault="003142C9" w:rsidP="002E48F5">
      <w:pPr>
        <w:ind w:left="720" w:right="720"/>
        <w:jc w:val="both"/>
        <w:rPr>
          <w:rFonts w:ascii="Cambria" w:hAnsi="Cambria"/>
          <w:sz w:val="20"/>
          <w:szCs w:val="20"/>
          <w:lang w:val="es-CO"/>
        </w:rPr>
      </w:pPr>
      <w:r w:rsidRPr="00845503">
        <w:rPr>
          <w:rFonts w:ascii="Cambria" w:hAnsi="Cambria"/>
          <w:sz w:val="20"/>
          <w:szCs w:val="20"/>
          <w:lang w:val="es-CO"/>
        </w:rPr>
        <w:t>a) con privación de libertad de diez a veinte años o muerte, si el delito se comete en situación de guerra o que afecte la seguridad del Estado, o durante grave alteración del orden público, o en zona militar, recurriendo a las armas o ejerciendo violencia;</w:t>
      </w:r>
    </w:p>
    <w:p w:rsidR="007127D4" w:rsidRPr="00845503" w:rsidRDefault="003142C9" w:rsidP="002E48F5">
      <w:pPr>
        <w:ind w:left="720" w:right="720"/>
        <w:jc w:val="both"/>
        <w:rPr>
          <w:rFonts w:ascii="Cambria" w:hAnsi="Cambria"/>
          <w:sz w:val="20"/>
          <w:szCs w:val="20"/>
          <w:lang w:val="es-CO"/>
        </w:rPr>
      </w:pPr>
      <w:r w:rsidRPr="00845503">
        <w:rPr>
          <w:rFonts w:ascii="Cambria" w:hAnsi="Cambria"/>
          <w:sz w:val="20"/>
          <w:szCs w:val="20"/>
          <w:lang w:val="es-CO"/>
        </w:rPr>
        <w:t>b) con privación de libertad de diez a veinte años, si el delito se comete sin recurrir a las armas ni ejercer violencia y concurre alguna de las demás circunstancias expresadas en el inciso anterior; o si se ha recurrido a las armas o ejercido violencia y el delito se comete fuera de zona militar en tiempo de paz;</w:t>
      </w:r>
    </w:p>
    <w:p w:rsidR="003142C9" w:rsidRPr="00845503" w:rsidRDefault="003142C9" w:rsidP="007127D4">
      <w:pPr>
        <w:ind w:left="720"/>
        <w:jc w:val="both"/>
        <w:rPr>
          <w:rFonts w:ascii="Cambria" w:hAnsi="Cambria"/>
          <w:sz w:val="20"/>
          <w:szCs w:val="20"/>
          <w:lang w:val="es-CO"/>
        </w:rPr>
      </w:pPr>
      <w:r w:rsidRPr="00845503">
        <w:rPr>
          <w:rFonts w:ascii="Cambria" w:hAnsi="Cambria"/>
          <w:sz w:val="20"/>
          <w:szCs w:val="20"/>
          <w:lang w:val="es-CO"/>
        </w:rPr>
        <w:lastRenderedPageBreak/>
        <w:t>c) con privación de libertad de uno a ocho años, en los demás casos</w:t>
      </w:r>
      <w:r w:rsidR="00A62BB8" w:rsidRPr="00845503">
        <w:rPr>
          <w:rStyle w:val="FootnoteReference"/>
          <w:rFonts w:ascii="Cambria" w:hAnsi="Cambria"/>
          <w:sz w:val="20"/>
          <w:szCs w:val="20"/>
          <w:lang w:val="es-CO"/>
        </w:rPr>
        <w:footnoteReference w:id="78"/>
      </w:r>
      <w:r w:rsidRPr="00845503">
        <w:rPr>
          <w:rFonts w:ascii="Cambria" w:hAnsi="Cambria"/>
          <w:sz w:val="20"/>
          <w:szCs w:val="20"/>
          <w:lang w:val="es-CO"/>
        </w:rPr>
        <w:t>.</w:t>
      </w:r>
    </w:p>
    <w:p w:rsidR="003142C9" w:rsidRPr="00845503" w:rsidRDefault="003142C9" w:rsidP="003142C9">
      <w:pPr>
        <w:rPr>
          <w:rFonts w:ascii="Cambria" w:hAnsi="Cambria"/>
          <w:sz w:val="20"/>
          <w:szCs w:val="20"/>
          <w:lang w:val="es-CO"/>
        </w:rPr>
      </w:pPr>
    </w:p>
    <w:p w:rsidR="001D5580" w:rsidRPr="00845503" w:rsidRDefault="001D5580" w:rsidP="002E48F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CO"/>
        </w:rPr>
      </w:pPr>
      <w:r w:rsidRPr="00845503">
        <w:rPr>
          <w:rFonts w:ascii="Cambria" w:hAnsi="Cambria"/>
          <w:b/>
          <w:sz w:val="20"/>
          <w:szCs w:val="20"/>
          <w:lang w:val="es-CO"/>
        </w:rPr>
        <w:t>ARTÍCULO 125</w:t>
      </w:r>
      <w:r w:rsidRPr="00845503">
        <w:rPr>
          <w:rFonts w:ascii="Cambria" w:hAnsi="Cambria"/>
          <w:sz w:val="20"/>
          <w:szCs w:val="20"/>
          <w:lang w:val="es-CO"/>
        </w:rPr>
        <w:t>. Se sanciona conforme a las reglas que respecto a los actos preparatorios se establecen en los</w:t>
      </w:r>
      <w:r w:rsidR="00DD10A3" w:rsidRPr="00845503">
        <w:rPr>
          <w:rFonts w:ascii="Cambria" w:hAnsi="Cambria"/>
          <w:sz w:val="20"/>
          <w:szCs w:val="20"/>
          <w:lang w:val="es-CO"/>
        </w:rPr>
        <w:t xml:space="preserve"> </w:t>
      </w:r>
      <w:r w:rsidR="00784AB5" w:rsidRPr="00845503">
        <w:rPr>
          <w:rFonts w:ascii="Cambria" w:hAnsi="Cambria"/>
          <w:sz w:val="20"/>
          <w:szCs w:val="20"/>
          <w:lang w:val="es-CO"/>
        </w:rPr>
        <w:t xml:space="preserve">artículos 12 y 49 al que: […] </w:t>
      </w:r>
      <w:r w:rsidRPr="00845503">
        <w:rPr>
          <w:rFonts w:ascii="Cambria" w:hAnsi="Cambria"/>
          <w:sz w:val="20"/>
          <w:szCs w:val="20"/>
          <w:lang w:val="es-CO"/>
        </w:rPr>
        <w:t>c) incite a otro u otros, de palabra o por escrito, pública o privadamente, a ejecutar alguno de</w:t>
      </w:r>
      <w:r w:rsidR="00784AB5" w:rsidRPr="00845503">
        <w:rPr>
          <w:rFonts w:ascii="Cambria" w:hAnsi="Cambria"/>
          <w:sz w:val="20"/>
          <w:szCs w:val="20"/>
          <w:lang w:val="es-CO"/>
        </w:rPr>
        <w:t xml:space="preserve"> </w:t>
      </w:r>
      <w:r w:rsidRPr="00845503">
        <w:rPr>
          <w:rFonts w:ascii="Cambria" w:hAnsi="Cambria"/>
          <w:sz w:val="20"/>
          <w:szCs w:val="20"/>
          <w:lang w:val="es-CO"/>
        </w:rPr>
        <w:t>los delitos previstos en este Título. Si a la incitación ha seguido la comisión del delito, el</w:t>
      </w:r>
      <w:r w:rsidR="00784AB5" w:rsidRPr="00845503">
        <w:rPr>
          <w:rFonts w:ascii="Cambria" w:hAnsi="Cambria"/>
          <w:sz w:val="20"/>
          <w:szCs w:val="20"/>
          <w:lang w:val="es-CO"/>
        </w:rPr>
        <w:t xml:space="preserve"> </w:t>
      </w:r>
      <w:r w:rsidRPr="00845503">
        <w:rPr>
          <w:rFonts w:ascii="Cambria" w:hAnsi="Cambria"/>
          <w:sz w:val="20"/>
          <w:szCs w:val="20"/>
          <w:lang w:val="es-CO"/>
        </w:rPr>
        <w:t>provocador será sancionado como autor del delito cometido</w:t>
      </w:r>
      <w:r w:rsidR="00DD10A3" w:rsidRPr="00845503">
        <w:rPr>
          <w:rStyle w:val="FootnoteReference"/>
          <w:rFonts w:ascii="Cambria" w:hAnsi="Cambria"/>
          <w:sz w:val="20"/>
          <w:szCs w:val="20"/>
          <w:lang w:val="es-CO"/>
        </w:rPr>
        <w:footnoteReference w:id="79"/>
      </w:r>
      <w:r w:rsidRPr="00845503">
        <w:rPr>
          <w:rFonts w:ascii="Cambria" w:hAnsi="Cambria"/>
          <w:sz w:val="20"/>
          <w:szCs w:val="20"/>
          <w:lang w:val="es-CO"/>
        </w:rPr>
        <w:t>.</w:t>
      </w:r>
    </w:p>
    <w:p w:rsidR="001D5580" w:rsidRPr="00845503" w:rsidRDefault="001D5580" w:rsidP="001D55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O"/>
        </w:rPr>
      </w:pPr>
    </w:p>
    <w:p w:rsidR="005A691E" w:rsidRPr="00845503" w:rsidRDefault="00DD10A3"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eastAsia="Times New Roman" w:hAnsi="Cambria"/>
          <w:spacing w:val="-2"/>
          <w:sz w:val="20"/>
          <w:szCs w:val="20"/>
          <w:lang w:val="es-ES_tradnl"/>
        </w:rPr>
        <w:t>En cuanto al artículo 100 del Código Penal, l</w:t>
      </w:r>
      <w:r w:rsidR="003142C9" w:rsidRPr="00845503">
        <w:rPr>
          <w:rFonts w:ascii="Cambria" w:eastAsia="Times New Roman" w:hAnsi="Cambria"/>
          <w:spacing w:val="-2"/>
          <w:sz w:val="20"/>
          <w:szCs w:val="20"/>
          <w:lang w:val="es-ES_tradnl"/>
        </w:rPr>
        <w:t>a CIDH advierte que la norma no es precisa en cuanto a la conducta punible y, por el contrario, utiliza conceptos vagos e indeterminados para definir el delito de sedición</w:t>
      </w:r>
      <w:r w:rsidR="00C1205D" w:rsidRPr="00845503">
        <w:rPr>
          <w:rFonts w:ascii="Cambria" w:eastAsia="Times New Roman" w:hAnsi="Cambria"/>
          <w:spacing w:val="-2"/>
          <w:sz w:val="20"/>
          <w:szCs w:val="20"/>
          <w:lang w:val="es-ES_tradnl"/>
        </w:rPr>
        <w:t>, que no permiten prever la conducta que se busca sancionar</w:t>
      </w:r>
      <w:r w:rsidR="003142C9" w:rsidRPr="00845503">
        <w:rPr>
          <w:rFonts w:ascii="Cambria" w:eastAsia="Times New Roman" w:hAnsi="Cambria"/>
          <w:spacing w:val="-2"/>
          <w:sz w:val="20"/>
          <w:szCs w:val="20"/>
          <w:lang w:val="es-ES_tradnl"/>
        </w:rPr>
        <w:t xml:space="preserve">. Según esta disposición, cometerían sedición quienes tumultuariamente y empleando violencia “perturban el orden socialista", “impidan el cumplimiento de alguna sentencia, disposición legal o medida dictada por el gobierno”, “realicen exigencias” o “se resistan a cumplir sus deberes”.  </w:t>
      </w:r>
      <w:r w:rsidR="00742FF1" w:rsidRPr="00845503">
        <w:rPr>
          <w:rFonts w:ascii="Cambria" w:eastAsia="Times New Roman" w:hAnsi="Cambria"/>
          <w:spacing w:val="-2"/>
          <w:sz w:val="20"/>
          <w:szCs w:val="20"/>
          <w:lang w:val="es-ES_tradnl"/>
        </w:rPr>
        <w:t>Se trata de conceptos ambiguos qu</w:t>
      </w:r>
      <w:r w:rsidR="00957A07" w:rsidRPr="00845503">
        <w:rPr>
          <w:rFonts w:ascii="Cambria" w:eastAsia="Times New Roman" w:hAnsi="Cambria"/>
          <w:spacing w:val="-2"/>
          <w:sz w:val="20"/>
          <w:szCs w:val="20"/>
          <w:lang w:val="es-ES_tradnl"/>
        </w:rPr>
        <w:t xml:space="preserve">e abren espacio a la </w:t>
      </w:r>
      <w:r w:rsidR="00A31849" w:rsidRPr="00845503">
        <w:rPr>
          <w:rFonts w:ascii="Cambria" w:eastAsia="Times New Roman" w:hAnsi="Cambria"/>
          <w:spacing w:val="-2"/>
          <w:sz w:val="20"/>
          <w:szCs w:val="20"/>
          <w:lang w:val="es-ES_tradnl"/>
        </w:rPr>
        <w:t>interpretación</w:t>
      </w:r>
      <w:r w:rsidR="00742FF1" w:rsidRPr="00845503">
        <w:rPr>
          <w:rFonts w:ascii="Cambria" w:eastAsia="Times New Roman" w:hAnsi="Cambria"/>
          <w:spacing w:val="-2"/>
          <w:sz w:val="20"/>
          <w:szCs w:val="20"/>
          <w:lang w:val="es-ES"/>
        </w:rPr>
        <w:t>ón</w:t>
      </w:r>
      <w:r w:rsidR="00742FF1" w:rsidRPr="00845503">
        <w:rPr>
          <w:rFonts w:ascii="Cambria" w:eastAsia="Times New Roman" w:hAnsi="Cambria"/>
          <w:spacing w:val="-2"/>
          <w:sz w:val="20"/>
          <w:szCs w:val="20"/>
          <w:lang w:val="es-ES_tradnl"/>
        </w:rPr>
        <w:t xml:space="preserve"> judicial arbitraria</w:t>
      </w:r>
      <w:r w:rsidR="00EA65C6" w:rsidRPr="00845503">
        <w:rPr>
          <w:rFonts w:ascii="Cambria" w:eastAsia="Times New Roman" w:hAnsi="Cambria"/>
          <w:spacing w:val="-2"/>
          <w:sz w:val="20"/>
          <w:szCs w:val="20"/>
          <w:lang w:val="es-ES_tradnl"/>
        </w:rPr>
        <w:t>.</w:t>
      </w:r>
    </w:p>
    <w:p w:rsidR="005A691E" w:rsidRPr="00845503" w:rsidRDefault="005A691E" w:rsidP="005A69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rsidR="00AC6B2E" w:rsidRPr="00845503" w:rsidRDefault="002973FF"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t>Por ejemplo, los términos empleados por la norma podrían habilitar la criminalización de</w:t>
      </w:r>
      <w:r w:rsidR="00C45200" w:rsidRPr="00845503">
        <w:rPr>
          <w:rFonts w:ascii="Cambria" w:hAnsi="Cambria"/>
          <w:sz w:val="20"/>
          <w:szCs w:val="20"/>
          <w:lang w:val="es-CO"/>
        </w:rPr>
        <w:t xml:space="preserve"> la </w:t>
      </w:r>
      <w:r w:rsidR="00233B59" w:rsidRPr="00845503">
        <w:rPr>
          <w:rFonts w:ascii="Cambria" w:hAnsi="Cambria"/>
          <w:sz w:val="20"/>
          <w:szCs w:val="20"/>
          <w:lang w:val="es-CO"/>
        </w:rPr>
        <w:t>protesta</w:t>
      </w:r>
      <w:r w:rsidR="00470BBD" w:rsidRPr="00845503">
        <w:rPr>
          <w:rFonts w:ascii="Cambria" w:hAnsi="Cambria"/>
          <w:sz w:val="20"/>
          <w:szCs w:val="20"/>
          <w:lang w:val="es-CO"/>
        </w:rPr>
        <w:t xml:space="preserve"> social, el activismo </w:t>
      </w:r>
      <w:r w:rsidR="005A691E" w:rsidRPr="00845503">
        <w:rPr>
          <w:rFonts w:ascii="Cambria" w:hAnsi="Cambria"/>
          <w:sz w:val="20"/>
          <w:szCs w:val="20"/>
          <w:lang w:val="es-CO"/>
        </w:rPr>
        <w:t xml:space="preserve">cívico </w:t>
      </w:r>
      <w:r w:rsidR="00470BBD" w:rsidRPr="00845503">
        <w:rPr>
          <w:rFonts w:ascii="Cambria" w:hAnsi="Cambria"/>
          <w:sz w:val="20"/>
          <w:szCs w:val="20"/>
          <w:lang w:val="es-CO"/>
        </w:rPr>
        <w:t>o cualquier</w:t>
      </w:r>
      <w:r w:rsidR="00233B59" w:rsidRPr="00845503">
        <w:rPr>
          <w:rFonts w:ascii="Cambria" w:hAnsi="Cambria"/>
          <w:sz w:val="20"/>
          <w:szCs w:val="20"/>
          <w:lang w:val="es-CO"/>
        </w:rPr>
        <w:t xml:space="preserve"> crí</w:t>
      </w:r>
      <w:r w:rsidR="00470BBD" w:rsidRPr="00845503">
        <w:rPr>
          <w:rFonts w:ascii="Cambria" w:hAnsi="Cambria"/>
          <w:sz w:val="20"/>
          <w:szCs w:val="20"/>
          <w:lang w:val="es-CO"/>
        </w:rPr>
        <w:t xml:space="preserve">tica a autoridades públicas. </w:t>
      </w:r>
      <w:r w:rsidR="00233B59" w:rsidRPr="00845503">
        <w:rPr>
          <w:rFonts w:ascii="Cambria" w:hAnsi="Cambria"/>
          <w:sz w:val="20"/>
          <w:szCs w:val="20"/>
          <w:lang w:val="es-CO"/>
        </w:rPr>
        <w:t xml:space="preserve">Una protesta social </w:t>
      </w:r>
      <w:r w:rsidR="00BC7A6E" w:rsidRPr="00845503">
        <w:rPr>
          <w:rFonts w:ascii="Cambria" w:hAnsi="Cambria"/>
          <w:sz w:val="20"/>
          <w:szCs w:val="20"/>
          <w:lang w:val="es-CO"/>
        </w:rPr>
        <w:t xml:space="preserve"> ser</w:t>
      </w:r>
      <w:r w:rsidR="00233B59" w:rsidRPr="00845503">
        <w:rPr>
          <w:rFonts w:ascii="Cambria" w:hAnsi="Cambria"/>
          <w:sz w:val="20"/>
          <w:szCs w:val="20"/>
          <w:lang w:val="es-CO"/>
        </w:rPr>
        <w:t xml:space="preserve"> </w:t>
      </w:r>
      <w:r w:rsidRPr="00845503">
        <w:rPr>
          <w:rFonts w:ascii="Cambria" w:hAnsi="Cambria"/>
          <w:sz w:val="20"/>
          <w:szCs w:val="20"/>
          <w:lang w:val="es-CO"/>
        </w:rPr>
        <w:t>entendida como acción “</w:t>
      </w:r>
      <w:r w:rsidR="00A31849" w:rsidRPr="00845503">
        <w:rPr>
          <w:rFonts w:ascii="Cambria" w:hAnsi="Cambria"/>
          <w:sz w:val="20"/>
          <w:szCs w:val="20"/>
          <w:lang w:val="es-CO"/>
        </w:rPr>
        <w:t>tumultuaría “de</w:t>
      </w:r>
      <w:r w:rsidRPr="00845503">
        <w:rPr>
          <w:rFonts w:ascii="Cambria" w:hAnsi="Cambria"/>
          <w:sz w:val="20"/>
          <w:szCs w:val="20"/>
          <w:lang w:val="es-CO"/>
        </w:rPr>
        <w:t xml:space="preserve"> un colectivo o multitud de personas  dirigida a “realizar exigencias” o a “impedir  el cumplimiento de medida dictada por el gobierno”. </w:t>
      </w:r>
      <w:r w:rsidR="00C45200" w:rsidRPr="00845503">
        <w:rPr>
          <w:rFonts w:ascii="Cambria" w:hAnsi="Cambria"/>
          <w:sz w:val="20"/>
          <w:szCs w:val="20"/>
          <w:lang w:val="es-CO"/>
        </w:rPr>
        <w:t xml:space="preserve">Asimismo, </w:t>
      </w:r>
      <w:r w:rsidR="00233B59" w:rsidRPr="00845503">
        <w:rPr>
          <w:rFonts w:ascii="Cambria" w:hAnsi="Cambria"/>
          <w:sz w:val="20"/>
          <w:szCs w:val="20"/>
          <w:lang w:val="es-CO"/>
        </w:rPr>
        <w:t>la expresión “perturbar el orden socialista” puede ser interpretad</w:t>
      </w:r>
      <w:r w:rsidR="005A691E" w:rsidRPr="00845503">
        <w:rPr>
          <w:rFonts w:ascii="Cambria" w:hAnsi="Cambria"/>
          <w:sz w:val="20"/>
          <w:szCs w:val="20"/>
          <w:lang w:val="es-CO"/>
        </w:rPr>
        <w:t>a</w:t>
      </w:r>
      <w:r w:rsidR="00233B59" w:rsidRPr="00845503">
        <w:rPr>
          <w:rFonts w:ascii="Cambria" w:hAnsi="Cambria"/>
          <w:sz w:val="20"/>
          <w:szCs w:val="20"/>
          <w:lang w:val="es-CO"/>
        </w:rPr>
        <w:t xml:space="preserve"> para sancionar el derecho</w:t>
      </w:r>
      <w:r w:rsidR="005A691E" w:rsidRPr="00845503">
        <w:rPr>
          <w:rFonts w:ascii="Cambria" w:hAnsi="Cambria"/>
          <w:sz w:val="20"/>
          <w:szCs w:val="20"/>
          <w:lang w:val="es-CO"/>
        </w:rPr>
        <w:t xml:space="preserve"> legítimo de las personas</w:t>
      </w:r>
      <w:r w:rsidR="00233B59" w:rsidRPr="00845503">
        <w:rPr>
          <w:rFonts w:ascii="Cambria" w:hAnsi="Cambria"/>
          <w:sz w:val="20"/>
          <w:szCs w:val="20"/>
          <w:lang w:val="es-CO"/>
        </w:rPr>
        <w:t xml:space="preserve"> a expresar, en asociación con otras, opiniones controversiales</w:t>
      </w:r>
      <w:r w:rsidR="005A691E" w:rsidRPr="00845503">
        <w:rPr>
          <w:rFonts w:ascii="Cambria" w:hAnsi="Cambria"/>
          <w:sz w:val="20"/>
          <w:szCs w:val="20"/>
          <w:lang w:val="es-CO"/>
        </w:rPr>
        <w:t xml:space="preserve">, mensajes que induzcan a acciones de </w:t>
      </w:r>
      <w:r w:rsidR="00233B59" w:rsidRPr="00845503">
        <w:rPr>
          <w:rFonts w:ascii="Cambria" w:hAnsi="Cambria"/>
          <w:sz w:val="20"/>
          <w:szCs w:val="20"/>
          <w:lang w:val="es-CO"/>
        </w:rPr>
        <w:t>protesta y reclamo</w:t>
      </w:r>
      <w:r w:rsidR="005A691E" w:rsidRPr="00845503">
        <w:rPr>
          <w:rFonts w:ascii="Cambria" w:hAnsi="Cambria"/>
          <w:sz w:val="20"/>
          <w:szCs w:val="20"/>
          <w:lang w:val="es-CO"/>
        </w:rPr>
        <w:t xml:space="preserve"> leg</w:t>
      </w:r>
      <w:r w:rsidR="00C659C2" w:rsidRPr="00845503">
        <w:rPr>
          <w:rFonts w:ascii="Cambria" w:hAnsi="Cambria"/>
          <w:sz w:val="20"/>
          <w:szCs w:val="20"/>
          <w:lang w:val="es-CO"/>
        </w:rPr>
        <w:t>í</w:t>
      </w:r>
      <w:r w:rsidR="005A691E" w:rsidRPr="00845503">
        <w:rPr>
          <w:rFonts w:ascii="Cambria" w:hAnsi="Cambria"/>
          <w:sz w:val="20"/>
          <w:szCs w:val="20"/>
          <w:lang w:val="es-CO"/>
        </w:rPr>
        <w:t>timo</w:t>
      </w:r>
      <w:r w:rsidR="00233B59" w:rsidRPr="00845503">
        <w:rPr>
          <w:rFonts w:ascii="Cambria" w:hAnsi="Cambria"/>
          <w:sz w:val="20"/>
          <w:szCs w:val="20"/>
          <w:lang w:val="es-CO"/>
        </w:rPr>
        <w:t xml:space="preserve"> a las autoridades públicas</w:t>
      </w:r>
      <w:r w:rsidR="005A691E" w:rsidRPr="00845503">
        <w:rPr>
          <w:rFonts w:ascii="Cambria" w:hAnsi="Cambria"/>
          <w:sz w:val="20"/>
          <w:szCs w:val="20"/>
          <w:lang w:val="es-CO"/>
        </w:rPr>
        <w:t xml:space="preserve"> sobre los problemas que aquejan a una población o grupo.</w:t>
      </w:r>
      <w:r w:rsidR="00233B59" w:rsidRPr="00845503">
        <w:rPr>
          <w:rFonts w:ascii="Cambria" w:hAnsi="Cambria"/>
          <w:sz w:val="20"/>
          <w:szCs w:val="20"/>
          <w:lang w:val="es-CO"/>
        </w:rPr>
        <w:t xml:space="preserve"> </w:t>
      </w:r>
    </w:p>
    <w:p w:rsidR="00EA65C6" w:rsidRPr="00845503" w:rsidRDefault="00EA65C6" w:rsidP="00EA65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rsidR="00DD10A3"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t>La norma tampoco es taxativa, sino que dispone distintas penas dependiendo de una variedad de supuestos abiertos: si el delito se comete “en situación de guerra o que afecte la seguridad del Estado”, o “durante grave alteración del orden público, o en zona militar, recurriendo a las armas o ejerciendo violencia” o “si el delito se comete sin recurrir a las armas ni ejercer violencia” y “concurre alguna de las demás circunstancias expresadas” previamente, y finalmente, dispone que “en los demás casos”, se sancionará la sedición con la “privación d</w:t>
      </w:r>
      <w:r w:rsidR="006B6238" w:rsidRPr="00845503">
        <w:rPr>
          <w:rFonts w:ascii="Cambria" w:hAnsi="Cambria"/>
          <w:sz w:val="20"/>
          <w:szCs w:val="20"/>
          <w:lang w:val="es-CO"/>
        </w:rPr>
        <w:t>e libertad de uno a ocho años”.</w:t>
      </w:r>
      <w:r w:rsidR="00DD10A3" w:rsidRPr="00845503">
        <w:rPr>
          <w:rFonts w:ascii="Cambria" w:hAnsi="Cambria"/>
          <w:sz w:val="20"/>
          <w:szCs w:val="20"/>
          <w:lang w:val="es-CO"/>
        </w:rPr>
        <w:t xml:space="preserve"> </w:t>
      </w:r>
    </w:p>
    <w:p w:rsidR="00DD10A3" w:rsidRPr="00845503" w:rsidRDefault="00DD10A3" w:rsidP="00DD10A3">
      <w:pPr>
        <w:pStyle w:val="ListParagraph"/>
        <w:rPr>
          <w:sz w:val="20"/>
          <w:szCs w:val="20"/>
          <w:lang w:val="es-ES"/>
        </w:rPr>
      </w:pPr>
    </w:p>
    <w:p w:rsidR="00135FCE" w:rsidRPr="00845503" w:rsidRDefault="006B6238"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ES"/>
        </w:rPr>
        <w:t xml:space="preserve">Esta última frase, “en los demás casos”, </w:t>
      </w:r>
      <w:r w:rsidR="00C659C2" w:rsidRPr="00845503">
        <w:rPr>
          <w:rFonts w:ascii="Cambria" w:hAnsi="Cambria"/>
          <w:sz w:val="20"/>
          <w:szCs w:val="20"/>
          <w:lang w:val="es-ES"/>
        </w:rPr>
        <w:t xml:space="preserve">aplicada en el presente caso, </w:t>
      </w:r>
      <w:r w:rsidRPr="00845503">
        <w:rPr>
          <w:rFonts w:ascii="Cambria" w:hAnsi="Cambria"/>
          <w:sz w:val="20"/>
          <w:szCs w:val="20"/>
          <w:lang w:val="es-ES"/>
        </w:rPr>
        <w:t xml:space="preserve">es una remisión abierta al juzgador que  le </w:t>
      </w:r>
      <w:r w:rsidR="0047407B" w:rsidRPr="00845503">
        <w:rPr>
          <w:rFonts w:ascii="Cambria" w:hAnsi="Cambria"/>
          <w:sz w:val="20"/>
          <w:szCs w:val="20"/>
          <w:lang w:val="es-ES"/>
        </w:rPr>
        <w:t>otorga</w:t>
      </w:r>
      <w:r w:rsidRPr="00845503">
        <w:rPr>
          <w:rFonts w:ascii="Cambria" w:hAnsi="Cambria"/>
          <w:sz w:val="20"/>
          <w:szCs w:val="20"/>
          <w:lang w:val="es-ES"/>
        </w:rPr>
        <w:t xml:space="preserve"> el poder de</w:t>
      </w:r>
      <w:r w:rsidR="00A85A63" w:rsidRPr="00845503">
        <w:rPr>
          <w:rFonts w:ascii="Cambria" w:hAnsi="Cambria"/>
          <w:sz w:val="20"/>
          <w:szCs w:val="20"/>
          <w:lang w:val="es-ES"/>
        </w:rPr>
        <w:t xml:space="preserve"> </w:t>
      </w:r>
      <w:r w:rsidR="00612A86" w:rsidRPr="00845503">
        <w:rPr>
          <w:rFonts w:ascii="Cambria" w:hAnsi="Cambria"/>
          <w:sz w:val="20"/>
          <w:szCs w:val="20"/>
          <w:lang w:val="es-ES"/>
        </w:rPr>
        <w:t>determinar los elementos específicos del tipo</w:t>
      </w:r>
      <w:r w:rsidR="00A85A63" w:rsidRPr="00845503">
        <w:rPr>
          <w:rFonts w:ascii="Cambria" w:hAnsi="Cambria"/>
          <w:sz w:val="20"/>
          <w:szCs w:val="20"/>
          <w:lang w:val="es-ES"/>
        </w:rPr>
        <w:t xml:space="preserve"> y</w:t>
      </w:r>
      <w:r w:rsidRPr="00845503">
        <w:rPr>
          <w:rFonts w:ascii="Cambria" w:hAnsi="Cambria"/>
          <w:sz w:val="20"/>
          <w:szCs w:val="20"/>
          <w:lang w:val="es-ES"/>
        </w:rPr>
        <w:t xml:space="preserve"> </w:t>
      </w:r>
      <w:r w:rsidR="00612A86" w:rsidRPr="00845503">
        <w:rPr>
          <w:rFonts w:ascii="Cambria" w:hAnsi="Cambria"/>
          <w:sz w:val="20"/>
          <w:szCs w:val="20"/>
          <w:lang w:val="es-ES"/>
        </w:rPr>
        <w:t>calificar</w:t>
      </w:r>
      <w:r w:rsidRPr="00845503">
        <w:rPr>
          <w:rFonts w:ascii="Cambria" w:hAnsi="Cambria"/>
          <w:sz w:val="20"/>
          <w:szCs w:val="20"/>
          <w:lang w:val="es-ES"/>
        </w:rPr>
        <w:t xml:space="preserve"> </w:t>
      </w:r>
      <w:r w:rsidR="00A85A63" w:rsidRPr="00845503">
        <w:rPr>
          <w:rFonts w:ascii="Cambria" w:hAnsi="Cambria"/>
          <w:sz w:val="20"/>
          <w:szCs w:val="20"/>
          <w:lang w:val="es-ES"/>
        </w:rPr>
        <w:t>co</w:t>
      </w:r>
      <w:r w:rsidR="00612A86" w:rsidRPr="00845503">
        <w:rPr>
          <w:rFonts w:ascii="Cambria" w:hAnsi="Cambria"/>
          <w:sz w:val="20"/>
          <w:szCs w:val="20"/>
          <w:lang w:val="es-ES"/>
        </w:rPr>
        <w:t>n</w:t>
      </w:r>
      <w:r w:rsidR="00A85A63" w:rsidRPr="00845503">
        <w:rPr>
          <w:rFonts w:ascii="Cambria" w:hAnsi="Cambria"/>
          <w:sz w:val="20"/>
          <w:szCs w:val="20"/>
          <w:lang w:val="es-ES"/>
        </w:rPr>
        <w:t>ductas</w:t>
      </w:r>
      <w:r w:rsidR="00612A86" w:rsidRPr="00845503">
        <w:rPr>
          <w:rFonts w:ascii="Cambria" w:hAnsi="Cambria"/>
          <w:sz w:val="20"/>
          <w:szCs w:val="20"/>
          <w:lang w:val="es-ES"/>
        </w:rPr>
        <w:t xml:space="preserve"> como ilícitas</w:t>
      </w:r>
      <w:r w:rsidRPr="00845503">
        <w:rPr>
          <w:rFonts w:ascii="Cambria" w:hAnsi="Cambria"/>
          <w:sz w:val="20"/>
          <w:szCs w:val="20"/>
          <w:lang w:val="es-ES"/>
        </w:rPr>
        <w:t xml:space="preserve"> dentro de los </w:t>
      </w:r>
      <w:r w:rsidR="008D4911" w:rsidRPr="00845503">
        <w:rPr>
          <w:rFonts w:ascii="Cambria" w:hAnsi="Cambria"/>
          <w:sz w:val="20"/>
          <w:szCs w:val="20"/>
          <w:lang w:val="es-ES"/>
        </w:rPr>
        <w:t xml:space="preserve">más </w:t>
      </w:r>
      <w:r w:rsidRPr="00845503">
        <w:rPr>
          <w:rFonts w:ascii="Cambria" w:hAnsi="Cambria"/>
          <w:sz w:val="20"/>
          <w:szCs w:val="20"/>
          <w:lang w:val="es-ES"/>
        </w:rPr>
        <w:t>amplios márgenes posibles.</w:t>
      </w:r>
      <w:r w:rsidR="00612A86" w:rsidRPr="00845503">
        <w:rPr>
          <w:rFonts w:ascii="Cambria" w:hAnsi="Cambria"/>
          <w:sz w:val="20"/>
          <w:szCs w:val="20"/>
          <w:lang w:val="es-ES"/>
        </w:rPr>
        <w:t xml:space="preserve"> </w:t>
      </w:r>
      <w:r w:rsidRPr="00845503">
        <w:rPr>
          <w:rFonts w:ascii="Cambria" w:hAnsi="Cambria"/>
          <w:sz w:val="20"/>
          <w:szCs w:val="20"/>
          <w:lang w:val="es-ES"/>
        </w:rPr>
        <w:t xml:space="preserve">Como </w:t>
      </w:r>
      <w:r w:rsidR="007A18DF" w:rsidRPr="00845503">
        <w:rPr>
          <w:rFonts w:ascii="Cambria" w:hAnsi="Cambria"/>
          <w:sz w:val="20"/>
          <w:szCs w:val="20"/>
          <w:lang w:val="es-ES"/>
        </w:rPr>
        <w:t xml:space="preserve">se </w:t>
      </w:r>
      <w:r w:rsidRPr="00845503">
        <w:rPr>
          <w:rFonts w:ascii="Cambria" w:hAnsi="Cambria"/>
          <w:sz w:val="20"/>
          <w:szCs w:val="20"/>
          <w:lang w:val="es-ES"/>
        </w:rPr>
        <w:t xml:space="preserve">demuestra en el caso concreto, esta </w:t>
      </w:r>
      <w:r w:rsidR="00742FF1" w:rsidRPr="00845503">
        <w:rPr>
          <w:rFonts w:ascii="Cambria" w:hAnsi="Cambria"/>
          <w:sz w:val="20"/>
          <w:szCs w:val="20"/>
          <w:lang w:val="es-ES"/>
        </w:rPr>
        <w:t xml:space="preserve">última </w:t>
      </w:r>
      <w:r w:rsidRPr="00845503">
        <w:rPr>
          <w:rFonts w:ascii="Cambria" w:hAnsi="Cambria"/>
          <w:sz w:val="20"/>
          <w:szCs w:val="20"/>
          <w:lang w:val="es-ES"/>
        </w:rPr>
        <w:t>disposición</w:t>
      </w:r>
      <w:r w:rsidR="00794933" w:rsidRPr="00845503">
        <w:rPr>
          <w:rFonts w:ascii="Cambria" w:hAnsi="Cambria"/>
          <w:sz w:val="20"/>
          <w:szCs w:val="20"/>
          <w:lang w:val="es-ES"/>
        </w:rPr>
        <w:t xml:space="preserve"> </w:t>
      </w:r>
      <w:r w:rsidRPr="00845503">
        <w:rPr>
          <w:rFonts w:ascii="Cambria" w:hAnsi="Cambria"/>
          <w:sz w:val="20"/>
          <w:szCs w:val="20"/>
          <w:lang w:val="es-ES"/>
        </w:rPr>
        <w:t xml:space="preserve">faculta al juez </w:t>
      </w:r>
      <w:r w:rsidR="00875B59" w:rsidRPr="00845503">
        <w:rPr>
          <w:rFonts w:ascii="Cambria" w:hAnsi="Cambria"/>
          <w:sz w:val="20"/>
          <w:szCs w:val="20"/>
          <w:lang w:val="es-ES"/>
        </w:rPr>
        <w:t xml:space="preserve">para </w:t>
      </w:r>
      <w:r w:rsidRPr="00845503">
        <w:rPr>
          <w:rFonts w:ascii="Cambria" w:hAnsi="Cambria"/>
          <w:sz w:val="20"/>
          <w:szCs w:val="20"/>
          <w:lang w:val="es-ES"/>
        </w:rPr>
        <w:t xml:space="preserve">la </w:t>
      </w:r>
      <w:r w:rsidR="00612A86" w:rsidRPr="00845503">
        <w:rPr>
          <w:rFonts w:ascii="Cambria" w:hAnsi="Cambria"/>
          <w:sz w:val="20"/>
          <w:szCs w:val="20"/>
          <w:lang w:val="es-ES"/>
        </w:rPr>
        <w:t>determinación</w:t>
      </w:r>
      <w:r w:rsidRPr="00845503">
        <w:rPr>
          <w:rFonts w:ascii="Cambria" w:hAnsi="Cambria"/>
          <w:sz w:val="20"/>
          <w:szCs w:val="20"/>
          <w:lang w:val="es-ES"/>
        </w:rPr>
        <w:t xml:space="preserve"> </w:t>
      </w:r>
      <w:r w:rsidR="00652D8B" w:rsidRPr="00845503">
        <w:rPr>
          <w:rFonts w:ascii="Cambria" w:hAnsi="Cambria"/>
          <w:sz w:val="20"/>
          <w:szCs w:val="20"/>
          <w:lang w:val="es-ES"/>
        </w:rPr>
        <w:t xml:space="preserve">arbitraria </w:t>
      </w:r>
      <w:r w:rsidRPr="00845503">
        <w:rPr>
          <w:rFonts w:ascii="Cambria" w:hAnsi="Cambria"/>
          <w:sz w:val="20"/>
          <w:szCs w:val="20"/>
          <w:lang w:val="es-ES"/>
        </w:rPr>
        <w:t>de</w:t>
      </w:r>
      <w:r w:rsidR="00612A86" w:rsidRPr="00845503">
        <w:rPr>
          <w:rFonts w:ascii="Cambria" w:hAnsi="Cambria"/>
          <w:sz w:val="20"/>
          <w:szCs w:val="20"/>
          <w:lang w:val="es-ES"/>
        </w:rPr>
        <w:t xml:space="preserve"> conductas penales sujetas a</w:t>
      </w:r>
      <w:r w:rsidRPr="00845503">
        <w:rPr>
          <w:rFonts w:ascii="Cambria" w:hAnsi="Cambria"/>
          <w:sz w:val="20"/>
          <w:szCs w:val="20"/>
          <w:lang w:val="es-ES"/>
        </w:rPr>
        <w:t xml:space="preserve"> sanciones </w:t>
      </w:r>
      <w:r w:rsidR="00652D8B" w:rsidRPr="00845503">
        <w:rPr>
          <w:rFonts w:ascii="Cambria" w:hAnsi="Cambria"/>
          <w:sz w:val="20"/>
          <w:szCs w:val="20"/>
          <w:lang w:val="es-ES"/>
        </w:rPr>
        <w:t xml:space="preserve">de la mayor entidad </w:t>
      </w:r>
      <w:r w:rsidRPr="00845503">
        <w:rPr>
          <w:rFonts w:ascii="Cambria" w:hAnsi="Cambria"/>
          <w:sz w:val="20"/>
          <w:szCs w:val="20"/>
          <w:lang w:val="es-ES"/>
        </w:rPr>
        <w:t xml:space="preserve">en </w:t>
      </w:r>
      <w:r w:rsidR="008D4911" w:rsidRPr="00845503">
        <w:rPr>
          <w:rFonts w:ascii="Cambria" w:hAnsi="Cambria"/>
          <w:sz w:val="20"/>
          <w:szCs w:val="20"/>
          <w:lang w:val="es-ES"/>
        </w:rPr>
        <w:t xml:space="preserve">cualquier </w:t>
      </w:r>
      <w:r w:rsidRPr="00845503">
        <w:rPr>
          <w:rFonts w:ascii="Cambria" w:hAnsi="Cambria"/>
          <w:sz w:val="20"/>
          <w:szCs w:val="20"/>
          <w:lang w:val="es-ES"/>
        </w:rPr>
        <w:t xml:space="preserve">caso </w:t>
      </w:r>
      <w:r w:rsidR="00742FF1" w:rsidRPr="00845503">
        <w:rPr>
          <w:rFonts w:ascii="Cambria" w:hAnsi="Cambria"/>
          <w:sz w:val="20"/>
          <w:szCs w:val="20"/>
          <w:lang w:val="es-ES"/>
        </w:rPr>
        <w:t xml:space="preserve">en que el juez considere que </w:t>
      </w:r>
      <w:r w:rsidRPr="00845503">
        <w:rPr>
          <w:rFonts w:ascii="Cambria" w:hAnsi="Cambria"/>
          <w:sz w:val="20"/>
          <w:szCs w:val="20"/>
          <w:lang w:val="es-ES"/>
        </w:rPr>
        <w:t xml:space="preserve">el ejercicio de derechos humanos pueda </w:t>
      </w:r>
      <w:r w:rsidR="008D4911" w:rsidRPr="00845503">
        <w:rPr>
          <w:rFonts w:ascii="Cambria" w:hAnsi="Cambria"/>
          <w:sz w:val="20"/>
          <w:szCs w:val="20"/>
          <w:lang w:val="es-ES"/>
        </w:rPr>
        <w:t>poner en cuestión</w:t>
      </w:r>
      <w:r w:rsidRPr="00845503">
        <w:rPr>
          <w:rFonts w:ascii="Cambria" w:hAnsi="Cambria"/>
          <w:sz w:val="20"/>
          <w:szCs w:val="20"/>
          <w:lang w:val="es-ES"/>
        </w:rPr>
        <w:t xml:space="preserve"> la existencia </w:t>
      </w:r>
      <w:r w:rsidR="008D4911" w:rsidRPr="00845503">
        <w:rPr>
          <w:rFonts w:ascii="Cambria" w:hAnsi="Cambria"/>
          <w:sz w:val="20"/>
          <w:szCs w:val="20"/>
          <w:lang w:val="es-ES"/>
        </w:rPr>
        <w:t xml:space="preserve">del </w:t>
      </w:r>
      <w:r w:rsidR="00742FF1" w:rsidRPr="00845503">
        <w:rPr>
          <w:rFonts w:ascii="Cambria" w:hAnsi="Cambria"/>
          <w:sz w:val="20"/>
          <w:szCs w:val="20"/>
          <w:lang w:val="es-ES"/>
        </w:rPr>
        <w:t>poder</w:t>
      </w:r>
      <w:r w:rsidR="00794C78" w:rsidRPr="00845503">
        <w:rPr>
          <w:rFonts w:ascii="Cambria" w:hAnsi="Cambria"/>
          <w:sz w:val="20"/>
          <w:szCs w:val="20"/>
          <w:lang w:val="es-ES"/>
        </w:rPr>
        <w:t xml:space="preserve"> político</w:t>
      </w:r>
      <w:r w:rsidR="008D4911" w:rsidRPr="00845503">
        <w:rPr>
          <w:rFonts w:ascii="Cambria" w:hAnsi="Cambria"/>
          <w:sz w:val="20"/>
          <w:szCs w:val="20"/>
          <w:lang w:val="es-ES"/>
        </w:rPr>
        <w:t xml:space="preserve"> imperante</w:t>
      </w:r>
      <w:r w:rsidR="00612A86" w:rsidRPr="00845503">
        <w:rPr>
          <w:rFonts w:ascii="Cambria" w:hAnsi="Cambria"/>
          <w:sz w:val="20"/>
          <w:szCs w:val="20"/>
          <w:lang w:val="es-ES"/>
        </w:rPr>
        <w:t>.</w:t>
      </w:r>
      <w:r w:rsidR="0066113A" w:rsidRPr="00845503">
        <w:rPr>
          <w:rFonts w:ascii="Cambria" w:hAnsi="Cambria" w:cs="Arial"/>
          <w:color w:val="000000"/>
          <w:sz w:val="20"/>
          <w:szCs w:val="20"/>
          <w:shd w:val="clear" w:color="auto" w:fill="FFFFFF"/>
          <w:lang w:val="es-ES"/>
        </w:rPr>
        <w:t xml:space="preserve"> </w:t>
      </w:r>
    </w:p>
    <w:p w:rsidR="00135FCE" w:rsidRPr="00845503" w:rsidRDefault="00135FCE" w:rsidP="00135FCE">
      <w:pPr>
        <w:pStyle w:val="ListParagraph"/>
        <w:rPr>
          <w:rFonts w:cs="Arial"/>
          <w:sz w:val="20"/>
          <w:szCs w:val="20"/>
          <w:shd w:val="clear" w:color="auto" w:fill="FFFFFF"/>
          <w:vertAlign w:val="subscript"/>
          <w:lang w:val="es-ES"/>
        </w:rPr>
      </w:pPr>
    </w:p>
    <w:p w:rsidR="005C7BD9" w:rsidRPr="00845503" w:rsidRDefault="005C7BD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845503">
        <w:rPr>
          <w:rFonts w:ascii="Cambria" w:hAnsi="Cambria"/>
          <w:sz w:val="20"/>
          <w:szCs w:val="20"/>
          <w:lang w:val="es-CO"/>
        </w:rPr>
        <w:t>De la misma forma, e</w:t>
      </w:r>
      <w:r w:rsidR="00DD10A3" w:rsidRPr="00845503">
        <w:rPr>
          <w:rFonts w:ascii="Cambria" w:hAnsi="Cambria"/>
          <w:sz w:val="20"/>
          <w:szCs w:val="20"/>
          <w:lang w:val="es-CO"/>
        </w:rPr>
        <w:t xml:space="preserve">l artículo 125 </w:t>
      </w:r>
      <w:r w:rsidR="00784AB5" w:rsidRPr="00845503">
        <w:rPr>
          <w:rFonts w:ascii="Cambria" w:hAnsi="Cambria"/>
          <w:sz w:val="20"/>
          <w:szCs w:val="20"/>
          <w:lang w:val="es-CO"/>
        </w:rPr>
        <w:t xml:space="preserve">c) </w:t>
      </w:r>
      <w:r w:rsidR="00DD10A3" w:rsidRPr="00845503">
        <w:rPr>
          <w:rFonts w:ascii="Cambria" w:hAnsi="Cambria"/>
          <w:sz w:val="20"/>
          <w:szCs w:val="20"/>
          <w:lang w:val="es-CO"/>
        </w:rPr>
        <w:t>del Código Penal</w:t>
      </w:r>
      <w:r w:rsidRPr="00845503">
        <w:rPr>
          <w:rFonts w:ascii="Cambria" w:hAnsi="Cambria"/>
          <w:sz w:val="20"/>
          <w:szCs w:val="20"/>
          <w:lang w:val="es-CO"/>
        </w:rPr>
        <w:t xml:space="preserve"> </w:t>
      </w:r>
      <w:r w:rsidR="00BD43B8" w:rsidRPr="00845503">
        <w:rPr>
          <w:rFonts w:ascii="Cambria" w:hAnsi="Cambria"/>
          <w:sz w:val="20"/>
          <w:szCs w:val="20"/>
          <w:lang w:val="es-CO"/>
        </w:rPr>
        <w:t>cubano</w:t>
      </w:r>
      <w:r w:rsidRPr="00845503">
        <w:rPr>
          <w:rFonts w:ascii="Cambria" w:hAnsi="Cambria"/>
          <w:sz w:val="20"/>
          <w:szCs w:val="20"/>
          <w:lang w:val="es-CO"/>
        </w:rPr>
        <w:t xml:space="preserve"> utiliza t</w:t>
      </w:r>
      <w:r w:rsidR="003751A7" w:rsidRPr="00845503">
        <w:rPr>
          <w:rFonts w:ascii="Cambria" w:hAnsi="Cambria"/>
          <w:sz w:val="20"/>
          <w:szCs w:val="20"/>
          <w:lang w:val="es-CO"/>
        </w:rPr>
        <w:t>érminos vagos para definir la “</w:t>
      </w:r>
      <w:r w:rsidR="00784AB5" w:rsidRPr="00845503">
        <w:rPr>
          <w:rFonts w:ascii="Cambria" w:hAnsi="Cambria"/>
          <w:sz w:val="20"/>
          <w:szCs w:val="20"/>
          <w:lang w:val="es-CO"/>
        </w:rPr>
        <w:t>incitación</w:t>
      </w:r>
      <w:r w:rsidR="003751A7" w:rsidRPr="00845503">
        <w:rPr>
          <w:rFonts w:ascii="Cambria" w:hAnsi="Cambria"/>
          <w:sz w:val="20"/>
          <w:szCs w:val="20"/>
          <w:lang w:val="es-CO"/>
        </w:rPr>
        <w:t>”</w:t>
      </w:r>
      <w:r w:rsidR="00784AB5" w:rsidRPr="00845503">
        <w:rPr>
          <w:rFonts w:ascii="Cambria" w:hAnsi="Cambria"/>
          <w:sz w:val="20"/>
          <w:szCs w:val="20"/>
          <w:lang w:val="es-CO"/>
        </w:rPr>
        <w:t xml:space="preserve"> a la comisión de</w:t>
      </w:r>
      <w:r w:rsidR="00FB3577" w:rsidRPr="00845503">
        <w:rPr>
          <w:rFonts w:ascii="Cambria" w:hAnsi="Cambria"/>
          <w:sz w:val="20"/>
          <w:szCs w:val="20"/>
          <w:lang w:val="es-CO"/>
        </w:rPr>
        <w:t xml:space="preserve"> delitos relacionados a la seguridad nacional. Particularmente, </w:t>
      </w:r>
      <w:r w:rsidR="007A3201" w:rsidRPr="00845503">
        <w:rPr>
          <w:rFonts w:ascii="Cambria" w:hAnsi="Cambria"/>
          <w:sz w:val="20"/>
          <w:szCs w:val="20"/>
          <w:lang w:val="es-CO"/>
        </w:rPr>
        <w:t>la</w:t>
      </w:r>
      <w:r w:rsidR="00AA256E" w:rsidRPr="00845503">
        <w:rPr>
          <w:rFonts w:ascii="Cambria" w:hAnsi="Cambria"/>
          <w:sz w:val="20"/>
          <w:szCs w:val="20"/>
          <w:lang w:val="es-CO"/>
        </w:rPr>
        <w:t xml:space="preserve"> norma no diferencia</w:t>
      </w:r>
      <w:r w:rsidR="007A3201" w:rsidRPr="00845503">
        <w:rPr>
          <w:rFonts w:ascii="Cambria" w:hAnsi="Cambria"/>
          <w:sz w:val="20"/>
          <w:szCs w:val="20"/>
          <w:lang w:val="es-CO"/>
        </w:rPr>
        <w:t xml:space="preserve"> las</w:t>
      </w:r>
      <w:r w:rsidR="00320969" w:rsidRPr="00845503">
        <w:rPr>
          <w:rFonts w:ascii="Cambria" w:hAnsi="Cambria"/>
          <w:sz w:val="20"/>
          <w:szCs w:val="20"/>
          <w:lang w:val="es-CO"/>
        </w:rPr>
        <w:t xml:space="preserve"> expresiones </w:t>
      </w:r>
      <w:r w:rsidR="00AA256E" w:rsidRPr="00845503">
        <w:rPr>
          <w:rFonts w:ascii="Cambria" w:hAnsi="Cambria"/>
          <w:sz w:val="20"/>
          <w:szCs w:val="20"/>
          <w:lang w:val="es-CO"/>
        </w:rPr>
        <w:t xml:space="preserve">de apología de aquellas </w:t>
      </w:r>
      <w:r w:rsidR="00320969" w:rsidRPr="00845503">
        <w:rPr>
          <w:rFonts w:ascii="Cambria" w:hAnsi="Cambria"/>
          <w:sz w:val="20"/>
          <w:szCs w:val="20"/>
          <w:lang w:val="es-CO"/>
        </w:rPr>
        <w:t>que</w:t>
      </w:r>
      <w:r w:rsidR="00807847" w:rsidRPr="00845503">
        <w:rPr>
          <w:rFonts w:ascii="Cambria" w:hAnsi="Cambria"/>
          <w:sz w:val="20"/>
          <w:szCs w:val="20"/>
          <w:lang w:val="es-ES"/>
        </w:rPr>
        <w:t xml:space="preserve"> incitan directa</w:t>
      </w:r>
      <w:r w:rsidR="00320969" w:rsidRPr="00845503">
        <w:rPr>
          <w:rFonts w:ascii="Cambria" w:hAnsi="Cambria"/>
          <w:sz w:val="20"/>
          <w:szCs w:val="20"/>
          <w:lang w:val="es-ES"/>
        </w:rPr>
        <w:t xml:space="preserve"> e intencionalmente</w:t>
      </w:r>
      <w:r w:rsidR="00807847" w:rsidRPr="00845503">
        <w:rPr>
          <w:rFonts w:ascii="Cambria" w:hAnsi="Cambria"/>
          <w:sz w:val="20"/>
          <w:szCs w:val="20"/>
          <w:lang w:val="es-ES"/>
        </w:rPr>
        <w:t xml:space="preserve"> a la violencia. La Comisión Interamericana </w:t>
      </w:r>
      <w:r w:rsidR="007D085B" w:rsidRPr="00845503">
        <w:rPr>
          <w:rFonts w:ascii="Cambria" w:hAnsi="Cambria"/>
          <w:sz w:val="20"/>
          <w:szCs w:val="20"/>
          <w:lang w:val="es-ES"/>
        </w:rPr>
        <w:t>ha estimado que</w:t>
      </w:r>
      <w:r w:rsidR="00807847" w:rsidRPr="00845503">
        <w:rPr>
          <w:rFonts w:ascii="Cambria" w:hAnsi="Cambria"/>
          <w:sz w:val="20"/>
          <w:szCs w:val="20"/>
          <w:lang w:val="es-ES"/>
        </w:rPr>
        <w:t xml:space="preserve"> la imposición de sanciones por el abuso de la libertad de expresión en razón de incitación a la violencia —entendida como la incitación a la comisión de crímenes, a la ruptura del orden público o de la seguridad nacional—  debe tener como presupuesto </w:t>
      </w:r>
      <w:r w:rsidR="007D085B" w:rsidRPr="00845503">
        <w:rPr>
          <w:rFonts w:ascii="Cambria" w:hAnsi="Cambria"/>
          <w:sz w:val="20"/>
          <w:szCs w:val="20"/>
          <w:lang w:val="es-ES"/>
        </w:rPr>
        <w:t xml:space="preserve">legal </w:t>
      </w:r>
      <w:r w:rsidR="00807847" w:rsidRPr="00845503">
        <w:rPr>
          <w:rFonts w:ascii="Cambria" w:hAnsi="Cambria"/>
          <w:sz w:val="20"/>
          <w:szCs w:val="20"/>
          <w:lang w:val="es-ES"/>
        </w:rPr>
        <w:t>la prueba actual, cierta, objetiva y contundente de que la persona no estaba simplemente manifestando una opinión —por dura, injusta o perturbadora que ésta sea—, sino que tenía la clara intención de cometer un crimen y la posibilidad actual, real y efectiva de lograr sus objetivos</w:t>
      </w:r>
      <w:r w:rsidR="00807847" w:rsidRPr="00845503">
        <w:rPr>
          <w:rStyle w:val="FootnoteReference"/>
          <w:rFonts w:ascii="Cambria" w:hAnsi="Cambria"/>
          <w:sz w:val="20"/>
          <w:szCs w:val="20"/>
          <w:lang w:val="es-ES"/>
        </w:rPr>
        <w:footnoteReference w:id="80"/>
      </w:r>
      <w:r w:rsidR="00807847" w:rsidRPr="00845503">
        <w:rPr>
          <w:rFonts w:ascii="Cambria" w:hAnsi="Cambria"/>
          <w:sz w:val="20"/>
          <w:szCs w:val="20"/>
          <w:lang w:val="es-ES"/>
        </w:rPr>
        <w:t>.</w:t>
      </w:r>
      <w:r w:rsidR="00AA256E" w:rsidRPr="00845503">
        <w:rPr>
          <w:rFonts w:ascii="Cambria" w:hAnsi="Cambria"/>
          <w:sz w:val="20"/>
          <w:szCs w:val="20"/>
          <w:lang w:val="es-ES"/>
        </w:rPr>
        <w:t xml:space="preserve"> Lo contrario implicaría admitir la posibilidad de sancionar </w:t>
      </w:r>
      <w:r w:rsidR="00AA256E" w:rsidRPr="00845503">
        <w:rPr>
          <w:rFonts w:ascii="Cambria" w:hAnsi="Cambria"/>
          <w:sz w:val="20"/>
          <w:szCs w:val="20"/>
          <w:lang w:val="es-ES"/>
        </w:rPr>
        <w:lastRenderedPageBreak/>
        <w:t>opiniones y todos los Estados estarían habilitados para suprimir cualquier pensamiento u expresión crítica de las autoridades que, como el anarquismo o las opiniones radicalmente contrarias al orden establecido, cuestionan incluso, la propia existencia de las instituciones vigentes</w:t>
      </w:r>
      <w:r w:rsidR="00AA256E" w:rsidRPr="00845503">
        <w:rPr>
          <w:rStyle w:val="FootnoteReference"/>
          <w:rFonts w:ascii="Cambria" w:hAnsi="Cambria"/>
          <w:sz w:val="20"/>
          <w:szCs w:val="20"/>
          <w:lang w:val="es-ES"/>
        </w:rPr>
        <w:footnoteReference w:id="81"/>
      </w:r>
    </w:p>
    <w:p w:rsidR="005C7BD9" w:rsidRPr="00845503" w:rsidRDefault="005C7BD9" w:rsidP="005C7BD9">
      <w:pPr>
        <w:pStyle w:val="ListParagraph"/>
        <w:rPr>
          <w:sz w:val="20"/>
          <w:szCs w:val="20"/>
          <w:lang w:val="es-ES"/>
        </w:rPr>
      </w:pPr>
    </w:p>
    <w:p w:rsidR="001234F2" w:rsidRPr="00845503" w:rsidRDefault="006B6238"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hAnsi="Cambria"/>
          <w:sz w:val="20"/>
          <w:szCs w:val="20"/>
          <w:lang w:val="es-ES"/>
        </w:rPr>
        <w:t xml:space="preserve">En efecto, </w:t>
      </w:r>
      <w:r w:rsidR="00794933" w:rsidRPr="00845503">
        <w:rPr>
          <w:rFonts w:ascii="Cambria" w:hAnsi="Cambria"/>
          <w:sz w:val="20"/>
          <w:szCs w:val="20"/>
          <w:lang w:val="es-ES"/>
        </w:rPr>
        <w:t>s</w:t>
      </w:r>
      <w:r w:rsidR="00A85A63" w:rsidRPr="00845503">
        <w:rPr>
          <w:rFonts w:ascii="Cambria" w:eastAsia="Times New Roman" w:hAnsi="Cambria"/>
          <w:spacing w:val="-2"/>
          <w:sz w:val="20"/>
          <w:szCs w:val="20"/>
          <w:lang w:val="es-ES_tradnl"/>
        </w:rPr>
        <w:t xml:space="preserve">on precisamente </w:t>
      </w:r>
      <w:r w:rsidR="00794933" w:rsidRPr="00845503">
        <w:rPr>
          <w:rFonts w:ascii="Cambria" w:eastAsia="Times New Roman" w:hAnsi="Cambria"/>
          <w:spacing w:val="-2"/>
          <w:sz w:val="20"/>
          <w:szCs w:val="20"/>
          <w:lang w:val="es-ES_tradnl"/>
        </w:rPr>
        <w:t>el ejercicio del derecho de asociación y</w:t>
      </w:r>
      <w:r w:rsidR="00C659C2" w:rsidRPr="00845503">
        <w:rPr>
          <w:rFonts w:ascii="Cambria" w:eastAsia="Times New Roman" w:hAnsi="Cambria"/>
          <w:spacing w:val="-2"/>
          <w:sz w:val="20"/>
          <w:szCs w:val="20"/>
          <w:lang w:val="es-ES_tradnl"/>
        </w:rPr>
        <w:t xml:space="preserve"> de</w:t>
      </w:r>
      <w:r w:rsidR="00794933" w:rsidRPr="00845503">
        <w:rPr>
          <w:rFonts w:ascii="Cambria" w:eastAsia="Times New Roman" w:hAnsi="Cambria"/>
          <w:spacing w:val="-2"/>
          <w:sz w:val="20"/>
          <w:szCs w:val="20"/>
          <w:lang w:val="es-ES_tradnl"/>
        </w:rPr>
        <w:t xml:space="preserve"> la libertad de expresión </w:t>
      </w:r>
      <w:r w:rsidR="00A85A63" w:rsidRPr="00845503">
        <w:rPr>
          <w:rFonts w:ascii="Cambria" w:eastAsia="Times New Roman" w:hAnsi="Cambria"/>
          <w:spacing w:val="-2"/>
          <w:sz w:val="20"/>
          <w:szCs w:val="20"/>
          <w:lang w:val="es-ES_tradnl"/>
        </w:rPr>
        <w:t xml:space="preserve">los elementos considerados por el tribunal nacional como generadores de la responsabilidad penal de </w:t>
      </w:r>
      <w:r w:rsidR="00794933" w:rsidRPr="00845503">
        <w:rPr>
          <w:rFonts w:ascii="Cambria" w:eastAsia="Times New Roman" w:hAnsi="Cambria"/>
          <w:spacing w:val="-2"/>
          <w:sz w:val="20"/>
          <w:szCs w:val="20"/>
          <w:lang w:val="es-ES_tradnl"/>
        </w:rPr>
        <w:t>las</w:t>
      </w:r>
      <w:r w:rsidR="00A85A63" w:rsidRPr="00845503">
        <w:rPr>
          <w:rFonts w:ascii="Cambria" w:eastAsia="Times New Roman" w:hAnsi="Cambria"/>
          <w:spacing w:val="-2"/>
          <w:sz w:val="20"/>
          <w:szCs w:val="20"/>
          <w:lang w:val="es-ES_tradnl"/>
        </w:rPr>
        <w:t xml:space="preserve"> presunta</w:t>
      </w:r>
      <w:r w:rsidR="00794933" w:rsidRPr="00845503">
        <w:rPr>
          <w:rFonts w:ascii="Cambria" w:eastAsia="Times New Roman" w:hAnsi="Cambria"/>
          <w:spacing w:val="-2"/>
          <w:sz w:val="20"/>
          <w:szCs w:val="20"/>
          <w:lang w:val="es-ES_tradnl"/>
        </w:rPr>
        <w:t>s</w:t>
      </w:r>
      <w:r w:rsidR="00A85A63" w:rsidRPr="00845503">
        <w:rPr>
          <w:rFonts w:ascii="Cambria" w:eastAsia="Times New Roman" w:hAnsi="Cambria"/>
          <w:spacing w:val="-2"/>
          <w:sz w:val="20"/>
          <w:szCs w:val="20"/>
          <w:lang w:val="es-ES_tradnl"/>
        </w:rPr>
        <w:t xml:space="preserve"> víctima</w:t>
      </w:r>
      <w:r w:rsidR="00794933" w:rsidRPr="00845503">
        <w:rPr>
          <w:rFonts w:ascii="Cambria" w:eastAsia="Times New Roman" w:hAnsi="Cambria"/>
          <w:spacing w:val="-2"/>
          <w:sz w:val="20"/>
          <w:szCs w:val="20"/>
          <w:lang w:val="es-ES_tradnl"/>
        </w:rPr>
        <w:t xml:space="preserve">s. </w:t>
      </w:r>
      <w:r w:rsidR="003142C9" w:rsidRPr="00845503">
        <w:rPr>
          <w:rFonts w:ascii="Cambria" w:eastAsia="Times New Roman" w:hAnsi="Cambria"/>
          <w:spacing w:val="-2"/>
          <w:sz w:val="20"/>
          <w:szCs w:val="20"/>
          <w:lang w:val="es-ES_tradnl"/>
        </w:rPr>
        <w:t xml:space="preserve">El tribunal consideró que </w:t>
      </w:r>
      <w:r w:rsidR="003142C9" w:rsidRPr="00845503">
        <w:rPr>
          <w:rFonts w:ascii="Cambria" w:hAnsi="Cambria"/>
          <w:sz w:val="20"/>
          <w:szCs w:val="20"/>
          <w:lang w:val="es-AR"/>
        </w:rPr>
        <w:t>“los acusados puestos de mutuo acuerdo y con el propósito de desestabilizar el orden socialista cubano y poner en peligro la seguridad del Estado de Cuba incitaron y exhortaron a personas mediante palabra y por escrito y de forma pública a realizar actos que perturbaban el orden social, la celebración de las elecciones  en el país y la desobediencia de leyes y disposiciones vigentes para lo cual elaboraron documentos y utilizaron me</w:t>
      </w:r>
      <w:r w:rsidR="00794933" w:rsidRPr="00845503">
        <w:rPr>
          <w:rFonts w:ascii="Cambria" w:hAnsi="Cambria"/>
          <w:sz w:val="20"/>
          <w:szCs w:val="20"/>
          <w:lang w:val="es-AR"/>
        </w:rPr>
        <w:t>dios propagandísticos de prensa</w:t>
      </w:r>
      <w:r w:rsidR="003142C9" w:rsidRPr="00845503">
        <w:rPr>
          <w:rFonts w:ascii="Cambria" w:hAnsi="Cambria"/>
          <w:sz w:val="20"/>
          <w:szCs w:val="20"/>
          <w:lang w:val="es-AR"/>
        </w:rPr>
        <w:t>”.</w:t>
      </w:r>
      <w:r w:rsidR="00D00748" w:rsidRPr="00845503">
        <w:rPr>
          <w:rFonts w:ascii="Cambria" w:hAnsi="Cambria"/>
          <w:sz w:val="20"/>
          <w:szCs w:val="20"/>
          <w:lang w:val="es-AR"/>
        </w:rPr>
        <w:t xml:space="preserve"> Afirmó que “al ser la incitación y la exhortación de forma genera</w:t>
      </w:r>
      <w:r w:rsidR="00BD43B8" w:rsidRPr="00845503">
        <w:rPr>
          <w:rFonts w:ascii="Cambria" w:hAnsi="Cambria"/>
          <w:sz w:val="20"/>
          <w:szCs w:val="20"/>
          <w:lang w:val="es-AR"/>
        </w:rPr>
        <w:t xml:space="preserve">l y global […] </w:t>
      </w:r>
      <w:r w:rsidR="00D00748" w:rsidRPr="00845503">
        <w:rPr>
          <w:rFonts w:ascii="Cambria" w:hAnsi="Cambria"/>
          <w:sz w:val="20"/>
          <w:szCs w:val="20"/>
          <w:lang w:val="es-AR"/>
        </w:rPr>
        <w:t xml:space="preserve">es suficiente para que se tipifique el delito calificado, ya que no se trata de que esté presente la figura de la sedición como acto consumado sino que los acusados realizaron actos incitando a que se cometiera un delito de sedición”. “Es precisamente por estar presente esta incitación a la sedición en sus dos formas (de palabra y por escrito) es que se califica por otros actos contra la seguridad del estado como actos preparatorios que se cometa el delito de sedición, concurriendo también el elemento de publicidad”.    </w:t>
      </w:r>
    </w:p>
    <w:p w:rsidR="001234F2" w:rsidRPr="00845503" w:rsidRDefault="001234F2" w:rsidP="001234F2">
      <w:pPr>
        <w:pStyle w:val="ListParagraph"/>
        <w:rPr>
          <w:rFonts w:eastAsia="Times New Roman"/>
          <w:spacing w:val="-2"/>
          <w:sz w:val="20"/>
          <w:szCs w:val="20"/>
          <w:lang w:val="es-ES_tradnl"/>
        </w:rPr>
      </w:pPr>
    </w:p>
    <w:p w:rsidR="00CA7F1E"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sz w:val="20"/>
          <w:szCs w:val="20"/>
          <w:lang w:val="es-ES"/>
        </w:rPr>
      </w:pPr>
      <w:r w:rsidRPr="00845503">
        <w:rPr>
          <w:rFonts w:ascii="Cambria" w:eastAsia="Times New Roman" w:hAnsi="Cambria"/>
          <w:spacing w:val="-2"/>
          <w:sz w:val="20"/>
          <w:szCs w:val="20"/>
          <w:lang w:val="es-ES_tradnl"/>
        </w:rPr>
        <w:t xml:space="preserve">La CIDH ha reiterado </w:t>
      </w:r>
      <w:r w:rsidRPr="00845503">
        <w:rPr>
          <w:rFonts w:ascii="Cambria" w:hAnsi="Cambria"/>
          <w:sz w:val="20"/>
          <w:szCs w:val="20"/>
          <w:shd w:val="clear" w:color="auto" w:fill="FFFFFF"/>
          <w:lang w:val="es-ES"/>
        </w:rPr>
        <w:t xml:space="preserve">explícitamente que las "normas vagas, ambiguas, amplias o abiertas, por su simple existencia, disuaden la emisión de informaciones y opiniones por miedo a sanciones, y pueden llevar a interpretaciones judiciales amplias que restringen indebidamente la libertad de expresión" y prestarse </w:t>
      </w:r>
      <w:r w:rsidRPr="00845503">
        <w:rPr>
          <w:rFonts w:ascii="Cambria" w:hAnsi="Cambria"/>
          <w:sz w:val="20"/>
          <w:szCs w:val="20"/>
          <w:lang w:val="es-ES"/>
        </w:rPr>
        <w:t>al abuso como un medio para silenciar ideas e información criticas del gobierno.</w:t>
      </w:r>
      <w:r w:rsidR="001234F2" w:rsidRPr="00845503">
        <w:rPr>
          <w:rFonts w:ascii="Cambria" w:hAnsi="Cambria"/>
          <w:sz w:val="20"/>
          <w:szCs w:val="20"/>
          <w:lang w:val="es-ES"/>
        </w:rPr>
        <w:t xml:space="preserve"> </w:t>
      </w:r>
      <w:r w:rsidR="00CA7F1E" w:rsidRPr="00845503">
        <w:rPr>
          <w:rFonts w:ascii="Cambria" w:eastAsia="Times New Roman" w:hAnsi="Cambria"/>
          <w:sz w:val="20"/>
          <w:szCs w:val="20"/>
          <w:lang w:val="es-ES"/>
        </w:rPr>
        <w:t xml:space="preserve">Asimismo, </w:t>
      </w:r>
      <w:r w:rsidR="00CA7F1E" w:rsidRPr="00845503">
        <w:rPr>
          <w:rFonts w:ascii="Cambria" w:eastAsiaTheme="minorHAnsi" w:hAnsi="Cambria"/>
          <w:sz w:val="20"/>
          <w:szCs w:val="20"/>
          <w:lang w:val="es-ES"/>
        </w:rPr>
        <w:t xml:space="preserve">ésta Comisión ha destacado que la regulación de este tipo de figuras penales impone la obligación de definir estrictamente la conducta criminal, de tal manera que </w:t>
      </w:r>
      <w:r w:rsidR="00CA7F1E" w:rsidRPr="00845503">
        <w:rPr>
          <w:rFonts w:ascii="Cambria" w:eastAsia="Times New Roman" w:hAnsi="Cambria"/>
          <w:sz w:val="20"/>
          <w:szCs w:val="20"/>
          <w:lang w:val="es-ES"/>
        </w:rPr>
        <w:t xml:space="preserve">no pueden ser utilizados para criminalizar, a través de interpretaciones abusivas, </w:t>
      </w:r>
      <w:r w:rsidR="00CA7F1E" w:rsidRPr="00845503">
        <w:rPr>
          <w:rFonts w:ascii="Cambria" w:eastAsiaTheme="minorHAnsi" w:hAnsi="Cambria"/>
          <w:sz w:val="20"/>
          <w:szCs w:val="20"/>
          <w:lang w:val="es-ES"/>
        </w:rPr>
        <w:t>aquellas asociaciones críticas de las autoridades públicas de turno</w:t>
      </w:r>
      <w:r w:rsidR="00CA7F1E" w:rsidRPr="00845503">
        <w:rPr>
          <w:rStyle w:val="FootnoteReference"/>
          <w:rFonts w:ascii="Cambria" w:eastAsiaTheme="minorHAnsi" w:hAnsi="Cambria"/>
          <w:sz w:val="20"/>
          <w:szCs w:val="20"/>
          <w:lang w:val="es-ES"/>
        </w:rPr>
        <w:footnoteReference w:id="82"/>
      </w:r>
      <w:r w:rsidR="00CA7F1E" w:rsidRPr="00845503">
        <w:rPr>
          <w:rFonts w:ascii="Cambria" w:eastAsiaTheme="minorHAnsi" w:hAnsi="Cambria"/>
          <w:sz w:val="20"/>
          <w:szCs w:val="20"/>
          <w:lang w:val="es-ES"/>
        </w:rPr>
        <w:t xml:space="preserve">.  </w:t>
      </w:r>
    </w:p>
    <w:p w:rsidR="00652D8B" w:rsidRPr="00845503" w:rsidRDefault="00652D8B" w:rsidP="00652D8B">
      <w:pPr>
        <w:pStyle w:val="ListParagraph"/>
        <w:rPr>
          <w:rFonts w:eastAsiaTheme="minorHAnsi"/>
          <w:sz w:val="20"/>
          <w:szCs w:val="20"/>
          <w:lang w:val="es-ES"/>
        </w:rPr>
      </w:pPr>
    </w:p>
    <w:p w:rsidR="00AA256E"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sz w:val="20"/>
          <w:szCs w:val="20"/>
          <w:lang w:val="es-ES"/>
        </w:rPr>
      </w:pPr>
      <w:r w:rsidRPr="00845503">
        <w:rPr>
          <w:rFonts w:ascii="Cambria" w:hAnsi="Cambria" w:cs="Arial"/>
          <w:sz w:val="20"/>
          <w:szCs w:val="20"/>
          <w:shd w:val="clear" w:color="auto" w:fill="FFFFFF"/>
          <w:lang w:val="es-ES"/>
        </w:rPr>
        <w:t xml:space="preserve">En este sentido, cualquier definición </w:t>
      </w:r>
      <w:r w:rsidR="00EF38AE" w:rsidRPr="00845503">
        <w:rPr>
          <w:rFonts w:ascii="Cambria" w:hAnsi="Cambria" w:cs="Arial"/>
          <w:sz w:val="20"/>
          <w:szCs w:val="20"/>
          <w:shd w:val="clear" w:color="auto" w:fill="FFFFFF"/>
          <w:lang w:val="es-ES"/>
        </w:rPr>
        <w:t>de delitos relacionados con la seguridad nacion</w:t>
      </w:r>
      <w:r w:rsidR="00CA7F1E" w:rsidRPr="00845503">
        <w:rPr>
          <w:rFonts w:ascii="Cambria" w:hAnsi="Cambria" w:cs="Arial"/>
          <w:sz w:val="20"/>
          <w:szCs w:val="20"/>
          <w:shd w:val="clear" w:color="auto" w:fill="FFFFFF"/>
          <w:lang w:val="es-ES"/>
        </w:rPr>
        <w:t>al, como el delito de</w:t>
      </w:r>
      <w:r w:rsidR="00EF38AE" w:rsidRPr="00845503">
        <w:rPr>
          <w:rFonts w:ascii="Cambria" w:hAnsi="Cambria" w:cs="Arial"/>
          <w:sz w:val="20"/>
          <w:szCs w:val="20"/>
          <w:shd w:val="clear" w:color="auto" w:fill="FFFFFF"/>
          <w:lang w:val="es-ES"/>
        </w:rPr>
        <w:t xml:space="preserve"> </w:t>
      </w:r>
      <w:r w:rsidR="00CA7F1E" w:rsidRPr="00845503">
        <w:rPr>
          <w:rFonts w:ascii="Cambria" w:hAnsi="Cambria" w:cs="Arial"/>
          <w:sz w:val="20"/>
          <w:szCs w:val="20"/>
          <w:shd w:val="clear" w:color="auto" w:fill="FFFFFF"/>
          <w:lang w:val="es-ES"/>
        </w:rPr>
        <w:t>sedición</w:t>
      </w:r>
      <w:r w:rsidR="00AA256E" w:rsidRPr="00845503">
        <w:rPr>
          <w:rFonts w:ascii="Cambria" w:hAnsi="Cambria" w:cs="Arial"/>
          <w:sz w:val="20"/>
          <w:szCs w:val="20"/>
          <w:shd w:val="clear" w:color="auto" w:fill="FFFFFF"/>
          <w:lang w:val="es-ES"/>
        </w:rPr>
        <w:t xml:space="preserve"> y la incitación a cometer el delito de sedición</w:t>
      </w:r>
      <w:r w:rsidR="00CA7F1E" w:rsidRPr="00845503">
        <w:rPr>
          <w:rFonts w:ascii="Cambria" w:hAnsi="Cambria" w:cs="Arial"/>
          <w:sz w:val="20"/>
          <w:szCs w:val="20"/>
          <w:shd w:val="clear" w:color="auto" w:fill="FFFFFF"/>
          <w:lang w:val="es-ES"/>
        </w:rPr>
        <w:t xml:space="preserve">, </w:t>
      </w:r>
      <w:r w:rsidRPr="00845503">
        <w:rPr>
          <w:rFonts w:ascii="Cambria" w:hAnsi="Cambria" w:cs="Arial"/>
          <w:sz w:val="20"/>
          <w:szCs w:val="20"/>
          <w:shd w:val="clear" w:color="auto" w:fill="FFFFFF"/>
          <w:lang w:val="es-ES"/>
        </w:rPr>
        <w:t>de</w:t>
      </w:r>
      <w:r w:rsidR="00CA7F1E" w:rsidRPr="00845503">
        <w:rPr>
          <w:rFonts w:ascii="Cambria" w:hAnsi="Cambria" w:cs="Arial"/>
          <w:sz w:val="20"/>
          <w:szCs w:val="20"/>
          <w:shd w:val="clear" w:color="auto" w:fill="FFFFFF"/>
          <w:lang w:val="es-ES"/>
        </w:rPr>
        <w:t>be</w:t>
      </w:r>
      <w:r w:rsidRPr="00845503">
        <w:rPr>
          <w:rFonts w:ascii="Cambria" w:hAnsi="Cambria" w:cs="Arial"/>
          <w:sz w:val="20"/>
          <w:szCs w:val="20"/>
          <w:shd w:val="clear" w:color="auto" w:fill="FFFFFF"/>
          <w:lang w:val="es-ES"/>
        </w:rPr>
        <w:t xml:space="preserve"> </w:t>
      </w:r>
      <w:r w:rsidRPr="00845503">
        <w:rPr>
          <w:rFonts w:ascii="Cambria" w:eastAsia="Times New Roman" w:hAnsi="Cambria"/>
          <w:spacing w:val="-2"/>
          <w:sz w:val="20"/>
          <w:szCs w:val="20"/>
          <w:lang w:val="es-ES_tradnl"/>
        </w:rPr>
        <w:t xml:space="preserve">estar cuidadosamente </w:t>
      </w:r>
      <w:r w:rsidR="00CA7F1E" w:rsidRPr="00845503">
        <w:rPr>
          <w:rFonts w:ascii="Cambria" w:eastAsia="Times New Roman" w:hAnsi="Cambria"/>
          <w:spacing w:val="-2"/>
          <w:sz w:val="20"/>
          <w:szCs w:val="20"/>
          <w:lang w:val="es-ES_tradnl"/>
        </w:rPr>
        <w:t>redactada</w:t>
      </w:r>
      <w:r w:rsidRPr="00845503">
        <w:rPr>
          <w:rFonts w:ascii="Cambria" w:eastAsia="Times New Roman" w:hAnsi="Cambria"/>
          <w:spacing w:val="-2"/>
          <w:sz w:val="20"/>
          <w:szCs w:val="20"/>
          <w:lang w:val="es-ES_tradnl"/>
        </w:rPr>
        <w:t xml:space="preserve"> bajo términos precisos, expresos y taxativos </w:t>
      </w:r>
      <w:r w:rsidRPr="00845503">
        <w:rPr>
          <w:rFonts w:ascii="Cambria" w:hAnsi="Cambria"/>
          <w:sz w:val="20"/>
          <w:szCs w:val="20"/>
          <w:shd w:val="clear" w:color="auto" w:fill="FFFFFF"/>
          <w:lang w:val="es-ES"/>
        </w:rPr>
        <w:t xml:space="preserve">para asegurar que </w:t>
      </w:r>
      <w:r w:rsidR="00CA7F1E" w:rsidRPr="00845503">
        <w:rPr>
          <w:rFonts w:ascii="Cambria" w:hAnsi="Cambria"/>
          <w:sz w:val="20"/>
          <w:szCs w:val="20"/>
          <w:shd w:val="clear" w:color="auto" w:fill="FFFFFF"/>
          <w:lang w:val="es-ES"/>
        </w:rPr>
        <w:t xml:space="preserve">el delito </w:t>
      </w:r>
      <w:r w:rsidRPr="00845503">
        <w:rPr>
          <w:rFonts w:ascii="Cambria" w:hAnsi="Cambria"/>
          <w:sz w:val="20"/>
          <w:szCs w:val="20"/>
          <w:shd w:val="clear" w:color="auto" w:fill="FFFFFF"/>
          <w:lang w:val="es-ES"/>
        </w:rPr>
        <w:t>no pueda ser invocado para limitar el ejercicio del derecho a la libertad de expresión o castigar la crítica al gobierno y sus autoridades.</w:t>
      </w:r>
      <w:r w:rsidRPr="00845503">
        <w:rPr>
          <w:rFonts w:ascii="Cambria" w:eastAsia="Times New Roman" w:hAnsi="Cambria"/>
          <w:sz w:val="20"/>
          <w:szCs w:val="20"/>
          <w:lang w:val="es-ES"/>
        </w:rPr>
        <w:t xml:space="preserve"> Ninguna definición de sedición puede autorizar, a través del uso de términos vagos e imprecisos, la criminalización de la simple difusión de expresiones críticas </w:t>
      </w:r>
      <w:r w:rsidR="00CA7F1E" w:rsidRPr="00845503">
        <w:rPr>
          <w:rFonts w:ascii="Cambria" w:eastAsia="Times New Roman" w:hAnsi="Cambria"/>
          <w:sz w:val="20"/>
          <w:szCs w:val="20"/>
          <w:lang w:val="es-ES"/>
        </w:rPr>
        <w:t>contra un gobierno o sus autoridades o el activismo social</w:t>
      </w:r>
      <w:r w:rsidR="00C16F17" w:rsidRPr="00845503">
        <w:rPr>
          <w:rFonts w:ascii="Cambria" w:eastAsia="Times New Roman" w:hAnsi="Cambria"/>
          <w:sz w:val="20"/>
          <w:szCs w:val="20"/>
          <w:lang w:val="es-ES"/>
        </w:rPr>
        <w:t>.</w:t>
      </w:r>
      <w:r w:rsidR="00AA256E" w:rsidRPr="00845503">
        <w:rPr>
          <w:rFonts w:ascii="Cambria" w:eastAsia="Times New Roman" w:hAnsi="Cambria"/>
          <w:sz w:val="20"/>
          <w:szCs w:val="20"/>
          <w:lang w:val="es-ES"/>
        </w:rPr>
        <w:t xml:space="preserve"> </w:t>
      </w:r>
      <w:r w:rsidR="00AA256E" w:rsidRPr="00845503">
        <w:rPr>
          <w:rFonts w:ascii="Cambria" w:hAnsi="Cambria"/>
          <w:sz w:val="20"/>
          <w:szCs w:val="20"/>
          <w:lang w:val="es-ES"/>
        </w:rPr>
        <w:t>En una democracia, la legitimidad y fortaleza de las instituciones se arraigan y fortalecen gracias al vigor del debate público sobre su funcionamiento y no a su supresión</w:t>
      </w:r>
      <w:r w:rsidR="00AA256E" w:rsidRPr="00845503">
        <w:rPr>
          <w:rStyle w:val="FootnoteReference"/>
          <w:rFonts w:ascii="Cambria" w:hAnsi="Cambria"/>
          <w:sz w:val="20"/>
          <w:szCs w:val="20"/>
          <w:lang w:val="es-ES"/>
        </w:rPr>
        <w:footnoteReference w:id="83"/>
      </w:r>
      <w:r w:rsidR="00AA256E" w:rsidRPr="00845503">
        <w:rPr>
          <w:rFonts w:ascii="Cambria" w:hAnsi="Cambria"/>
          <w:sz w:val="20"/>
          <w:szCs w:val="20"/>
          <w:lang w:val="es-ES"/>
        </w:rPr>
        <w:t xml:space="preserve">.  </w:t>
      </w:r>
    </w:p>
    <w:p w:rsidR="00CA7F1E" w:rsidRPr="00845503" w:rsidRDefault="00CA7F1E" w:rsidP="00CA7F1E">
      <w:pPr>
        <w:pStyle w:val="ListParagraph"/>
        <w:rPr>
          <w:rFonts w:eastAsia="Times New Roman"/>
          <w:sz w:val="20"/>
          <w:szCs w:val="20"/>
          <w:lang w:val="es-ES"/>
        </w:rPr>
      </w:pPr>
    </w:p>
    <w:p w:rsidR="00BE42C5"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eastAsia="Times New Roman" w:hAnsi="Cambria"/>
          <w:sz w:val="20"/>
          <w:szCs w:val="20"/>
          <w:lang w:val="es-ES"/>
        </w:rPr>
        <w:t>La  CIDH considera que</w:t>
      </w:r>
      <w:r w:rsidR="00E07547" w:rsidRPr="00845503">
        <w:rPr>
          <w:rFonts w:ascii="Cambria" w:hAnsi="Cambria"/>
          <w:sz w:val="20"/>
          <w:szCs w:val="20"/>
          <w:lang w:val="es-ES"/>
        </w:rPr>
        <w:t xml:space="preserve"> </w:t>
      </w:r>
      <w:r w:rsidR="005C7BD9" w:rsidRPr="00845503">
        <w:rPr>
          <w:rFonts w:ascii="Cambria" w:hAnsi="Cambria"/>
          <w:sz w:val="20"/>
          <w:szCs w:val="20"/>
          <w:lang w:val="es-US"/>
        </w:rPr>
        <w:t>los</w:t>
      </w:r>
      <w:r w:rsidR="00E07547" w:rsidRPr="00845503">
        <w:rPr>
          <w:rFonts w:ascii="Cambria" w:hAnsi="Cambria"/>
          <w:sz w:val="20"/>
          <w:szCs w:val="20"/>
          <w:lang w:val="es-US"/>
        </w:rPr>
        <w:t xml:space="preserve"> artículo</w:t>
      </w:r>
      <w:r w:rsidR="005C7BD9" w:rsidRPr="00845503">
        <w:rPr>
          <w:rFonts w:ascii="Cambria" w:hAnsi="Cambria"/>
          <w:sz w:val="20"/>
          <w:szCs w:val="20"/>
          <w:lang w:val="es-US"/>
        </w:rPr>
        <w:t>s</w:t>
      </w:r>
      <w:r w:rsidR="00E07547" w:rsidRPr="00845503">
        <w:rPr>
          <w:rFonts w:ascii="Cambria" w:hAnsi="Cambria"/>
          <w:sz w:val="20"/>
          <w:szCs w:val="20"/>
          <w:lang w:val="es-US"/>
        </w:rPr>
        <w:t xml:space="preserve"> 100</w:t>
      </w:r>
      <w:r w:rsidR="005C7BD9" w:rsidRPr="00845503">
        <w:rPr>
          <w:rFonts w:ascii="Cambria" w:hAnsi="Cambria"/>
          <w:sz w:val="20"/>
          <w:szCs w:val="20"/>
          <w:lang w:val="es-US"/>
        </w:rPr>
        <w:t xml:space="preserve"> y 125</w:t>
      </w:r>
      <w:r w:rsidR="00E07547" w:rsidRPr="00845503">
        <w:rPr>
          <w:rFonts w:ascii="Cambria" w:hAnsi="Cambria"/>
          <w:sz w:val="20"/>
          <w:szCs w:val="20"/>
          <w:lang w:val="es-US"/>
        </w:rPr>
        <w:t xml:space="preserve"> del Código Penal aplicado</w:t>
      </w:r>
      <w:r w:rsidR="005C7BD9" w:rsidRPr="00845503">
        <w:rPr>
          <w:rFonts w:ascii="Cambria" w:hAnsi="Cambria"/>
          <w:sz w:val="20"/>
          <w:szCs w:val="20"/>
          <w:lang w:val="es-US"/>
        </w:rPr>
        <w:t>s</w:t>
      </w:r>
      <w:r w:rsidR="00E07547" w:rsidRPr="00845503">
        <w:rPr>
          <w:rFonts w:ascii="Cambria" w:hAnsi="Cambria"/>
          <w:sz w:val="20"/>
          <w:szCs w:val="20"/>
          <w:lang w:val="es-US"/>
        </w:rPr>
        <w:t xml:space="preserve"> en el presente</w:t>
      </w:r>
      <w:r w:rsidR="00BC7A6E" w:rsidRPr="00845503">
        <w:rPr>
          <w:rFonts w:ascii="Cambria" w:hAnsi="Cambria"/>
          <w:sz w:val="20"/>
          <w:szCs w:val="20"/>
          <w:lang w:val="es-US"/>
        </w:rPr>
        <w:t xml:space="preserve"> caso</w:t>
      </w:r>
      <w:r w:rsidR="00E07547" w:rsidRPr="00845503">
        <w:rPr>
          <w:rFonts w:ascii="Cambria" w:hAnsi="Cambria"/>
          <w:sz w:val="20"/>
          <w:szCs w:val="20"/>
          <w:lang w:val="es-US"/>
        </w:rPr>
        <w:t xml:space="preserve"> </w:t>
      </w:r>
      <w:r w:rsidR="005C7BD9" w:rsidRPr="00845503">
        <w:rPr>
          <w:rFonts w:ascii="Cambria" w:hAnsi="Cambria"/>
          <w:sz w:val="20"/>
          <w:szCs w:val="20"/>
          <w:lang w:val="es-US"/>
        </w:rPr>
        <w:t>son</w:t>
      </w:r>
      <w:r w:rsidR="00E07547" w:rsidRPr="00845503">
        <w:rPr>
          <w:rFonts w:ascii="Cambria" w:hAnsi="Cambria"/>
          <w:sz w:val="20"/>
          <w:szCs w:val="20"/>
          <w:lang w:val="es-US"/>
        </w:rPr>
        <w:t xml:space="preserve"> de tal ambigüedad y amplitud </w:t>
      </w:r>
      <w:r w:rsidR="00E07547" w:rsidRPr="00845503">
        <w:rPr>
          <w:rFonts w:ascii="Cambria" w:eastAsia="Times New Roman" w:hAnsi="Cambria"/>
          <w:sz w:val="20"/>
          <w:szCs w:val="20"/>
          <w:lang w:val="es-ES"/>
        </w:rPr>
        <w:t>que permite</w:t>
      </w:r>
      <w:r w:rsidR="005C7BD9" w:rsidRPr="00845503">
        <w:rPr>
          <w:rFonts w:ascii="Cambria" w:eastAsia="Times New Roman" w:hAnsi="Cambria"/>
          <w:sz w:val="20"/>
          <w:szCs w:val="20"/>
          <w:lang w:val="es-ES"/>
        </w:rPr>
        <w:t>n</w:t>
      </w:r>
      <w:r w:rsidR="00E07547" w:rsidRPr="00845503">
        <w:rPr>
          <w:rFonts w:ascii="Cambria" w:eastAsia="Times New Roman" w:hAnsi="Cambria"/>
          <w:sz w:val="20"/>
          <w:szCs w:val="20"/>
          <w:lang w:val="es-ES"/>
        </w:rPr>
        <w:t xml:space="preserve"> una aplicación abusiva </w:t>
      </w:r>
      <w:r w:rsidR="00BC7A6E" w:rsidRPr="00845503">
        <w:rPr>
          <w:rFonts w:ascii="Cambria" w:eastAsia="Times New Roman" w:hAnsi="Cambria"/>
          <w:sz w:val="20"/>
          <w:szCs w:val="20"/>
          <w:lang w:val="es-ES"/>
        </w:rPr>
        <w:t>o</w:t>
      </w:r>
      <w:r w:rsidR="00E07547" w:rsidRPr="00845503">
        <w:rPr>
          <w:rFonts w:ascii="Cambria" w:eastAsia="Times New Roman" w:hAnsi="Cambria"/>
          <w:sz w:val="20"/>
          <w:szCs w:val="20"/>
          <w:lang w:val="es-ES"/>
        </w:rPr>
        <w:t xml:space="preserve"> extendida de la</w:t>
      </w:r>
      <w:r w:rsidR="00D32603" w:rsidRPr="00845503">
        <w:rPr>
          <w:rFonts w:ascii="Cambria" w:eastAsia="Times New Roman" w:hAnsi="Cambria"/>
          <w:sz w:val="20"/>
          <w:szCs w:val="20"/>
          <w:lang w:val="es-ES"/>
        </w:rPr>
        <w:t>s</w:t>
      </w:r>
      <w:r w:rsidR="00E07547" w:rsidRPr="00845503">
        <w:rPr>
          <w:rFonts w:ascii="Cambria" w:eastAsia="Times New Roman" w:hAnsi="Cambria"/>
          <w:sz w:val="20"/>
          <w:szCs w:val="20"/>
          <w:lang w:val="es-ES"/>
        </w:rPr>
        <w:t xml:space="preserve"> figura</w:t>
      </w:r>
      <w:r w:rsidR="00D32603" w:rsidRPr="00845503">
        <w:rPr>
          <w:rFonts w:ascii="Cambria" w:eastAsia="Times New Roman" w:hAnsi="Cambria"/>
          <w:sz w:val="20"/>
          <w:szCs w:val="20"/>
          <w:lang w:val="es-ES"/>
        </w:rPr>
        <w:t>s</w:t>
      </w:r>
      <w:r w:rsidR="00E07547" w:rsidRPr="00845503">
        <w:rPr>
          <w:rFonts w:ascii="Cambria" w:eastAsia="Times New Roman" w:hAnsi="Cambria"/>
          <w:sz w:val="20"/>
          <w:szCs w:val="20"/>
          <w:lang w:val="es-ES"/>
        </w:rPr>
        <w:t xml:space="preserve"> de sedición</w:t>
      </w:r>
      <w:r w:rsidR="00EA65C6" w:rsidRPr="00845503">
        <w:rPr>
          <w:rFonts w:ascii="Cambria" w:eastAsia="Times New Roman" w:hAnsi="Cambria"/>
          <w:sz w:val="20"/>
          <w:szCs w:val="20"/>
          <w:lang w:val="es-ES"/>
        </w:rPr>
        <w:t>,</w:t>
      </w:r>
      <w:r w:rsidR="005C7BD9" w:rsidRPr="00845503">
        <w:rPr>
          <w:rFonts w:ascii="Cambria" w:eastAsia="Times New Roman" w:hAnsi="Cambria"/>
          <w:sz w:val="20"/>
          <w:szCs w:val="20"/>
          <w:lang w:val="es-ES"/>
        </w:rPr>
        <w:t xml:space="preserve"> y </w:t>
      </w:r>
      <w:r w:rsidR="00D32603" w:rsidRPr="00845503">
        <w:rPr>
          <w:rFonts w:ascii="Cambria" w:eastAsia="Times New Roman" w:hAnsi="Cambria"/>
          <w:sz w:val="20"/>
          <w:szCs w:val="20"/>
          <w:lang w:val="es-ES"/>
        </w:rPr>
        <w:t>de</w:t>
      </w:r>
      <w:r w:rsidR="005C7BD9" w:rsidRPr="00845503">
        <w:rPr>
          <w:rFonts w:ascii="Cambria" w:eastAsia="Times New Roman" w:hAnsi="Cambria"/>
          <w:sz w:val="20"/>
          <w:szCs w:val="20"/>
          <w:lang w:val="es-ES"/>
        </w:rPr>
        <w:t xml:space="preserve"> incitación a cometer delitos</w:t>
      </w:r>
      <w:r w:rsidR="00EA65C6" w:rsidRPr="00845503">
        <w:rPr>
          <w:rFonts w:ascii="Cambria" w:eastAsiaTheme="minorHAnsi" w:hAnsi="Cambria"/>
          <w:sz w:val="20"/>
          <w:szCs w:val="20"/>
          <w:lang w:val="es-ES"/>
        </w:rPr>
        <w:t>.</w:t>
      </w:r>
      <w:r w:rsidR="00EA65C6" w:rsidRPr="00845503">
        <w:rPr>
          <w:rFonts w:ascii="Cambria" w:hAnsi="Cambria"/>
          <w:sz w:val="20"/>
          <w:szCs w:val="20"/>
          <w:lang w:val="es-CO"/>
        </w:rPr>
        <w:t xml:space="preserve"> </w:t>
      </w:r>
      <w:r w:rsidR="00794C78" w:rsidRPr="00845503">
        <w:rPr>
          <w:rFonts w:ascii="Cambria" w:hAnsi="Cambria"/>
          <w:sz w:val="20"/>
          <w:szCs w:val="20"/>
          <w:lang w:val="es-US"/>
        </w:rPr>
        <w:t>Ello</w:t>
      </w:r>
      <w:r w:rsidR="00E07547" w:rsidRPr="00845503">
        <w:rPr>
          <w:rFonts w:ascii="Cambria" w:hAnsi="Cambria"/>
          <w:sz w:val="20"/>
          <w:szCs w:val="20"/>
          <w:lang w:val="es-US"/>
        </w:rPr>
        <w:t xml:space="preserve"> i</w:t>
      </w:r>
      <w:r w:rsidRPr="00845503">
        <w:rPr>
          <w:rFonts w:ascii="Cambria" w:hAnsi="Cambria"/>
          <w:sz w:val="20"/>
          <w:szCs w:val="20"/>
          <w:lang w:val="es-US"/>
        </w:rPr>
        <w:t xml:space="preserve">mplica un incumplimiento del requisito de estricta legalidad en la imposición de restricciones del derecho a la libertad de expresión </w:t>
      </w:r>
      <w:r w:rsidR="00794C78" w:rsidRPr="00845503">
        <w:rPr>
          <w:rFonts w:ascii="Cambria" w:hAnsi="Cambria"/>
          <w:sz w:val="20"/>
          <w:szCs w:val="20"/>
          <w:lang w:val="es-US"/>
        </w:rPr>
        <w:t xml:space="preserve">y asociación </w:t>
      </w:r>
      <w:r w:rsidRPr="00845503">
        <w:rPr>
          <w:rFonts w:ascii="Cambria" w:hAnsi="Cambria"/>
          <w:sz w:val="20"/>
          <w:szCs w:val="20"/>
          <w:lang w:val="es-US"/>
        </w:rPr>
        <w:t xml:space="preserve">de </w:t>
      </w:r>
      <w:r w:rsidRPr="00845503">
        <w:rPr>
          <w:rFonts w:ascii="Cambria" w:hAnsi="Cambria"/>
          <w:sz w:val="20"/>
          <w:szCs w:val="20"/>
          <w:lang w:val="es-CO"/>
        </w:rPr>
        <w:t xml:space="preserve">Vladimiro Roca Antúnez, </w:t>
      </w:r>
      <w:r w:rsidR="007364FC" w:rsidRPr="00845503">
        <w:rPr>
          <w:rFonts w:ascii="Cambria" w:hAnsi="Cambria"/>
          <w:sz w:val="20"/>
          <w:szCs w:val="20"/>
          <w:lang w:val="es-ES"/>
        </w:rPr>
        <w:t>René</w:t>
      </w:r>
      <w:r w:rsidRPr="00845503">
        <w:rPr>
          <w:rFonts w:ascii="Cambria" w:hAnsi="Cambria"/>
          <w:sz w:val="20"/>
          <w:szCs w:val="20"/>
          <w:lang w:val="es-ES"/>
        </w:rPr>
        <w:t xml:space="preserve"> Gómez Manzano, </w:t>
      </w:r>
      <w:r w:rsidR="00967821" w:rsidRPr="00845503">
        <w:rPr>
          <w:rFonts w:ascii="Cambria" w:hAnsi="Cambria"/>
          <w:sz w:val="20"/>
          <w:szCs w:val="20"/>
          <w:lang w:val="es-ES"/>
        </w:rPr>
        <w:t>Martha</w:t>
      </w:r>
      <w:r w:rsidRPr="00845503">
        <w:rPr>
          <w:rFonts w:ascii="Cambria" w:hAnsi="Cambria"/>
          <w:sz w:val="20"/>
          <w:szCs w:val="20"/>
          <w:lang w:val="es-ES"/>
        </w:rPr>
        <w:t xml:space="preserve"> Beatriz Roque Cabello y Félix Bonne Carcassés</w:t>
      </w:r>
      <w:r w:rsidRPr="00845503">
        <w:rPr>
          <w:rFonts w:ascii="Cambria" w:hAnsi="Cambria"/>
          <w:sz w:val="20"/>
          <w:szCs w:val="20"/>
          <w:lang w:val="es-CO"/>
        </w:rPr>
        <w:t>.</w:t>
      </w:r>
      <w:r w:rsidRPr="00845503">
        <w:rPr>
          <w:rFonts w:ascii="Cambria" w:eastAsia="Times New Roman" w:hAnsi="Cambria"/>
          <w:spacing w:val="-2"/>
          <w:sz w:val="20"/>
          <w:szCs w:val="20"/>
          <w:lang w:val="es-ES_tradnl"/>
        </w:rPr>
        <w:t xml:space="preserve">  </w:t>
      </w:r>
      <w:r w:rsidRPr="00845503">
        <w:rPr>
          <w:rFonts w:ascii="Cambria" w:hAnsi="Cambria"/>
          <w:color w:val="000000"/>
          <w:sz w:val="20"/>
          <w:szCs w:val="20"/>
          <w:lang w:val="es-AR"/>
        </w:rPr>
        <w:t>En opinión de la Comisión, una normativa de esta naturaleza afecta la esencia del derecho de libertad de investigación, opinión, expresión y difusión previsto en el artículo IV de la Declaración Americana</w:t>
      </w:r>
      <w:r w:rsidR="00E07547" w:rsidRPr="00845503">
        <w:rPr>
          <w:rFonts w:ascii="Cambria" w:hAnsi="Cambria"/>
          <w:color w:val="000000"/>
          <w:sz w:val="20"/>
          <w:szCs w:val="20"/>
          <w:lang w:val="es-AR"/>
        </w:rPr>
        <w:t xml:space="preserve"> y el derecho a la libertad de asociación reconocido en el artículo XXII de dicho instrumento. </w:t>
      </w:r>
      <w:r w:rsidRPr="00845503">
        <w:rPr>
          <w:rFonts w:ascii="Cambria" w:hAnsi="Cambria"/>
          <w:sz w:val="20"/>
          <w:szCs w:val="20"/>
          <w:lang w:val="es-ES"/>
        </w:rPr>
        <w:t xml:space="preserve">Del mismo modo, al haberse producido esta violación como consecuencia de la aplicación de una ley que no cumple con los requisitos de estricta legalidad y, el Estado también incumplió </w:t>
      </w:r>
      <w:r w:rsidR="00C659C2" w:rsidRPr="00845503">
        <w:rPr>
          <w:rFonts w:ascii="Cambria" w:hAnsi="Cambria"/>
          <w:sz w:val="20"/>
          <w:szCs w:val="20"/>
          <w:lang w:val="es-ES"/>
        </w:rPr>
        <w:t xml:space="preserve">el principio de legalidad, recogido en </w:t>
      </w:r>
      <w:r w:rsidRPr="00845503">
        <w:rPr>
          <w:rFonts w:ascii="Cambria" w:hAnsi="Cambria"/>
          <w:sz w:val="20"/>
          <w:szCs w:val="20"/>
          <w:lang w:val="es-ES"/>
        </w:rPr>
        <w:t>el artículo XXVI (derecho a proceso regular) de la Declaración Americana.</w:t>
      </w:r>
    </w:p>
    <w:p w:rsidR="00BE42C5" w:rsidRPr="00845503" w:rsidRDefault="00BE42C5" w:rsidP="00BE42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rsidR="00BE42C5" w:rsidRPr="00845503" w:rsidRDefault="00BE42C5"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US"/>
        </w:rPr>
        <w:lastRenderedPageBreak/>
        <w:t xml:space="preserve">Sin perjuicio de la determinación anterior, la Comisión considera procedente analizar si la restricción en este caso buscó satisfacer un objetivo legítimo e imperioso del Estado y si fue estrictamente necesaria para el logro de ese fin. Ello para efectos de discutir de manera sistemática y completa las posibles afectaciones de los derechos objeto de estudio. </w:t>
      </w:r>
    </w:p>
    <w:p w:rsidR="00BE42C5" w:rsidRPr="00845503" w:rsidRDefault="00BE42C5" w:rsidP="00BE42C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US"/>
        </w:rPr>
      </w:pPr>
    </w:p>
    <w:p w:rsidR="00BE42C5" w:rsidRPr="00845503" w:rsidRDefault="00BE42C5" w:rsidP="009C22C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b/>
          <w:sz w:val="20"/>
          <w:szCs w:val="20"/>
          <w:lang w:val="es-ES"/>
        </w:rPr>
      </w:pPr>
      <w:r w:rsidRPr="00845503">
        <w:rPr>
          <w:b/>
          <w:sz w:val="20"/>
          <w:szCs w:val="20"/>
          <w:lang w:val="es-ES"/>
        </w:rPr>
        <w:t>Finalidad legítima</w:t>
      </w:r>
    </w:p>
    <w:p w:rsidR="00BE42C5" w:rsidRPr="00845503" w:rsidRDefault="00BE42C5" w:rsidP="003142C9">
      <w:pPr>
        <w:rPr>
          <w:rFonts w:ascii="Cambria" w:eastAsia="Times New Roman" w:hAnsi="Cambria"/>
          <w:sz w:val="20"/>
          <w:szCs w:val="20"/>
          <w:lang w:val="es-CO"/>
        </w:rPr>
      </w:pPr>
    </w:p>
    <w:p w:rsidR="00AD051B" w:rsidRPr="00845503" w:rsidRDefault="00BE42C5"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AR"/>
        </w:rPr>
      </w:pPr>
      <w:r w:rsidRPr="00845503">
        <w:rPr>
          <w:rFonts w:ascii="Cambria" w:hAnsi="Cambria"/>
          <w:sz w:val="20"/>
          <w:szCs w:val="20"/>
          <w:lang w:val="es-AR"/>
        </w:rPr>
        <w:t xml:space="preserve">La segunda cuestión que debe analizarse a la hora de estudiar si una restricción a </w:t>
      </w:r>
      <w:r w:rsidR="00435420" w:rsidRPr="00845503">
        <w:rPr>
          <w:rFonts w:ascii="Cambria" w:hAnsi="Cambria"/>
          <w:sz w:val="20"/>
          <w:szCs w:val="20"/>
          <w:lang w:val="es-AR"/>
        </w:rPr>
        <w:t xml:space="preserve">derechos fundamentales, como </w:t>
      </w:r>
      <w:r w:rsidRPr="00845503">
        <w:rPr>
          <w:rFonts w:ascii="Cambria" w:hAnsi="Cambria"/>
          <w:sz w:val="20"/>
          <w:szCs w:val="20"/>
          <w:lang w:val="es-AR"/>
        </w:rPr>
        <w:t xml:space="preserve">la libertad de expresión </w:t>
      </w:r>
      <w:r w:rsidR="00435420" w:rsidRPr="00845503">
        <w:rPr>
          <w:rFonts w:ascii="Cambria" w:hAnsi="Cambria"/>
          <w:sz w:val="20"/>
          <w:szCs w:val="20"/>
          <w:lang w:val="es-AR"/>
        </w:rPr>
        <w:t xml:space="preserve">y la libertad de asociación, </w:t>
      </w:r>
      <w:r w:rsidRPr="00845503">
        <w:rPr>
          <w:rFonts w:ascii="Cambria" w:hAnsi="Cambria"/>
          <w:sz w:val="20"/>
          <w:szCs w:val="20"/>
          <w:lang w:val="es-AR"/>
        </w:rPr>
        <w:t xml:space="preserve">resulta compatible con </w:t>
      </w:r>
      <w:r w:rsidR="00435420" w:rsidRPr="00845503">
        <w:rPr>
          <w:rFonts w:ascii="Cambria" w:hAnsi="Cambria"/>
          <w:sz w:val="20"/>
          <w:szCs w:val="20"/>
          <w:lang w:val="es-AR"/>
        </w:rPr>
        <w:t>las obligaciones internacionales contraídas por el Estado</w:t>
      </w:r>
      <w:r w:rsidR="00435420" w:rsidRPr="00845503">
        <w:rPr>
          <w:rFonts w:ascii="Cambria" w:hAnsi="Cambria"/>
          <w:sz w:val="20"/>
          <w:szCs w:val="20"/>
          <w:lang w:val="es-CO"/>
        </w:rPr>
        <w:t xml:space="preserve"> bajo la Declaración Americana</w:t>
      </w:r>
      <w:r w:rsidRPr="00845503">
        <w:rPr>
          <w:rFonts w:ascii="Cambria" w:hAnsi="Cambria"/>
          <w:sz w:val="20"/>
          <w:szCs w:val="20"/>
          <w:lang w:val="es-AR"/>
        </w:rPr>
        <w:t xml:space="preserve">, se refiere a la identificación de la finalidad perseguida por la medida restrictiva. En efecto, sólo será legítima la restricción que persiga objetivos </w:t>
      </w:r>
      <w:r w:rsidR="00435420" w:rsidRPr="00845503">
        <w:rPr>
          <w:rFonts w:ascii="Cambria" w:hAnsi="Cambria"/>
          <w:sz w:val="20"/>
          <w:szCs w:val="20"/>
          <w:lang w:val="es-AR"/>
        </w:rPr>
        <w:t>legítimos a la luz de derecho internacional de los derechos humanos</w:t>
      </w:r>
      <w:r w:rsidRPr="00845503">
        <w:rPr>
          <w:rFonts w:ascii="Cambria" w:hAnsi="Cambria"/>
          <w:sz w:val="20"/>
          <w:szCs w:val="20"/>
          <w:lang w:val="es-AR"/>
        </w:rPr>
        <w:t xml:space="preserve">. </w:t>
      </w:r>
    </w:p>
    <w:p w:rsidR="00AD051B" w:rsidRPr="00845503" w:rsidRDefault="00AD051B" w:rsidP="00AD051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AR"/>
        </w:rPr>
      </w:pPr>
    </w:p>
    <w:p w:rsidR="003142C9" w:rsidRPr="00845503" w:rsidRDefault="00AD051B"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AR"/>
        </w:rPr>
      </w:pPr>
      <w:r w:rsidRPr="00845503">
        <w:rPr>
          <w:rFonts w:ascii="Cambria" w:hAnsi="Cambria"/>
          <w:sz w:val="20"/>
          <w:szCs w:val="20"/>
          <w:lang w:val="es-CO"/>
        </w:rPr>
        <w:t>L</w:t>
      </w:r>
      <w:r w:rsidR="003142C9" w:rsidRPr="00845503">
        <w:rPr>
          <w:rFonts w:ascii="Cambria" w:hAnsi="Cambria"/>
          <w:sz w:val="20"/>
          <w:szCs w:val="20"/>
          <w:lang w:val="es-CO"/>
        </w:rPr>
        <w:t>a CIDH advierte que</w:t>
      </w:r>
      <w:r w:rsidRPr="00845503">
        <w:rPr>
          <w:rFonts w:ascii="Cambria" w:hAnsi="Cambria"/>
          <w:sz w:val="20"/>
          <w:szCs w:val="20"/>
          <w:lang w:val="es-CO"/>
        </w:rPr>
        <w:t xml:space="preserve"> l</w:t>
      </w:r>
      <w:r w:rsidR="003142C9" w:rsidRPr="00845503">
        <w:rPr>
          <w:rFonts w:ascii="Cambria" w:hAnsi="Cambria"/>
          <w:sz w:val="20"/>
          <w:szCs w:val="20"/>
          <w:lang w:val="es-CO"/>
        </w:rPr>
        <w:t xml:space="preserve">a protección de la seguridad nacional y el resguardo del orden público son fines legítimos </w:t>
      </w:r>
      <w:r w:rsidR="003142C9" w:rsidRPr="00845503">
        <w:rPr>
          <w:rFonts w:ascii="Cambria" w:hAnsi="Cambria" w:cs="Arial"/>
          <w:sz w:val="20"/>
          <w:szCs w:val="20"/>
          <w:lang w:val="es-CO"/>
        </w:rPr>
        <w:t>para fijar responsabilidades ulteriores por el ejercicio abusivo de la libertad de expresión</w:t>
      </w:r>
      <w:r w:rsidR="003142C9" w:rsidRPr="00845503">
        <w:rPr>
          <w:rFonts w:ascii="Cambria" w:hAnsi="Cambria"/>
          <w:sz w:val="20"/>
          <w:szCs w:val="20"/>
          <w:lang w:val="es-AR"/>
        </w:rPr>
        <w:t>, únicamente si son invocados e interpretados desde una perspectiva democrática</w:t>
      </w:r>
      <w:r w:rsidR="003142C9" w:rsidRPr="00845503">
        <w:rPr>
          <w:rFonts w:ascii="Cambria" w:hAnsi="Cambria"/>
          <w:sz w:val="20"/>
          <w:szCs w:val="20"/>
          <w:vertAlign w:val="superscript"/>
          <w:lang w:val="es-AR"/>
        </w:rPr>
        <w:footnoteReference w:id="84"/>
      </w:r>
      <w:r w:rsidR="003142C9" w:rsidRPr="00845503">
        <w:rPr>
          <w:rFonts w:ascii="Cambria" w:hAnsi="Cambria"/>
          <w:sz w:val="20"/>
          <w:szCs w:val="20"/>
          <w:lang w:val="es-AR"/>
        </w:rPr>
        <w:t>.</w:t>
      </w:r>
      <w:r w:rsidR="003142C9" w:rsidRPr="00845503">
        <w:rPr>
          <w:rFonts w:ascii="Cambria" w:hAnsi="Cambria" w:cs="Arial"/>
          <w:sz w:val="20"/>
          <w:szCs w:val="20"/>
          <w:lang w:val="es-CO"/>
        </w:rPr>
        <w:t xml:space="preserve"> </w:t>
      </w:r>
    </w:p>
    <w:p w:rsidR="003142C9" w:rsidRPr="00845503" w:rsidRDefault="003142C9" w:rsidP="003142C9">
      <w:pPr>
        <w:pStyle w:val="ListParagraph"/>
        <w:rPr>
          <w:sz w:val="20"/>
          <w:szCs w:val="20"/>
          <w:lang w:val="es-ES"/>
        </w:rPr>
      </w:pPr>
    </w:p>
    <w:p w:rsidR="00F644D5" w:rsidRPr="00845503" w:rsidRDefault="00AD051B"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t>No obstante, l</w:t>
      </w:r>
      <w:r w:rsidR="003142C9" w:rsidRPr="00845503">
        <w:rPr>
          <w:rFonts w:ascii="Cambria" w:hAnsi="Cambria"/>
          <w:sz w:val="20"/>
          <w:szCs w:val="20"/>
          <w:lang w:val="es-CO"/>
        </w:rPr>
        <w:t>a CIDH ha afirmado que los Estados no son libres de interpretar de cualquier forma el contenido de los objetivos para efectos de justificar una limitación de la libertad de expresión en casos concretos</w:t>
      </w:r>
      <w:r w:rsidR="00530AB4" w:rsidRPr="00845503">
        <w:rPr>
          <w:rFonts w:ascii="Cambria" w:hAnsi="Cambria"/>
          <w:sz w:val="20"/>
          <w:szCs w:val="20"/>
          <w:vertAlign w:val="superscript"/>
          <w:lang w:val="es-CO"/>
        </w:rPr>
        <w:footnoteReference w:id="85"/>
      </w:r>
      <w:r w:rsidR="003142C9" w:rsidRPr="00845503">
        <w:rPr>
          <w:rFonts w:ascii="Cambria" w:hAnsi="Cambria"/>
          <w:sz w:val="20"/>
          <w:szCs w:val="20"/>
          <w:lang w:val="es-CO"/>
        </w:rPr>
        <w:t xml:space="preserve">. La jurisprudencia interamericana ha indicado claramente que, para que se imponga cualquier sanción en nombre de la defensa del orden público (entendido como la seguridad, salubridad o moralidad pública), es necesario demostrar que el concepto de “orden” que se está defendiendo no es autoritario, sino un orden democrático, entendido como la existencia de las condiciones estructurales para que todas las personas, sin discriminación, puedan ejercer sus derechos en libertad, con vigor y sin miedo a ser sancionados por ello. </w:t>
      </w:r>
    </w:p>
    <w:p w:rsidR="00F644D5" w:rsidRPr="00845503" w:rsidRDefault="00F644D5" w:rsidP="00F644D5">
      <w:pPr>
        <w:pStyle w:val="ListParagraph"/>
        <w:rPr>
          <w:sz w:val="20"/>
          <w:szCs w:val="20"/>
          <w:lang w:val="es-ES"/>
        </w:rPr>
      </w:pPr>
    </w:p>
    <w:p w:rsidR="00F644D5" w:rsidRPr="00845503" w:rsidRDefault="001A02C1"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hAnsi="Cambria"/>
          <w:sz w:val="20"/>
          <w:szCs w:val="20"/>
          <w:lang w:val="es-ES"/>
        </w:rPr>
        <w:t>D</w:t>
      </w:r>
      <w:r w:rsidR="00F644D5" w:rsidRPr="00845503">
        <w:rPr>
          <w:rFonts w:ascii="Cambria" w:hAnsi="Cambria"/>
          <w:sz w:val="20"/>
          <w:szCs w:val="20"/>
          <w:lang w:val="es-ES"/>
        </w:rPr>
        <w:t>e conformidad con el Artículo XXVII de la Declaración Americana, las restricciones de derechos fundamentales sólo son permisibles</w:t>
      </w:r>
      <w:r w:rsidRPr="00845503">
        <w:rPr>
          <w:rFonts w:ascii="Cambria" w:hAnsi="Cambria"/>
          <w:sz w:val="20"/>
          <w:szCs w:val="20"/>
          <w:lang w:val="es-ES"/>
        </w:rPr>
        <w:t xml:space="preserve"> para asegurar</w:t>
      </w:r>
      <w:r w:rsidR="00F644D5" w:rsidRPr="00845503">
        <w:rPr>
          <w:rFonts w:ascii="Cambria" w:hAnsi="Cambria"/>
          <w:sz w:val="20"/>
          <w:szCs w:val="20"/>
          <w:lang w:val="es-ES"/>
        </w:rPr>
        <w:t xml:space="preserve"> “los derechos de los demás</w:t>
      </w:r>
      <w:r w:rsidRPr="00845503">
        <w:rPr>
          <w:rFonts w:ascii="Cambria" w:hAnsi="Cambria"/>
          <w:sz w:val="20"/>
          <w:szCs w:val="20"/>
          <w:lang w:val="es-ES"/>
        </w:rPr>
        <w:t>”</w:t>
      </w:r>
      <w:r w:rsidR="00F644D5" w:rsidRPr="00845503">
        <w:rPr>
          <w:rFonts w:ascii="Cambria" w:hAnsi="Cambria"/>
          <w:sz w:val="20"/>
          <w:szCs w:val="20"/>
          <w:lang w:val="es-ES"/>
        </w:rPr>
        <w:t xml:space="preserve">, </w:t>
      </w:r>
      <w:r w:rsidRPr="00845503">
        <w:rPr>
          <w:rFonts w:ascii="Cambria" w:hAnsi="Cambria"/>
          <w:sz w:val="20"/>
          <w:szCs w:val="20"/>
          <w:lang w:val="es-ES"/>
        </w:rPr>
        <w:t>“</w:t>
      </w:r>
      <w:r w:rsidR="00F644D5" w:rsidRPr="00845503">
        <w:rPr>
          <w:rFonts w:ascii="Cambria" w:hAnsi="Cambria"/>
          <w:sz w:val="20"/>
          <w:szCs w:val="20"/>
          <w:lang w:val="es-ES"/>
        </w:rPr>
        <w:t>la seguridad de todos</w:t>
      </w:r>
      <w:r w:rsidRPr="00845503">
        <w:rPr>
          <w:rFonts w:ascii="Cambria" w:hAnsi="Cambria"/>
          <w:sz w:val="20"/>
          <w:szCs w:val="20"/>
          <w:lang w:val="es-ES"/>
        </w:rPr>
        <w:t>”</w:t>
      </w:r>
      <w:r w:rsidR="00F644D5" w:rsidRPr="00845503">
        <w:rPr>
          <w:rFonts w:ascii="Cambria" w:hAnsi="Cambria"/>
          <w:sz w:val="20"/>
          <w:szCs w:val="20"/>
          <w:lang w:val="es-ES"/>
        </w:rPr>
        <w:t xml:space="preserve"> y </w:t>
      </w:r>
      <w:r w:rsidRPr="00845503">
        <w:rPr>
          <w:rFonts w:ascii="Cambria" w:hAnsi="Cambria"/>
          <w:sz w:val="20"/>
          <w:szCs w:val="20"/>
          <w:lang w:val="es-ES"/>
        </w:rPr>
        <w:t>“</w:t>
      </w:r>
      <w:r w:rsidR="00F644D5" w:rsidRPr="00845503">
        <w:rPr>
          <w:rFonts w:ascii="Cambria" w:hAnsi="Cambria"/>
          <w:sz w:val="20"/>
          <w:szCs w:val="20"/>
          <w:lang w:val="es-ES"/>
        </w:rPr>
        <w:t>las justas exigencias del bienestar general y d</w:t>
      </w:r>
      <w:r w:rsidRPr="00845503">
        <w:rPr>
          <w:rFonts w:ascii="Cambria" w:hAnsi="Cambria"/>
          <w:sz w:val="20"/>
          <w:szCs w:val="20"/>
          <w:lang w:val="es-ES"/>
        </w:rPr>
        <w:t>el desenvolvimiento democrático</w:t>
      </w:r>
      <w:r w:rsidR="00F644D5" w:rsidRPr="00845503">
        <w:rPr>
          <w:rFonts w:ascii="Cambria" w:hAnsi="Cambria"/>
          <w:sz w:val="20"/>
          <w:szCs w:val="20"/>
          <w:lang w:val="es-ES"/>
        </w:rPr>
        <w:t>”.</w:t>
      </w:r>
      <w:r w:rsidR="005258B5" w:rsidRPr="00845503">
        <w:rPr>
          <w:rFonts w:ascii="Cambria" w:hAnsi="Cambria"/>
          <w:sz w:val="20"/>
          <w:szCs w:val="20"/>
          <w:lang w:val="es-ES"/>
        </w:rPr>
        <w:t xml:space="preserve"> </w:t>
      </w:r>
    </w:p>
    <w:p w:rsidR="00F644D5" w:rsidRPr="00845503" w:rsidRDefault="00F644D5" w:rsidP="00F644D5">
      <w:pPr>
        <w:pStyle w:val="ListParagraph"/>
        <w:rPr>
          <w:sz w:val="20"/>
          <w:szCs w:val="20"/>
          <w:lang w:val="es-ES"/>
        </w:rPr>
      </w:pPr>
    </w:p>
    <w:p w:rsidR="003142C9"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hAnsi="Cambria"/>
          <w:sz w:val="20"/>
          <w:szCs w:val="20"/>
          <w:lang w:val="es-ES"/>
        </w:rPr>
        <w:t xml:space="preserve">En efecto, para la Corte Interamericana, en términos generales, el “orden público” no puede ser invocado para suprimir un derecho garantizado por la Convención Americana, para desnaturalizarlo o para privarlo de contenido real. Si este concepto se invoca como fundamento de limitaciones a los derechos humanos, debe ser interpretado de forma estrictamente ceñida a las </w:t>
      </w:r>
      <w:r w:rsidR="00B2483A" w:rsidRPr="00845503">
        <w:rPr>
          <w:rFonts w:ascii="Cambria" w:hAnsi="Cambria"/>
          <w:sz w:val="20"/>
          <w:szCs w:val="20"/>
          <w:lang w:val="es-ES"/>
        </w:rPr>
        <w:t>“</w:t>
      </w:r>
      <w:r w:rsidRPr="00845503">
        <w:rPr>
          <w:rFonts w:ascii="Cambria" w:hAnsi="Cambria"/>
          <w:sz w:val="20"/>
          <w:szCs w:val="20"/>
          <w:lang w:val="es-ES"/>
        </w:rPr>
        <w:t>justas exigencias de una sociedad democrática”</w:t>
      </w:r>
      <w:r w:rsidR="00431028" w:rsidRPr="00845503">
        <w:rPr>
          <w:rStyle w:val="FootnoteReference"/>
          <w:rFonts w:ascii="Cambria" w:hAnsi="Cambria"/>
          <w:sz w:val="20"/>
          <w:szCs w:val="20"/>
          <w:lang w:val="es-ES"/>
        </w:rPr>
        <w:footnoteReference w:id="86"/>
      </w:r>
      <w:r w:rsidRPr="00845503">
        <w:rPr>
          <w:rFonts w:ascii="Cambria" w:hAnsi="Cambria"/>
          <w:sz w:val="20"/>
          <w:szCs w:val="20"/>
          <w:lang w:val="es-ES"/>
        </w:rPr>
        <w:t xml:space="preserve">. </w:t>
      </w:r>
    </w:p>
    <w:p w:rsidR="003142C9" w:rsidRPr="00845503" w:rsidRDefault="003142C9" w:rsidP="003142C9">
      <w:pPr>
        <w:rPr>
          <w:rFonts w:ascii="Cambria" w:hAnsi="Cambria"/>
          <w:sz w:val="20"/>
          <w:szCs w:val="20"/>
          <w:lang w:val="es-ES"/>
        </w:rPr>
      </w:pPr>
    </w:p>
    <w:p w:rsidR="003142C9"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rPr>
      </w:pPr>
      <w:r w:rsidRPr="00845503">
        <w:rPr>
          <w:rFonts w:ascii="Cambria" w:hAnsi="Cambria"/>
          <w:sz w:val="20"/>
          <w:szCs w:val="20"/>
          <w:lang w:val="es-CO"/>
        </w:rPr>
        <w:t>Para</w:t>
      </w:r>
      <w:r w:rsidRPr="00845503">
        <w:rPr>
          <w:rFonts w:ascii="Cambria" w:hAnsi="Cambria"/>
          <w:sz w:val="20"/>
          <w:szCs w:val="20"/>
          <w:lang w:val="es-ES"/>
        </w:rPr>
        <w:t xml:space="preserve"> la Corte Interamericana, la defensa del orden público exige la máxima circulación posible de información, opiniones, noticias e ideas, es decir, el máximo nivel de ejercicio de la libertad de expresión. En términos del tribunal: “el mismo concepto de orden público reclama que, dentro de una </w:t>
      </w:r>
      <w:r w:rsidRPr="00845503">
        <w:rPr>
          <w:rFonts w:ascii="Cambria" w:hAnsi="Cambria"/>
          <w:sz w:val="20"/>
          <w:szCs w:val="20"/>
          <w:lang w:val="es-ES"/>
        </w:rPr>
        <w:lastRenderedPageBreak/>
        <w:t xml:space="preserve">sociedad democrática, se garanticen las mayores posibilidades de circulación de noticias, ideas y opiniones, así como el más amplio acceso a la información por parte de la sociedad en su conjunto. La libertad de expresión se inserta en el orden público primario y radical de la democracia, que no es concebible sin el debate libre y sin que la disidencia tenga pleno derecho de manifestarse. </w:t>
      </w:r>
      <w:r w:rsidRPr="00845503">
        <w:rPr>
          <w:rFonts w:ascii="Cambria" w:hAnsi="Cambria"/>
          <w:sz w:val="20"/>
          <w:szCs w:val="20"/>
        </w:rPr>
        <w:t>[…]</w:t>
      </w:r>
      <w:r w:rsidR="00FB60A7" w:rsidRPr="00845503">
        <w:rPr>
          <w:rStyle w:val="FootnoteReference"/>
          <w:rFonts w:ascii="Cambria" w:hAnsi="Cambria"/>
          <w:sz w:val="20"/>
          <w:szCs w:val="20"/>
        </w:rPr>
        <w:footnoteReference w:id="87"/>
      </w:r>
    </w:p>
    <w:p w:rsidR="00530AB4" w:rsidRPr="00845503" w:rsidRDefault="00530AB4" w:rsidP="00530AB4">
      <w:pPr>
        <w:pStyle w:val="ListParagraph"/>
        <w:rPr>
          <w:sz w:val="20"/>
          <w:szCs w:val="20"/>
        </w:rPr>
      </w:pPr>
    </w:p>
    <w:p w:rsidR="00C16F17" w:rsidRPr="00845503" w:rsidRDefault="00530AB4"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hAnsi="Cambria"/>
          <w:sz w:val="20"/>
          <w:szCs w:val="20"/>
          <w:lang w:val="es-ES"/>
        </w:rPr>
        <w:t>Por otra parte, cualquier afectación del orden público invocada como justificación para limitar la libertad de expresión debe obedecer a causas reales y objetivamente verificables, que planteen una amenaza cierta y creíble de una perturbación potencialmente grave de las condiciones básicas para el funcionamiento de las instituciones democráticas. En consecuencia, no resulta suficiente invocar meras conjeturas sobre eventuales afectaciones del orden, ni circunstancias hipotéticas derivadas de interpretaciones de las autoridades frente a hechos que no planteen claramente un riesgo razonable de disturbios graves (“violencia anárquica”). Una interpretación más amplia o indeterminada abriría un campo inadmisible a la arbitrariedad y restringiría de raíz la libertad de expresión que forma parte integral del orden público protegido por la Convención Americana</w:t>
      </w:r>
      <w:r w:rsidR="00FB60A7" w:rsidRPr="00845503">
        <w:rPr>
          <w:rStyle w:val="FootnoteReference"/>
          <w:rFonts w:ascii="Cambria" w:hAnsi="Cambria"/>
          <w:sz w:val="20"/>
          <w:szCs w:val="20"/>
          <w:lang w:val="es-ES"/>
        </w:rPr>
        <w:footnoteReference w:id="88"/>
      </w:r>
      <w:r w:rsidRPr="00845503">
        <w:rPr>
          <w:rFonts w:ascii="Cambria" w:hAnsi="Cambria"/>
          <w:sz w:val="20"/>
          <w:szCs w:val="20"/>
          <w:lang w:val="es-ES"/>
        </w:rPr>
        <w:t>.</w:t>
      </w:r>
    </w:p>
    <w:p w:rsidR="00C16F17" w:rsidRPr="00845503" w:rsidRDefault="00C16F17" w:rsidP="00C16F17">
      <w:pPr>
        <w:pStyle w:val="ListParagraph"/>
        <w:rPr>
          <w:sz w:val="20"/>
          <w:szCs w:val="20"/>
          <w:lang w:val="es-ES"/>
        </w:rPr>
      </w:pPr>
    </w:p>
    <w:p w:rsidR="003142C9"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hAnsi="Cambria"/>
          <w:sz w:val="20"/>
          <w:szCs w:val="20"/>
          <w:lang w:val="es-ES"/>
        </w:rPr>
        <w:t xml:space="preserve">En igual sentido, la CIDH ha </w:t>
      </w:r>
      <w:r w:rsidR="005852EC" w:rsidRPr="00845503">
        <w:rPr>
          <w:rFonts w:ascii="Cambria" w:hAnsi="Cambria"/>
          <w:sz w:val="20"/>
          <w:szCs w:val="20"/>
          <w:lang w:val="es-ES"/>
        </w:rPr>
        <w:t>reconocido</w:t>
      </w:r>
      <w:r w:rsidRPr="00845503">
        <w:rPr>
          <w:rFonts w:ascii="Cambria" w:hAnsi="Cambria"/>
          <w:sz w:val="20"/>
          <w:szCs w:val="20"/>
          <w:lang w:val="es-ES"/>
        </w:rPr>
        <w:t xml:space="preserve"> que la seguridad nacional solo podrá ser legítimamente invocada </w:t>
      </w:r>
      <w:r w:rsidRPr="00845503">
        <w:rPr>
          <w:rFonts w:ascii="Cambria" w:hAnsi="Cambria"/>
          <w:sz w:val="20"/>
          <w:szCs w:val="20"/>
          <w:lang w:val="es-ES_tradnl"/>
        </w:rPr>
        <w:t>si “su propósito genuino y efecto demostrable es proteger la existencia del país contra el uso o la amenaza de la fuerza, proteger su integridad territorial contra el uso o la amenaza de la fuerza, proteger su capacidad de reaccionar al uso o la amenaza de la fuerza, o proteger la seguridad personal de los funcionarios gubernamentales principales”</w:t>
      </w:r>
      <w:r w:rsidRPr="00845503">
        <w:rPr>
          <w:rStyle w:val="FootnoteReference"/>
          <w:rFonts w:ascii="Cambria" w:hAnsi="Cambria"/>
          <w:sz w:val="20"/>
          <w:szCs w:val="20"/>
          <w:lang w:val="es-ES_tradnl"/>
        </w:rPr>
        <w:footnoteReference w:id="89"/>
      </w:r>
      <w:r w:rsidRPr="00845503">
        <w:rPr>
          <w:rFonts w:ascii="Cambria" w:hAnsi="Cambria"/>
          <w:sz w:val="20"/>
          <w:szCs w:val="20"/>
          <w:lang w:val="es-ES_tradnl"/>
        </w:rPr>
        <w:t>.</w:t>
      </w:r>
      <w:r w:rsidRPr="00845503">
        <w:rPr>
          <w:rFonts w:ascii="Cambria" w:eastAsia="Times New Roman" w:hAnsi="Cambria"/>
          <w:sz w:val="20"/>
          <w:szCs w:val="20"/>
          <w:lang w:val="es-AR"/>
        </w:rPr>
        <w:t xml:space="preserve"> </w:t>
      </w:r>
    </w:p>
    <w:p w:rsidR="003142C9" w:rsidRPr="00845503" w:rsidRDefault="003142C9" w:rsidP="003142C9">
      <w:pPr>
        <w:pStyle w:val="ListParagraph"/>
        <w:rPr>
          <w:sz w:val="20"/>
          <w:szCs w:val="20"/>
          <w:lang w:val="es-ES"/>
        </w:rPr>
      </w:pPr>
    </w:p>
    <w:p w:rsidR="00957A07"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hAnsi="Cambria"/>
          <w:sz w:val="20"/>
          <w:szCs w:val="20"/>
          <w:lang w:val="es-AR"/>
        </w:rPr>
        <w:t xml:space="preserve">La CIDH encuentra que en el proceso llevado contra Vladimir Roca, </w:t>
      </w:r>
      <w:r w:rsidR="007364FC" w:rsidRPr="00845503">
        <w:rPr>
          <w:rFonts w:ascii="Cambria" w:hAnsi="Cambria"/>
          <w:sz w:val="20"/>
          <w:szCs w:val="20"/>
          <w:lang w:val="es-ES"/>
        </w:rPr>
        <w:t>René</w:t>
      </w:r>
      <w:r w:rsidRPr="00845503">
        <w:rPr>
          <w:rFonts w:ascii="Cambria" w:hAnsi="Cambria"/>
          <w:sz w:val="20"/>
          <w:szCs w:val="20"/>
          <w:lang w:val="es-ES"/>
        </w:rPr>
        <w:t xml:space="preserve"> Gómez Manzano, </w:t>
      </w:r>
      <w:r w:rsidR="00967821" w:rsidRPr="00845503">
        <w:rPr>
          <w:rFonts w:ascii="Cambria" w:hAnsi="Cambria"/>
          <w:sz w:val="20"/>
          <w:szCs w:val="20"/>
          <w:lang w:val="es-ES"/>
        </w:rPr>
        <w:t>Martha</w:t>
      </w:r>
      <w:r w:rsidRPr="00845503">
        <w:rPr>
          <w:rFonts w:ascii="Cambria" w:hAnsi="Cambria"/>
          <w:sz w:val="20"/>
          <w:szCs w:val="20"/>
          <w:lang w:val="es-ES"/>
        </w:rPr>
        <w:t xml:space="preserve"> Beatriz Roque Cabello y Félix Bonne Carcassés los tribunales cubanos no invocaron</w:t>
      </w:r>
      <w:r w:rsidRPr="00845503">
        <w:rPr>
          <w:rFonts w:ascii="Cambria" w:hAnsi="Cambria"/>
          <w:sz w:val="20"/>
          <w:szCs w:val="20"/>
          <w:lang w:val="es-AR"/>
        </w:rPr>
        <w:t xml:space="preserve"> la protección del orden público o la seguridad nacional en los términos antes citados. Por el contrario, l</w:t>
      </w:r>
      <w:r w:rsidRPr="00845503">
        <w:rPr>
          <w:rFonts w:ascii="Cambria" w:hAnsi="Cambria"/>
          <w:sz w:val="20"/>
          <w:szCs w:val="20"/>
          <w:lang w:val="es-CO"/>
        </w:rPr>
        <w:t xml:space="preserve">a CIDH observa que en varios pasajes de la sentencia condenatoria emitida en el presente caso, el tribunal realizó apreciaciones jurídicas abiertamente contrarias a los principios democráticos, que revela que la sanción </w:t>
      </w:r>
      <w:r w:rsidR="0045169E" w:rsidRPr="00845503">
        <w:rPr>
          <w:rFonts w:ascii="Cambria" w:hAnsi="Cambria"/>
          <w:sz w:val="20"/>
          <w:szCs w:val="20"/>
          <w:lang w:val="es-CO"/>
        </w:rPr>
        <w:t>atendió</w:t>
      </w:r>
      <w:r w:rsidRPr="00845503">
        <w:rPr>
          <w:rFonts w:ascii="Cambria" w:hAnsi="Cambria"/>
          <w:sz w:val="20"/>
          <w:szCs w:val="20"/>
          <w:lang w:val="es-CO"/>
        </w:rPr>
        <w:t xml:space="preserve"> a </w:t>
      </w:r>
      <w:r w:rsidR="0045169E" w:rsidRPr="00845503">
        <w:rPr>
          <w:rFonts w:ascii="Cambria" w:hAnsi="Cambria"/>
          <w:sz w:val="20"/>
          <w:szCs w:val="20"/>
          <w:lang w:val="es-CO"/>
        </w:rPr>
        <w:t>doctrinas de seguridad nacional</w:t>
      </w:r>
      <w:r w:rsidR="00F2459D" w:rsidRPr="00845503">
        <w:rPr>
          <w:rFonts w:ascii="Cambria" w:hAnsi="Cambria"/>
          <w:sz w:val="20"/>
          <w:szCs w:val="20"/>
          <w:lang w:val="es-CO"/>
        </w:rPr>
        <w:t xml:space="preserve"> y orden público</w:t>
      </w:r>
      <w:r w:rsidR="0045169E" w:rsidRPr="00845503">
        <w:rPr>
          <w:rFonts w:ascii="Cambria" w:hAnsi="Cambria"/>
          <w:sz w:val="20"/>
          <w:szCs w:val="20"/>
          <w:lang w:val="es-CO"/>
        </w:rPr>
        <w:t xml:space="preserve"> propias de un régimen autoritario</w:t>
      </w:r>
      <w:r w:rsidRPr="00845503">
        <w:rPr>
          <w:rFonts w:ascii="Cambria" w:hAnsi="Cambria"/>
          <w:sz w:val="20"/>
          <w:szCs w:val="20"/>
          <w:lang w:val="es-CO"/>
        </w:rPr>
        <w:t>.</w:t>
      </w:r>
      <w:r w:rsidRPr="00845503">
        <w:rPr>
          <w:rFonts w:ascii="Cambria" w:hAnsi="Cambria"/>
          <w:sz w:val="20"/>
          <w:szCs w:val="20"/>
          <w:lang w:val="es-ES"/>
        </w:rPr>
        <w:t xml:space="preserve"> </w:t>
      </w:r>
    </w:p>
    <w:p w:rsidR="00F2459D" w:rsidRPr="00845503" w:rsidRDefault="00F2459D" w:rsidP="00F2459D">
      <w:pPr>
        <w:pStyle w:val="ListParagraph"/>
        <w:rPr>
          <w:sz w:val="20"/>
          <w:szCs w:val="20"/>
          <w:lang w:val="es-ES"/>
        </w:rPr>
      </w:pPr>
    </w:p>
    <w:p w:rsidR="00A31DED" w:rsidRPr="00845503" w:rsidRDefault="00A31DED"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eastAsiaTheme="minorHAnsi" w:hAnsi="Cambria"/>
          <w:sz w:val="20"/>
          <w:szCs w:val="20"/>
          <w:lang w:val="es-ES"/>
        </w:rPr>
        <w:t xml:space="preserve">Tal y como se desprende del fallo del </w:t>
      </w:r>
      <w:r w:rsidRPr="00845503">
        <w:rPr>
          <w:rFonts w:ascii="Cambria" w:hAnsi="Cambria"/>
          <w:sz w:val="20"/>
          <w:szCs w:val="20"/>
          <w:lang w:val="es-CO"/>
        </w:rPr>
        <w:t>Tribunal Provincial Popular</w:t>
      </w:r>
      <w:r w:rsidRPr="00845503">
        <w:rPr>
          <w:rFonts w:ascii="Cambria" w:eastAsiaTheme="minorHAnsi" w:hAnsi="Cambria"/>
          <w:sz w:val="20"/>
          <w:szCs w:val="20"/>
          <w:lang w:val="es-ES"/>
        </w:rPr>
        <w:t>, el ejercicio de derecho a la libertad de expresión y la difusión de ideas políticas de los miembro</w:t>
      </w:r>
      <w:r w:rsidR="00F2459D" w:rsidRPr="00845503">
        <w:rPr>
          <w:rFonts w:ascii="Cambria" w:eastAsiaTheme="minorHAnsi" w:hAnsi="Cambria"/>
          <w:sz w:val="20"/>
          <w:szCs w:val="20"/>
          <w:lang w:val="es-ES"/>
        </w:rPr>
        <w:t>s del Grupo de Trabajo de</w:t>
      </w:r>
      <w:r w:rsidRPr="00845503">
        <w:rPr>
          <w:rFonts w:ascii="Cambria" w:eastAsiaTheme="minorHAnsi" w:hAnsi="Cambria"/>
          <w:sz w:val="20"/>
          <w:szCs w:val="20"/>
          <w:lang w:val="es-ES"/>
        </w:rPr>
        <w:t xml:space="preserve"> la Disidencia Interna, es considerado, </w:t>
      </w:r>
      <w:r w:rsidRPr="00845503">
        <w:rPr>
          <w:rFonts w:ascii="Cambria" w:eastAsiaTheme="minorHAnsi" w:hAnsi="Cambria"/>
          <w:i/>
          <w:sz w:val="20"/>
          <w:szCs w:val="20"/>
          <w:lang w:val="es-ES"/>
        </w:rPr>
        <w:t>per se</w:t>
      </w:r>
      <w:r w:rsidRPr="00845503">
        <w:rPr>
          <w:rFonts w:ascii="Cambria" w:eastAsiaTheme="minorHAnsi" w:hAnsi="Cambria"/>
          <w:sz w:val="20"/>
          <w:szCs w:val="20"/>
          <w:lang w:val="es-ES"/>
        </w:rPr>
        <w:t>, co</w:t>
      </w:r>
      <w:r w:rsidR="00F2459D" w:rsidRPr="00845503">
        <w:rPr>
          <w:rFonts w:ascii="Cambria" w:eastAsiaTheme="minorHAnsi" w:hAnsi="Cambria"/>
          <w:sz w:val="20"/>
          <w:szCs w:val="20"/>
          <w:lang w:val="es-ES"/>
        </w:rPr>
        <w:t>mo una amenaza al orden público y seguridad nacional</w:t>
      </w:r>
      <w:r w:rsidR="00A12E51" w:rsidRPr="00845503">
        <w:rPr>
          <w:rFonts w:ascii="Cambria" w:eastAsiaTheme="minorHAnsi" w:hAnsi="Cambria"/>
          <w:sz w:val="20"/>
          <w:szCs w:val="20"/>
          <w:lang w:val="es-ES"/>
        </w:rPr>
        <w:t>.</w:t>
      </w:r>
    </w:p>
    <w:p w:rsidR="008D4911" w:rsidRPr="00845503" w:rsidRDefault="008D4911" w:rsidP="008D4911">
      <w:pPr>
        <w:pStyle w:val="ListParagraph"/>
        <w:rPr>
          <w:sz w:val="20"/>
          <w:szCs w:val="20"/>
          <w:lang w:val="es-CO"/>
        </w:rPr>
      </w:pPr>
    </w:p>
    <w:p w:rsidR="008D4911"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hAnsi="Cambria"/>
          <w:sz w:val="20"/>
          <w:szCs w:val="20"/>
          <w:lang w:val="es-CO"/>
        </w:rPr>
        <w:t>La sentencia emitida por el Tribunal Provincial Popular</w:t>
      </w:r>
      <w:r w:rsidR="008D4911" w:rsidRPr="00845503">
        <w:rPr>
          <w:rFonts w:ascii="Cambria" w:hAnsi="Cambria"/>
          <w:sz w:val="20"/>
          <w:szCs w:val="20"/>
          <w:lang w:val="es-CO"/>
        </w:rPr>
        <w:t xml:space="preserve"> y confirmada por el Tribunal Supremo Popular</w:t>
      </w:r>
      <w:r w:rsidRPr="00845503">
        <w:rPr>
          <w:rFonts w:ascii="Cambria" w:hAnsi="Cambria"/>
          <w:sz w:val="20"/>
          <w:szCs w:val="20"/>
          <w:lang w:val="es-CO"/>
        </w:rPr>
        <w:t xml:space="preserve"> caracterizó al Grupo de Trabajo de Disidencia Interna como una organización “subversiva” que opera dentro de Cuba “sobre la base del no uso de violencia para desestabilizar el orden interno, la disciplina social y la obediencia debida a las regulaciones vigentes en el país y de esa forma poner en peligro la seguridad del Estado Cubano”. </w:t>
      </w:r>
    </w:p>
    <w:p w:rsidR="00C46136" w:rsidRPr="00845503" w:rsidRDefault="00C46136" w:rsidP="00C46136">
      <w:pPr>
        <w:pStyle w:val="ListParagraph"/>
        <w:rPr>
          <w:sz w:val="20"/>
          <w:szCs w:val="20"/>
          <w:lang w:val="es-ES"/>
        </w:rPr>
      </w:pPr>
    </w:p>
    <w:p w:rsidR="00BD65BF" w:rsidRPr="00845503" w:rsidRDefault="00D00748"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hAnsi="Cambria"/>
          <w:sz w:val="20"/>
          <w:szCs w:val="20"/>
          <w:lang w:val="es-CO"/>
        </w:rPr>
        <w:t xml:space="preserve">El tribunal, asimismo, </w:t>
      </w:r>
      <w:r w:rsidR="003142C9" w:rsidRPr="00845503">
        <w:rPr>
          <w:rFonts w:ascii="Cambria" w:hAnsi="Cambria"/>
          <w:sz w:val="20"/>
          <w:szCs w:val="20"/>
          <w:lang w:val="es-CO"/>
        </w:rPr>
        <w:t xml:space="preserve">entendió que las expresiones de las </w:t>
      </w:r>
      <w:r w:rsidR="002D7DA3" w:rsidRPr="00845503">
        <w:rPr>
          <w:rFonts w:ascii="Cambria" w:hAnsi="Cambria"/>
          <w:sz w:val="20"/>
          <w:szCs w:val="20"/>
          <w:lang w:val="es-CO"/>
        </w:rPr>
        <w:t xml:space="preserve">presuntas </w:t>
      </w:r>
      <w:r w:rsidR="003142C9" w:rsidRPr="00845503">
        <w:rPr>
          <w:rFonts w:ascii="Cambria" w:hAnsi="Cambria"/>
          <w:sz w:val="20"/>
          <w:szCs w:val="20"/>
          <w:lang w:val="es-CO"/>
        </w:rPr>
        <w:t xml:space="preserve">víctimas, limitadas a criticar al </w:t>
      </w:r>
      <w:r w:rsidR="001E6F28" w:rsidRPr="00845503">
        <w:rPr>
          <w:rFonts w:ascii="Cambria" w:hAnsi="Cambria"/>
          <w:sz w:val="20"/>
          <w:szCs w:val="20"/>
          <w:lang w:val="es-CO"/>
        </w:rPr>
        <w:t>gobierno</w:t>
      </w:r>
      <w:r w:rsidR="003142C9" w:rsidRPr="00845503">
        <w:rPr>
          <w:rFonts w:ascii="Cambria" w:hAnsi="Cambria"/>
          <w:sz w:val="20"/>
          <w:szCs w:val="20"/>
          <w:lang w:val="es-CO"/>
        </w:rPr>
        <w:t xml:space="preserve"> y el sistema político vigente</w:t>
      </w:r>
      <w:r w:rsidR="00CC509B" w:rsidRPr="00845503">
        <w:rPr>
          <w:rFonts w:ascii="Cambria" w:hAnsi="Cambria"/>
          <w:sz w:val="20"/>
          <w:szCs w:val="20"/>
          <w:lang w:val="es-CO"/>
        </w:rPr>
        <w:t xml:space="preserve"> y expresar sus opiniones políticas</w:t>
      </w:r>
      <w:r w:rsidR="003142C9" w:rsidRPr="00845503">
        <w:rPr>
          <w:rFonts w:ascii="Cambria" w:hAnsi="Cambria"/>
          <w:sz w:val="20"/>
          <w:szCs w:val="20"/>
          <w:lang w:val="es-CO"/>
        </w:rPr>
        <w:t xml:space="preserve">, </w:t>
      </w:r>
      <w:r w:rsidR="003142C9" w:rsidRPr="00845503">
        <w:rPr>
          <w:rFonts w:ascii="Cambria" w:hAnsi="Cambria"/>
          <w:sz w:val="20"/>
          <w:szCs w:val="20"/>
          <w:lang w:val="es-AR"/>
        </w:rPr>
        <w:t xml:space="preserve">podían “poner en peligro la seguridad del Estado de Cuba” y constituían una “incitación” “a realizar actos que perturbaban el orden social”. Llama la atención de esta Comisión los señalamientos hechos en la sentencia condenatoria en </w:t>
      </w:r>
      <w:r w:rsidR="00BC7A6E" w:rsidRPr="00845503">
        <w:rPr>
          <w:rFonts w:ascii="Cambria" w:hAnsi="Cambria"/>
          <w:sz w:val="20"/>
          <w:szCs w:val="20"/>
          <w:lang w:val="es-AR"/>
        </w:rPr>
        <w:t>los</w:t>
      </w:r>
      <w:r w:rsidR="003142C9" w:rsidRPr="00845503">
        <w:rPr>
          <w:rFonts w:ascii="Cambria" w:hAnsi="Cambria"/>
          <w:sz w:val="20"/>
          <w:szCs w:val="20"/>
          <w:lang w:val="es-AR"/>
        </w:rPr>
        <w:t xml:space="preserve"> cual</w:t>
      </w:r>
      <w:r w:rsidR="00BC7A6E" w:rsidRPr="00845503">
        <w:rPr>
          <w:rFonts w:ascii="Cambria" w:hAnsi="Cambria"/>
          <w:sz w:val="20"/>
          <w:szCs w:val="20"/>
          <w:lang w:val="es-AR"/>
        </w:rPr>
        <w:t>es</w:t>
      </w:r>
      <w:r w:rsidR="003142C9" w:rsidRPr="00845503">
        <w:rPr>
          <w:rFonts w:ascii="Cambria" w:hAnsi="Cambria"/>
          <w:sz w:val="20"/>
          <w:szCs w:val="20"/>
          <w:lang w:val="es-AR"/>
        </w:rPr>
        <w:t xml:space="preserve"> se acusa a las </w:t>
      </w:r>
      <w:r w:rsidR="002D7DA3" w:rsidRPr="00845503">
        <w:rPr>
          <w:rFonts w:ascii="Cambria" w:hAnsi="Cambria"/>
          <w:sz w:val="20"/>
          <w:szCs w:val="20"/>
          <w:lang w:val="es-AR"/>
        </w:rPr>
        <w:t xml:space="preserve">presuntas </w:t>
      </w:r>
      <w:r w:rsidR="003142C9" w:rsidRPr="00845503">
        <w:rPr>
          <w:rFonts w:ascii="Cambria" w:hAnsi="Cambria"/>
          <w:sz w:val="20"/>
          <w:szCs w:val="20"/>
          <w:lang w:val="es-AR"/>
        </w:rPr>
        <w:t xml:space="preserve">víctimas de contar con el apoyo de organizaciones extranjeras “terroristas” y “anticubanas de origen estadounidense” por el solo hecho </w:t>
      </w:r>
      <w:r w:rsidR="00BC7A6E" w:rsidRPr="00845503">
        <w:rPr>
          <w:rFonts w:ascii="Cambria" w:hAnsi="Cambria"/>
          <w:sz w:val="20"/>
          <w:szCs w:val="20"/>
          <w:lang w:val="es-AR"/>
        </w:rPr>
        <w:t xml:space="preserve">de </w:t>
      </w:r>
      <w:r w:rsidR="003142C9" w:rsidRPr="00845503">
        <w:rPr>
          <w:rFonts w:ascii="Cambria" w:hAnsi="Cambria"/>
          <w:sz w:val="20"/>
          <w:szCs w:val="20"/>
          <w:lang w:val="es-AR"/>
        </w:rPr>
        <w:t>haber difundido opiniones críticas a través de locuciones radiales “en una emisora extranjera opositora a Cuba”, conferencias de prensa “con periodistas de agencias extranjeras” y publicación de artículos en “diarios y revistas extranjeras”. Respecto del material que les fue confiscado a las</w:t>
      </w:r>
      <w:r w:rsidR="002D7DA3" w:rsidRPr="00845503">
        <w:rPr>
          <w:rFonts w:ascii="Cambria" w:hAnsi="Cambria"/>
          <w:sz w:val="20"/>
          <w:szCs w:val="20"/>
          <w:lang w:val="es-AR"/>
        </w:rPr>
        <w:t xml:space="preserve"> presuntas</w:t>
      </w:r>
      <w:r w:rsidR="003142C9" w:rsidRPr="00845503">
        <w:rPr>
          <w:rFonts w:ascii="Cambria" w:hAnsi="Cambria"/>
          <w:sz w:val="20"/>
          <w:szCs w:val="20"/>
          <w:lang w:val="es-AR"/>
        </w:rPr>
        <w:t xml:space="preserve"> víctimas señala la sentencia, que se encontraron </w:t>
      </w:r>
      <w:r w:rsidR="003142C9" w:rsidRPr="00845503">
        <w:rPr>
          <w:rFonts w:ascii="Cambria" w:hAnsi="Cambria"/>
          <w:sz w:val="20"/>
          <w:szCs w:val="20"/>
          <w:lang w:val="es-CO"/>
        </w:rPr>
        <w:t xml:space="preserve">“centenares de artículos, </w:t>
      </w:r>
      <w:r w:rsidR="003142C9" w:rsidRPr="00845503">
        <w:rPr>
          <w:rFonts w:ascii="Cambria" w:hAnsi="Cambria"/>
          <w:sz w:val="20"/>
          <w:szCs w:val="20"/>
          <w:lang w:val="es-CO"/>
        </w:rPr>
        <w:lastRenderedPageBreak/>
        <w:t xml:space="preserve">boletines, disquetes de computadora, diarios, revistas, documentos, impresoras, computadoras y máquina de escribir que sirvieron de instrumento y fueron frutos del actuar anti jurídico de los acusados”. Sobre el escrito la “Patria es de Todos” el Tribunal argumenta que “utiliza un lenguaje inexacto y tergiversan la historia cubana de forma indignante así como utilizan un lenguaje martiano con total irrespeto como forma para manipular sus ecos de la oposición norteamericana en cuba”. El Tribunal concluye que las acciones de las </w:t>
      </w:r>
      <w:r w:rsidR="002D7DA3" w:rsidRPr="00845503">
        <w:rPr>
          <w:rFonts w:ascii="Cambria" w:hAnsi="Cambria"/>
          <w:sz w:val="20"/>
          <w:szCs w:val="20"/>
          <w:lang w:val="es-CO"/>
        </w:rPr>
        <w:t xml:space="preserve">presuntas </w:t>
      </w:r>
      <w:r w:rsidR="003142C9" w:rsidRPr="00845503">
        <w:rPr>
          <w:rFonts w:ascii="Cambria" w:hAnsi="Cambria"/>
          <w:sz w:val="20"/>
          <w:szCs w:val="20"/>
          <w:lang w:val="es-CO"/>
        </w:rPr>
        <w:t xml:space="preserve">víctimas “corroboran la incondicionalidad de cada uno de ellos como servidores fieles de una potencia extranjera enemiga”. </w:t>
      </w:r>
    </w:p>
    <w:p w:rsidR="00BD65BF" w:rsidRPr="00845503" w:rsidRDefault="00BD65BF" w:rsidP="00BD65B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66113A" w:rsidRPr="00845503" w:rsidRDefault="00BD65BF"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color w:val="000000"/>
          <w:sz w:val="20"/>
          <w:szCs w:val="20"/>
          <w:lang w:val="es-ES"/>
        </w:rPr>
      </w:pPr>
      <w:r w:rsidRPr="00845503">
        <w:rPr>
          <w:rFonts w:ascii="Cambria" w:hAnsi="Cambria" w:cs="Arial"/>
          <w:color w:val="000000"/>
          <w:sz w:val="20"/>
          <w:szCs w:val="20"/>
          <w:lang w:val="es-ES"/>
        </w:rPr>
        <w:t xml:space="preserve">La sentencia condenatoria </w:t>
      </w:r>
      <w:r w:rsidR="00F644D5" w:rsidRPr="00845503">
        <w:rPr>
          <w:rFonts w:ascii="Cambria" w:hAnsi="Cambria" w:cs="Arial"/>
          <w:color w:val="000000"/>
          <w:sz w:val="20"/>
          <w:szCs w:val="20"/>
          <w:lang w:val="es-ES"/>
        </w:rPr>
        <w:t>hace evidente que lo que se persigue es silenciar a las voces críticas del gobierno</w:t>
      </w:r>
      <w:r w:rsidR="00B2483A" w:rsidRPr="00845503">
        <w:rPr>
          <w:rFonts w:ascii="Cambria" w:hAnsi="Cambria" w:cs="Arial"/>
          <w:color w:val="000000"/>
          <w:sz w:val="20"/>
          <w:szCs w:val="20"/>
          <w:lang w:val="es-ES"/>
        </w:rPr>
        <w:t xml:space="preserve">, </w:t>
      </w:r>
      <w:r w:rsidR="001E6F28" w:rsidRPr="00845503">
        <w:rPr>
          <w:rFonts w:ascii="Cambria" w:hAnsi="Cambria" w:cs="Arial"/>
          <w:color w:val="000000"/>
          <w:sz w:val="20"/>
          <w:szCs w:val="20"/>
          <w:lang w:val="es-ES"/>
        </w:rPr>
        <w:t>calificándolas</w:t>
      </w:r>
      <w:r w:rsidR="00B2483A" w:rsidRPr="00845503">
        <w:rPr>
          <w:rFonts w:ascii="Cambria" w:hAnsi="Cambria" w:cs="Arial"/>
          <w:color w:val="000000"/>
          <w:sz w:val="20"/>
          <w:szCs w:val="20"/>
          <w:lang w:val="es-ES"/>
        </w:rPr>
        <w:t xml:space="preserve"> de “subversivas”, “anticubanas”</w:t>
      </w:r>
      <w:r w:rsidR="00A049E3" w:rsidRPr="00845503">
        <w:rPr>
          <w:rFonts w:ascii="Cambria" w:hAnsi="Cambria" w:cs="Arial"/>
          <w:color w:val="000000"/>
          <w:sz w:val="20"/>
          <w:szCs w:val="20"/>
          <w:lang w:val="es-ES"/>
        </w:rPr>
        <w:t xml:space="preserve"> o “servidores de enemigos extranjeros”.</w:t>
      </w:r>
      <w:r w:rsidR="00B2483A" w:rsidRPr="00845503">
        <w:rPr>
          <w:rFonts w:ascii="Cambria" w:hAnsi="Cambria" w:cs="Arial"/>
          <w:color w:val="000000"/>
          <w:sz w:val="20"/>
          <w:szCs w:val="20"/>
          <w:lang w:val="es-ES"/>
        </w:rPr>
        <w:t xml:space="preserve"> </w:t>
      </w:r>
    </w:p>
    <w:p w:rsidR="0066113A" w:rsidRPr="00845503" w:rsidRDefault="0066113A" w:rsidP="00CC509B">
      <w:pPr>
        <w:pStyle w:val="ListParagraph"/>
        <w:rPr>
          <w:sz w:val="20"/>
          <w:szCs w:val="20"/>
          <w:lang w:val="es-ES"/>
        </w:rPr>
      </w:pPr>
    </w:p>
    <w:p w:rsidR="00737635" w:rsidRPr="00845503" w:rsidRDefault="00D00748"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hAnsi="Cambria"/>
          <w:sz w:val="20"/>
          <w:szCs w:val="20"/>
          <w:lang w:val="es-CO"/>
        </w:rPr>
        <w:t>A este respecto</w:t>
      </w:r>
      <w:r w:rsidR="00CC509B" w:rsidRPr="00845503">
        <w:rPr>
          <w:rFonts w:ascii="Cambria" w:hAnsi="Cambria"/>
          <w:sz w:val="20"/>
          <w:szCs w:val="20"/>
          <w:lang w:val="es-CO"/>
        </w:rPr>
        <w:t xml:space="preserve">, cabe recordar que </w:t>
      </w:r>
      <w:r w:rsidR="00E64BA8" w:rsidRPr="00845503">
        <w:rPr>
          <w:rFonts w:ascii="Cambria" w:hAnsi="Cambria"/>
          <w:sz w:val="20"/>
          <w:szCs w:val="20"/>
          <w:lang w:val="es-CO"/>
        </w:rPr>
        <w:t xml:space="preserve">ya </w:t>
      </w:r>
      <w:r w:rsidR="00CC509B" w:rsidRPr="00845503">
        <w:rPr>
          <w:rFonts w:ascii="Cambria" w:hAnsi="Cambria"/>
          <w:sz w:val="20"/>
          <w:szCs w:val="20"/>
          <w:lang w:val="es-CO"/>
        </w:rPr>
        <w:t xml:space="preserve">en su informe anual </w:t>
      </w:r>
      <w:r w:rsidR="002F4DFF" w:rsidRPr="00845503">
        <w:rPr>
          <w:rFonts w:ascii="Cambria" w:hAnsi="Cambria"/>
          <w:sz w:val="20"/>
          <w:szCs w:val="20"/>
          <w:lang w:val="es-CO"/>
        </w:rPr>
        <w:t xml:space="preserve">sobre Cuba </w:t>
      </w:r>
      <w:r w:rsidR="00CC509B" w:rsidRPr="00845503">
        <w:rPr>
          <w:rFonts w:ascii="Cambria" w:hAnsi="Cambria"/>
          <w:sz w:val="20"/>
          <w:szCs w:val="20"/>
          <w:lang w:val="es-CO"/>
        </w:rPr>
        <w:t>de 1998, la Comisión Interamericana de Derechos Humanos señaló</w:t>
      </w:r>
      <w:r w:rsidR="00E64BA8" w:rsidRPr="00845503">
        <w:rPr>
          <w:rFonts w:ascii="Cambria" w:hAnsi="Cambria"/>
          <w:sz w:val="20"/>
          <w:szCs w:val="20"/>
          <w:lang w:val="es-CO"/>
        </w:rPr>
        <w:t xml:space="preserve"> que el ejercicio de </w:t>
      </w:r>
      <w:r w:rsidR="00192609" w:rsidRPr="00845503">
        <w:rPr>
          <w:rFonts w:ascii="Cambria" w:hAnsi="Cambria"/>
          <w:sz w:val="20"/>
          <w:szCs w:val="20"/>
          <w:lang w:val="es-CO"/>
        </w:rPr>
        <w:t>las libertades fundamentales</w:t>
      </w:r>
      <w:r w:rsidR="00E64BA8" w:rsidRPr="00845503">
        <w:rPr>
          <w:rFonts w:ascii="Cambria" w:hAnsi="Cambria"/>
          <w:sz w:val="20"/>
          <w:szCs w:val="20"/>
          <w:lang w:val="es-CO"/>
        </w:rPr>
        <w:t xml:space="preserve">, como la libertad de expresión y de asociación, no puede estar condicionado a las ideas políticas de un partido o </w:t>
      </w:r>
      <w:r w:rsidR="0051064C" w:rsidRPr="00845503">
        <w:rPr>
          <w:rFonts w:ascii="Cambria" w:hAnsi="Cambria"/>
          <w:sz w:val="20"/>
          <w:szCs w:val="20"/>
          <w:lang w:val="es-CO"/>
        </w:rPr>
        <w:t>a</w:t>
      </w:r>
      <w:r w:rsidR="002F4DFF" w:rsidRPr="00845503">
        <w:rPr>
          <w:rFonts w:ascii="Cambria" w:hAnsi="Cambria"/>
          <w:sz w:val="20"/>
          <w:szCs w:val="20"/>
          <w:lang w:val="es-CO"/>
        </w:rPr>
        <w:t>l</w:t>
      </w:r>
      <w:r w:rsidR="0051064C" w:rsidRPr="00845503">
        <w:rPr>
          <w:rFonts w:ascii="Cambria" w:hAnsi="Cambria"/>
          <w:sz w:val="20"/>
          <w:szCs w:val="20"/>
          <w:lang w:val="es-CO"/>
        </w:rPr>
        <w:t xml:space="preserve"> control</w:t>
      </w:r>
      <w:r w:rsidR="002F4DFF" w:rsidRPr="00845503">
        <w:rPr>
          <w:rFonts w:ascii="Cambria" w:hAnsi="Cambria"/>
          <w:sz w:val="20"/>
          <w:szCs w:val="20"/>
          <w:lang w:val="es-CO"/>
        </w:rPr>
        <w:t xml:space="preserve"> absoluto</w:t>
      </w:r>
      <w:r w:rsidR="0051064C" w:rsidRPr="00845503">
        <w:rPr>
          <w:rFonts w:ascii="Cambria" w:hAnsi="Cambria"/>
          <w:sz w:val="20"/>
          <w:szCs w:val="20"/>
          <w:lang w:val="es-CO"/>
        </w:rPr>
        <w:t xml:space="preserve"> d</w:t>
      </w:r>
      <w:r w:rsidR="00E64BA8" w:rsidRPr="00845503">
        <w:rPr>
          <w:rFonts w:ascii="Cambria" w:hAnsi="Cambria"/>
          <w:sz w:val="20"/>
          <w:szCs w:val="20"/>
          <w:lang w:val="es-CO"/>
        </w:rPr>
        <w:t>el poder estatal.</w:t>
      </w:r>
      <w:r w:rsidR="00CC509B" w:rsidRPr="00845503">
        <w:rPr>
          <w:rFonts w:ascii="Cambria" w:hAnsi="Cambria"/>
          <w:sz w:val="20"/>
          <w:szCs w:val="20"/>
          <w:lang w:val="es-CO"/>
        </w:rPr>
        <w:t xml:space="preserve"> </w:t>
      </w:r>
      <w:r w:rsidR="00737635" w:rsidRPr="00845503">
        <w:rPr>
          <w:rFonts w:ascii="Cambria" w:hAnsi="Cambria"/>
          <w:sz w:val="20"/>
          <w:szCs w:val="20"/>
          <w:lang w:val="es-CO"/>
        </w:rPr>
        <w:t>Al respecto expresó</w:t>
      </w:r>
      <w:r w:rsidR="00737635" w:rsidRPr="00845503">
        <w:rPr>
          <w:rFonts w:ascii="Cambria" w:hAnsi="Cambria"/>
          <w:sz w:val="20"/>
          <w:szCs w:val="20"/>
          <w:lang w:val="es-ES"/>
        </w:rPr>
        <w:t xml:space="preserve"> “el sistema político cubano continúa otorgando una preponderancia exclusiva y excluyente al Partido Comunista, el cual se constituye en los hechos en una fuerza superior al Estado mismo lo que impide la existencia de un sano pluralismo ideológico y partidario, que es una de las bases del sistema democrático de gobierno. Es así como los más importantes órganos estatales son controlados por miembros del Partido Comunista”</w:t>
      </w:r>
      <w:r w:rsidR="00196E63" w:rsidRPr="00845503">
        <w:rPr>
          <w:rStyle w:val="FootnoteReference"/>
          <w:rFonts w:ascii="Cambria" w:hAnsi="Cambria"/>
          <w:sz w:val="20"/>
          <w:szCs w:val="20"/>
          <w:lang w:val="es-ES"/>
        </w:rPr>
        <w:footnoteReference w:id="90"/>
      </w:r>
      <w:r w:rsidR="00737635" w:rsidRPr="00845503">
        <w:rPr>
          <w:rFonts w:ascii="Cambria" w:hAnsi="Cambria"/>
          <w:sz w:val="20"/>
          <w:szCs w:val="20"/>
          <w:lang w:val="es-ES"/>
        </w:rPr>
        <w:t xml:space="preserve">. </w:t>
      </w:r>
    </w:p>
    <w:p w:rsidR="00737635" w:rsidRPr="00845503" w:rsidRDefault="00737635" w:rsidP="00737635">
      <w:pPr>
        <w:pStyle w:val="ListParagraph"/>
        <w:rPr>
          <w:sz w:val="20"/>
          <w:szCs w:val="20"/>
          <w:lang w:val="es-ES"/>
        </w:rPr>
      </w:pPr>
    </w:p>
    <w:p w:rsidR="00737635" w:rsidRPr="00845503" w:rsidRDefault="00737635"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hAnsi="Cambria"/>
          <w:sz w:val="20"/>
          <w:szCs w:val="20"/>
          <w:lang w:val="es-ES"/>
        </w:rPr>
        <w:t>Afirmó que “es motivo de particular preocupación de la Comisión las fórmulas legales empleadas por el ordenamiento jurídico cubano para establecer los límites al ejercicio de los derechos y libertades reconocidos a los ciudadanos. De acuerdo a dichas fórmulas, son éstos quienes deben adecuar ese ejercicio a los fines perseguidos por el Estado. La concepción democrática consiste en lo contrario: es el Estado quien debe limitar su acción frente a los derechos inherentes a la persona y reducir su intervención sólo para lograr la vigencia práctica de los derechos civiles, políticos, sociales, económicos y culturales de todos los gobernados”</w:t>
      </w:r>
      <w:r w:rsidR="00196E63" w:rsidRPr="00845503">
        <w:rPr>
          <w:rStyle w:val="FootnoteReference"/>
          <w:rFonts w:ascii="Cambria" w:hAnsi="Cambria"/>
          <w:sz w:val="20"/>
          <w:szCs w:val="20"/>
          <w:lang w:val="es-ES"/>
        </w:rPr>
        <w:footnoteReference w:id="91"/>
      </w:r>
      <w:r w:rsidRPr="00845503">
        <w:rPr>
          <w:rFonts w:ascii="Cambria" w:hAnsi="Cambria"/>
          <w:sz w:val="20"/>
          <w:szCs w:val="20"/>
          <w:lang w:val="es-ES"/>
        </w:rPr>
        <w:t>.</w:t>
      </w:r>
    </w:p>
    <w:p w:rsidR="00737635" w:rsidRPr="00845503" w:rsidRDefault="00737635" w:rsidP="00737635">
      <w:pPr>
        <w:pStyle w:val="ListParagraph"/>
        <w:rPr>
          <w:sz w:val="20"/>
          <w:szCs w:val="20"/>
          <w:lang w:val="es-CO"/>
        </w:rPr>
      </w:pPr>
    </w:p>
    <w:p w:rsidR="008D4911" w:rsidRPr="00845503" w:rsidRDefault="00737635"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hAnsi="Cambria"/>
          <w:sz w:val="20"/>
          <w:szCs w:val="20"/>
          <w:lang w:val="es-CO"/>
        </w:rPr>
        <w:t>En tal sentido</w:t>
      </w:r>
      <w:r w:rsidR="0051064C" w:rsidRPr="00845503">
        <w:rPr>
          <w:rFonts w:ascii="Cambria" w:hAnsi="Cambria"/>
          <w:sz w:val="20"/>
          <w:szCs w:val="20"/>
          <w:lang w:val="es-CO"/>
        </w:rPr>
        <w:t>, l</w:t>
      </w:r>
      <w:r w:rsidR="00CC509B" w:rsidRPr="00845503">
        <w:rPr>
          <w:rFonts w:ascii="Cambria" w:hAnsi="Cambria"/>
          <w:sz w:val="20"/>
          <w:szCs w:val="20"/>
          <w:lang w:val="es-CO"/>
        </w:rPr>
        <w:t xml:space="preserve">a Comisión </w:t>
      </w:r>
      <w:r w:rsidR="00BC7A6E" w:rsidRPr="00845503">
        <w:rPr>
          <w:rFonts w:ascii="Cambria" w:hAnsi="Cambria"/>
          <w:sz w:val="20"/>
          <w:szCs w:val="20"/>
          <w:lang w:val="es-CO"/>
        </w:rPr>
        <w:t>expres</w:t>
      </w:r>
      <w:r w:rsidR="00CC509B" w:rsidRPr="00845503">
        <w:rPr>
          <w:rFonts w:ascii="Cambria" w:hAnsi="Cambria"/>
          <w:sz w:val="20"/>
          <w:szCs w:val="20"/>
          <w:lang w:val="es-CO"/>
        </w:rPr>
        <w:t>ó</w:t>
      </w:r>
      <w:r w:rsidR="00822447" w:rsidRPr="00845503">
        <w:rPr>
          <w:rFonts w:ascii="Cambria" w:hAnsi="Cambria"/>
          <w:sz w:val="20"/>
          <w:szCs w:val="20"/>
          <w:lang w:val="es-CO"/>
        </w:rPr>
        <w:t>:</w:t>
      </w:r>
      <w:r w:rsidR="00CC509B" w:rsidRPr="00845503">
        <w:rPr>
          <w:rFonts w:ascii="Cambria" w:hAnsi="Cambria"/>
          <w:sz w:val="20"/>
          <w:szCs w:val="20"/>
          <w:lang w:val="es-CO"/>
        </w:rPr>
        <w:t xml:space="preserve"> </w:t>
      </w:r>
    </w:p>
    <w:p w:rsidR="008D4911" w:rsidRPr="00845503" w:rsidRDefault="008D4911" w:rsidP="008D4911">
      <w:pPr>
        <w:pStyle w:val="ListParagraph"/>
        <w:rPr>
          <w:sz w:val="20"/>
          <w:szCs w:val="20"/>
          <w:lang w:val="es-CO"/>
        </w:rPr>
      </w:pPr>
    </w:p>
    <w:p w:rsidR="0045169E" w:rsidRPr="00845503" w:rsidRDefault="00CC509B" w:rsidP="0082244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CO"/>
        </w:rPr>
      </w:pPr>
      <w:r w:rsidRPr="00845503">
        <w:rPr>
          <w:rFonts w:ascii="Cambria" w:hAnsi="Cambria"/>
          <w:sz w:val="20"/>
          <w:szCs w:val="20"/>
          <w:lang w:val="es-CO"/>
        </w:rPr>
        <w:t>la difícil situación por la que atravesaban y tenían que trabajar los diferentes grupos de derechos humanos, sindicatos y periodistas independientes, que día a día trataban de consolidar una alternativa para los ciudadanos cubanos que desean tener un espacio para discutir libre y pacíficamente los principales problemas que aquejan al país. Estos sectores constituyen, asimismo, una forma de pluralismo dentro de un sistema caracterizado por el control absoluto que ejerce el Estado sobre sus ciudadanos, control que se implementa a través de las organizaciones de masas, sin que ninguna instancia intermedia sea permitida</w:t>
      </w:r>
      <w:r w:rsidRPr="00845503">
        <w:rPr>
          <w:rStyle w:val="FootnoteReference"/>
          <w:rFonts w:ascii="Cambria" w:hAnsi="Cambria"/>
          <w:sz w:val="20"/>
          <w:szCs w:val="20"/>
          <w:lang w:val="es-CO"/>
        </w:rPr>
        <w:footnoteReference w:id="92"/>
      </w:r>
      <w:r w:rsidRPr="00845503">
        <w:rPr>
          <w:rFonts w:ascii="Cambria" w:hAnsi="Cambria"/>
          <w:sz w:val="20"/>
          <w:szCs w:val="20"/>
          <w:lang w:val="es-CO"/>
        </w:rPr>
        <w:t>.</w:t>
      </w:r>
    </w:p>
    <w:p w:rsidR="0045169E" w:rsidRPr="00845503" w:rsidRDefault="0045169E" w:rsidP="0045169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O"/>
        </w:rPr>
      </w:pPr>
    </w:p>
    <w:p w:rsidR="00F2459D" w:rsidRPr="00845503" w:rsidRDefault="00F2459D"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eastAsia="Times New Roman" w:hAnsi="Cambria"/>
          <w:sz w:val="20"/>
          <w:szCs w:val="20"/>
          <w:lang w:val="es-AR"/>
        </w:rPr>
        <w:t xml:space="preserve">Para esta CIDH, resulta inadmisible el argumento según el cual es necesario condenar penalmente a un grupo de personas por manifestar opiniones </w:t>
      </w:r>
      <w:r w:rsidRPr="00845503">
        <w:rPr>
          <w:rFonts w:ascii="Cambria" w:eastAsia="Times New Roman" w:hAnsi="Cambria" w:cs="Courier New"/>
          <w:sz w:val="20"/>
          <w:szCs w:val="20"/>
          <w:bdr w:val="none" w:sz="0" w:space="0" w:color="auto"/>
          <w:lang w:val="es-ES"/>
        </w:rPr>
        <w:t xml:space="preserve">críticas de las políticas y prácticas gubernamentales </w:t>
      </w:r>
      <w:r w:rsidRPr="00845503">
        <w:rPr>
          <w:rFonts w:ascii="Cambria" w:eastAsia="Times New Roman" w:hAnsi="Cambria"/>
          <w:sz w:val="20"/>
          <w:szCs w:val="20"/>
          <w:lang w:val="es-AR"/>
        </w:rPr>
        <w:t>para proteger la “seguridad nacional” y el “orden público”. Ninguna idea democrática de “seguridad nacional” u “orden público”,</w:t>
      </w:r>
      <w:r w:rsidRPr="00845503">
        <w:rPr>
          <w:rFonts w:ascii="Cambria" w:hAnsi="Cambria"/>
          <w:sz w:val="20"/>
          <w:szCs w:val="20"/>
          <w:lang w:val="es-ES"/>
        </w:rPr>
        <w:t xml:space="preserve"> </w:t>
      </w:r>
      <w:r w:rsidRPr="00845503">
        <w:rPr>
          <w:rFonts w:ascii="Cambria" w:eastAsia="Times New Roman" w:hAnsi="Cambria"/>
          <w:sz w:val="20"/>
          <w:szCs w:val="20"/>
          <w:lang w:val="es-AR"/>
        </w:rPr>
        <w:t>cuyos fundamentos son el respeto a los derechos humanos y el sometimiento de los servidores públicos a la ley, puede ser compatible con esta tesis.</w:t>
      </w:r>
      <w:r w:rsidRPr="00845503">
        <w:rPr>
          <w:rFonts w:ascii="Cambria" w:hAnsi="Cambria"/>
          <w:bCs/>
          <w:sz w:val="20"/>
          <w:szCs w:val="20"/>
          <w:lang w:val="es-AR"/>
        </w:rPr>
        <w:t xml:space="preserve"> La intolerancia de las autoridades cubanas hacia toda forma de crítica u oposición política constituye la principal limitación a los derechos a la libertad de expresión y asociación</w:t>
      </w:r>
      <w:r w:rsidR="00993138" w:rsidRPr="00845503">
        <w:rPr>
          <w:rFonts w:ascii="Cambria" w:hAnsi="Cambria"/>
          <w:bCs/>
          <w:sz w:val="20"/>
          <w:szCs w:val="20"/>
          <w:lang w:val="es-AR"/>
        </w:rPr>
        <w:t>. Así se evidencia de las</w:t>
      </w:r>
      <w:r w:rsidRPr="00845503">
        <w:rPr>
          <w:rFonts w:ascii="Cambria" w:hAnsi="Cambria"/>
          <w:bCs/>
          <w:sz w:val="20"/>
          <w:szCs w:val="20"/>
          <w:lang w:val="es-AR"/>
        </w:rPr>
        <w:t xml:space="preserve"> sentencias condenatorias </w:t>
      </w:r>
      <w:r w:rsidR="00993138" w:rsidRPr="00845503">
        <w:rPr>
          <w:rFonts w:ascii="Cambria" w:hAnsi="Cambria"/>
          <w:bCs/>
          <w:sz w:val="20"/>
          <w:szCs w:val="20"/>
          <w:lang w:val="es-AR"/>
        </w:rPr>
        <w:t>antes citadas</w:t>
      </w:r>
      <w:r w:rsidRPr="00845503">
        <w:rPr>
          <w:rFonts w:ascii="Cambria" w:hAnsi="Cambria"/>
          <w:bCs/>
          <w:sz w:val="20"/>
          <w:szCs w:val="20"/>
          <w:lang w:val="es-AR"/>
        </w:rPr>
        <w:t>.</w:t>
      </w:r>
    </w:p>
    <w:p w:rsidR="00F2459D" w:rsidRPr="00845503" w:rsidRDefault="00F2459D" w:rsidP="001D71FE">
      <w:pPr>
        <w:rPr>
          <w:rFonts w:ascii="Cambria" w:hAnsi="Cambria"/>
          <w:bCs/>
          <w:sz w:val="20"/>
          <w:szCs w:val="20"/>
          <w:lang w:val="es-ES"/>
        </w:rPr>
      </w:pPr>
    </w:p>
    <w:p w:rsidR="00AD051B" w:rsidRPr="00845503" w:rsidRDefault="00AD051B" w:rsidP="009C22C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ind w:hanging="720"/>
        <w:jc w:val="both"/>
        <w:rPr>
          <w:b/>
          <w:sz w:val="20"/>
          <w:szCs w:val="20"/>
          <w:lang w:val="es-CO"/>
        </w:rPr>
      </w:pPr>
      <w:r w:rsidRPr="00845503">
        <w:rPr>
          <w:b/>
          <w:sz w:val="20"/>
          <w:szCs w:val="20"/>
          <w:lang w:val="es-CO"/>
        </w:rPr>
        <w:lastRenderedPageBreak/>
        <w:t>Necesidad y proporcionalidad de la restricción en una sociedad democrática</w:t>
      </w:r>
    </w:p>
    <w:p w:rsidR="00AD051B" w:rsidRPr="00845503" w:rsidRDefault="00AD051B" w:rsidP="00AD051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i/>
          <w:sz w:val="20"/>
          <w:szCs w:val="20"/>
          <w:lang w:val="es-CO"/>
        </w:rPr>
      </w:pPr>
    </w:p>
    <w:p w:rsidR="00F250E9" w:rsidRPr="00845503" w:rsidRDefault="00AD051B"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hAnsi="Cambria"/>
          <w:sz w:val="20"/>
          <w:szCs w:val="20"/>
          <w:lang w:val="es-ES"/>
        </w:rPr>
        <w:t xml:space="preserve">La necesidad de la medida se determina al evaluar si las restricciones realizadas son indispensables para lograr el fin legítimo, o si existen medidas menos lesivas de los derechos. </w:t>
      </w:r>
      <w:r w:rsidR="00F250E9" w:rsidRPr="00845503">
        <w:rPr>
          <w:rFonts w:ascii="Cambria" w:hAnsi="Cambria"/>
          <w:sz w:val="20"/>
          <w:szCs w:val="20"/>
          <w:lang w:val="es-ES"/>
        </w:rPr>
        <w:t>Para que la restricción sea legítima, debe establecerse claramente la necesidad cierta e imperiosa de efectuar la limitación, es decir, que tal objetivo legítimo e imperativo no pueda alcanzarse razonablemente por un medio menos restrictivo de los derechos humanos. El requisito de “necesidad” también implica que no debe limitarse más allá de lo estrictamente indispensable para garantizar el pleno ejercicio y al</w:t>
      </w:r>
      <w:r w:rsidR="004B6717" w:rsidRPr="00845503">
        <w:rPr>
          <w:rFonts w:ascii="Cambria" w:hAnsi="Cambria"/>
          <w:sz w:val="20"/>
          <w:szCs w:val="20"/>
          <w:lang w:val="es-ES"/>
        </w:rPr>
        <w:t>cance de los derechos afectados</w:t>
      </w:r>
      <w:r w:rsidR="00196E63" w:rsidRPr="00845503">
        <w:rPr>
          <w:rStyle w:val="FootnoteReference"/>
          <w:rFonts w:ascii="Cambria" w:hAnsi="Cambria"/>
          <w:sz w:val="20"/>
          <w:szCs w:val="20"/>
          <w:lang w:val="es-ES"/>
        </w:rPr>
        <w:footnoteReference w:id="93"/>
      </w:r>
      <w:r w:rsidR="00F250E9" w:rsidRPr="00845503">
        <w:rPr>
          <w:rFonts w:ascii="Cambria" w:hAnsi="Cambria"/>
          <w:sz w:val="20"/>
          <w:szCs w:val="20"/>
          <w:lang w:val="es-ES"/>
        </w:rPr>
        <w:t>.</w:t>
      </w:r>
    </w:p>
    <w:p w:rsidR="00F250E9" w:rsidRPr="00845503" w:rsidRDefault="00F250E9" w:rsidP="00F250E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A049E3" w:rsidRPr="00845503" w:rsidRDefault="00F250E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hAnsi="Cambria"/>
          <w:sz w:val="20"/>
          <w:szCs w:val="20"/>
          <w:lang w:val="es-ES"/>
        </w:rPr>
        <w:t>Asimismo</w:t>
      </w:r>
      <w:r w:rsidR="00AD051B" w:rsidRPr="00845503">
        <w:rPr>
          <w:rFonts w:ascii="Cambria" w:hAnsi="Cambria"/>
          <w:sz w:val="20"/>
          <w:szCs w:val="20"/>
          <w:lang w:val="es-ES"/>
        </w:rPr>
        <w:t>, las restricciones deben ser estrictamente proporcionales al</w:t>
      </w:r>
      <w:r w:rsidRPr="00845503">
        <w:rPr>
          <w:rFonts w:ascii="Cambria" w:hAnsi="Cambria"/>
          <w:sz w:val="20"/>
          <w:szCs w:val="20"/>
          <w:lang w:val="es-ES"/>
        </w:rPr>
        <w:t xml:space="preserve"> fin legítimo que las justifica</w:t>
      </w:r>
      <w:r w:rsidR="00AD051B" w:rsidRPr="00845503">
        <w:rPr>
          <w:rFonts w:ascii="Cambria" w:hAnsi="Cambria"/>
          <w:sz w:val="20"/>
          <w:szCs w:val="20"/>
          <w:lang w:val="es-ES"/>
        </w:rPr>
        <w:t>. Para determinar la estricta proporcionalidad de la medida de limitación, ha de determinarse si el sacrificio de la libertad de expresión que ella conlleva resulta exagerado o desmedido frente a las ventajas que mediante ella se obtienen.</w:t>
      </w:r>
    </w:p>
    <w:p w:rsidR="00A049E3" w:rsidRPr="00845503" w:rsidRDefault="00A049E3" w:rsidP="00A049E3">
      <w:pPr>
        <w:pStyle w:val="ListParagraph"/>
        <w:rPr>
          <w:sz w:val="20"/>
          <w:szCs w:val="20"/>
          <w:lang w:val="es-CO"/>
        </w:rPr>
      </w:pPr>
    </w:p>
    <w:p w:rsidR="00B2483A" w:rsidRPr="00845503" w:rsidRDefault="00A049E3"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hAnsi="Cambria"/>
          <w:sz w:val="20"/>
          <w:szCs w:val="20"/>
          <w:lang w:val="es-CO"/>
        </w:rPr>
        <w:t>En la sentencia condenatoria</w:t>
      </w:r>
      <w:r w:rsidR="00A23285" w:rsidRPr="00845503">
        <w:rPr>
          <w:rFonts w:ascii="Cambria" w:hAnsi="Cambria"/>
          <w:sz w:val="20"/>
          <w:szCs w:val="20"/>
          <w:lang w:val="es-CO"/>
        </w:rPr>
        <w:t xml:space="preserve"> </w:t>
      </w:r>
      <w:r w:rsidRPr="00845503">
        <w:rPr>
          <w:rFonts w:ascii="Cambria" w:hAnsi="Cambria"/>
          <w:sz w:val="20"/>
          <w:szCs w:val="20"/>
          <w:lang w:val="es-CO"/>
        </w:rPr>
        <w:t>se afirma que los cuatro integrantes del grupo incitaron “a la sedición en sus dos formas (de palabra y por escrito)” y que sus escritos eran entendidos como  “actos preparatorios que se cometa el delito de sedición, concurriendo también el elemento de publicidad”.</w:t>
      </w:r>
    </w:p>
    <w:p w:rsidR="00B2483A" w:rsidRPr="00845503" w:rsidRDefault="00B2483A" w:rsidP="00B2483A">
      <w:pPr>
        <w:pStyle w:val="ListParagraph"/>
        <w:rPr>
          <w:sz w:val="20"/>
          <w:szCs w:val="20"/>
          <w:lang w:val="es-CO"/>
        </w:rPr>
      </w:pPr>
    </w:p>
    <w:p w:rsidR="00957A07" w:rsidRPr="00845503" w:rsidRDefault="00A049E3"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45503">
        <w:rPr>
          <w:rFonts w:ascii="Cambria" w:hAnsi="Cambria"/>
          <w:sz w:val="20"/>
          <w:szCs w:val="20"/>
          <w:lang w:val="es-CO"/>
        </w:rPr>
        <w:t xml:space="preserve">La CIDH advierte que </w:t>
      </w:r>
      <w:r w:rsidR="002F4DFF" w:rsidRPr="00845503">
        <w:rPr>
          <w:rFonts w:ascii="Cambria" w:hAnsi="Cambria"/>
          <w:sz w:val="20"/>
          <w:szCs w:val="20"/>
          <w:lang w:val="es-CO"/>
        </w:rPr>
        <w:t xml:space="preserve">no </w:t>
      </w:r>
      <w:r w:rsidR="002F4DFF" w:rsidRPr="00845503">
        <w:rPr>
          <w:rFonts w:ascii="Cambria" w:eastAsia="Times New Roman" w:hAnsi="Cambria" w:cs="Courier New"/>
          <w:sz w:val="20"/>
          <w:szCs w:val="20"/>
          <w:bdr w:val="none" w:sz="0" w:space="0" w:color="auto"/>
          <w:lang w:val="es-ES"/>
        </w:rPr>
        <w:t xml:space="preserve">consta en el expediente ni fue probado en el juicio que las presuntas </w:t>
      </w:r>
      <w:r w:rsidR="00192609" w:rsidRPr="00845503">
        <w:rPr>
          <w:rFonts w:ascii="Cambria" w:eastAsia="Times New Roman" w:hAnsi="Cambria" w:cs="Courier New"/>
          <w:sz w:val="20"/>
          <w:szCs w:val="20"/>
          <w:bdr w:val="none" w:sz="0" w:space="0" w:color="auto"/>
          <w:lang w:val="es-ES"/>
        </w:rPr>
        <w:t>víctimas</w:t>
      </w:r>
      <w:r w:rsidR="002F4DFF" w:rsidRPr="00845503">
        <w:rPr>
          <w:rFonts w:ascii="Cambria" w:eastAsia="Times New Roman" w:hAnsi="Cambria" w:cs="Courier New"/>
          <w:sz w:val="20"/>
          <w:szCs w:val="20"/>
          <w:bdr w:val="none" w:sz="0" w:space="0" w:color="auto"/>
          <w:lang w:val="es-ES"/>
        </w:rPr>
        <w:t xml:space="preserve"> hayan </w:t>
      </w:r>
      <w:r w:rsidR="00EF556A" w:rsidRPr="00845503">
        <w:rPr>
          <w:rFonts w:ascii="Cambria" w:eastAsia="Times New Roman" w:hAnsi="Cambria" w:cs="Courier New"/>
          <w:sz w:val="20"/>
          <w:szCs w:val="20"/>
          <w:bdr w:val="none" w:sz="0" w:space="0" w:color="auto"/>
          <w:lang w:val="es-ES"/>
        </w:rPr>
        <w:t>cometido alguna</w:t>
      </w:r>
      <w:r w:rsidR="002F4DFF" w:rsidRPr="00845503">
        <w:rPr>
          <w:rFonts w:ascii="Cambria" w:eastAsia="Times New Roman" w:hAnsi="Cambria" w:cs="Courier New"/>
          <w:sz w:val="20"/>
          <w:szCs w:val="20"/>
          <w:bdr w:val="none" w:sz="0" w:space="0" w:color="auto"/>
          <w:lang w:val="es-ES"/>
        </w:rPr>
        <w:t xml:space="preserve"> acción violenta </w:t>
      </w:r>
      <w:r w:rsidR="00EF556A" w:rsidRPr="00845503">
        <w:rPr>
          <w:rFonts w:ascii="Cambria" w:eastAsia="Times New Roman" w:hAnsi="Cambria" w:cs="Courier New"/>
          <w:sz w:val="20"/>
          <w:szCs w:val="20"/>
          <w:bdr w:val="none" w:sz="0" w:space="0" w:color="auto"/>
          <w:lang w:val="es-ES"/>
        </w:rPr>
        <w:t xml:space="preserve">que haya amenazado o puesto en riesgo real </w:t>
      </w:r>
      <w:r w:rsidR="00C17D67" w:rsidRPr="00845503">
        <w:rPr>
          <w:rFonts w:ascii="Cambria" w:eastAsia="Times New Roman" w:hAnsi="Cambria" w:cs="Courier New"/>
          <w:sz w:val="20"/>
          <w:szCs w:val="20"/>
          <w:bdr w:val="none" w:sz="0" w:space="0" w:color="auto"/>
          <w:lang w:val="es-ES"/>
        </w:rPr>
        <w:t>los valores fundamentales sobre la base de los cuales existe una sociedad democrática. Tampoco se prueba que expresaron sus</w:t>
      </w:r>
      <w:r w:rsidR="00EF556A" w:rsidRPr="00845503">
        <w:rPr>
          <w:rFonts w:ascii="Cambria" w:eastAsia="Times New Roman" w:hAnsi="Cambria" w:cs="Courier New"/>
          <w:sz w:val="20"/>
          <w:szCs w:val="20"/>
          <w:bdr w:val="none" w:sz="0" w:space="0" w:color="auto"/>
          <w:lang w:val="es-ES"/>
        </w:rPr>
        <w:t xml:space="preserve"> opiniones con la clara intención de in</w:t>
      </w:r>
      <w:r w:rsidR="00D26693" w:rsidRPr="00845503">
        <w:rPr>
          <w:rFonts w:ascii="Cambria" w:eastAsia="Times New Roman" w:hAnsi="Cambria" w:cs="Courier New"/>
          <w:sz w:val="20"/>
          <w:szCs w:val="20"/>
          <w:bdr w:val="none" w:sz="0" w:space="0" w:color="auto"/>
          <w:lang w:val="es-ES"/>
        </w:rPr>
        <w:t>citar</w:t>
      </w:r>
      <w:r w:rsidR="002F4DFF" w:rsidRPr="00845503">
        <w:rPr>
          <w:rFonts w:ascii="Cambria" w:eastAsia="Times New Roman" w:hAnsi="Cambria" w:cs="Courier New"/>
          <w:sz w:val="20"/>
          <w:szCs w:val="20"/>
          <w:bdr w:val="none" w:sz="0" w:space="0" w:color="auto"/>
          <w:lang w:val="es-ES"/>
        </w:rPr>
        <w:t xml:space="preserve"> a otros a realizar </w:t>
      </w:r>
      <w:r w:rsidR="00EF556A" w:rsidRPr="00845503">
        <w:rPr>
          <w:rFonts w:ascii="Cambria" w:eastAsia="Times New Roman" w:hAnsi="Cambria" w:cs="Courier New"/>
          <w:sz w:val="20"/>
          <w:szCs w:val="20"/>
          <w:bdr w:val="none" w:sz="0" w:space="0" w:color="auto"/>
          <w:lang w:val="es-ES"/>
        </w:rPr>
        <w:t xml:space="preserve">ese tipo </w:t>
      </w:r>
      <w:r w:rsidR="002F4DFF" w:rsidRPr="00845503">
        <w:rPr>
          <w:rFonts w:ascii="Cambria" w:eastAsia="Times New Roman" w:hAnsi="Cambria" w:cs="Courier New"/>
          <w:sz w:val="20"/>
          <w:szCs w:val="20"/>
          <w:bdr w:val="none" w:sz="0" w:space="0" w:color="auto"/>
          <w:lang w:val="es-ES"/>
        </w:rPr>
        <w:t>acciones violentas</w:t>
      </w:r>
      <w:r w:rsidR="00C17D67" w:rsidRPr="00845503">
        <w:rPr>
          <w:rFonts w:ascii="Cambria" w:hAnsi="Cambria"/>
          <w:sz w:val="20"/>
          <w:szCs w:val="20"/>
          <w:lang w:val="es-ES"/>
        </w:rPr>
        <w:t xml:space="preserve"> y </w:t>
      </w:r>
      <w:r w:rsidR="00CE238D" w:rsidRPr="00845503">
        <w:rPr>
          <w:rFonts w:ascii="Cambria" w:hAnsi="Cambria"/>
          <w:sz w:val="20"/>
          <w:szCs w:val="20"/>
          <w:lang w:val="es-ES"/>
        </w:rPr>
        <w:t xml:space="preserve">que tenían </w:t>
      </w:r>
      <w:r w:rsidR="00C17D67" w:rsidRPr="00845503">
        <w:rPr>
          <w:rFonts w:ascii="Cambria" w:hAnsi="Cambria"/>
          <w:sz w:val="20"/>
          <w:szCs w:val="20"/>
          <w:lang w:val="es-ES"/>
        </w:rPr>
        <w:t xml:space="preserve">la posibilidad actual, real y efectiva de lograr </w:t>
      </w:r>
      <w:r w:rsidR="00CE238D" w:rsidRPr="00845503">
        <w:rPr>
          <w:rFonts w:ascii="Cambria" w:hAnsi="Cambria"/>
          <w:sz w:val="20"/>
          <w:szCs w:val="20"/>
          <w:lang w:val="es-ES"/>
        </w:rPr>
        <w:t>ese</w:t>
      </w:r>
      <w:r w:rsidR="00C17D67" w:rsidRPr="00845503">
        <w:rPr>
          <w:rFonts w:ascii="Cambria" w:hAnsi="Cambria"/>
          <w:sz w:val="20"/>
          <w:szCs w:val="20"/>
          <w:lang w:val="es-ES"/>
        </w:rPr>
        <w:t xml:space="preserve"> objetivo</w:t>
      </w:r>
      <w:r w:rsidR="00CE238D" w:rsidRPr="00845503">
        <w:rPr>
          <w:rFonts w:ascii="Cambria" w:hAnsi="Cambria"/>
          <w:sz w:val="20"/>
          <w:szCs w:val="20"/>
          <w:lang w:val="es-ES"/>
        </w:rPr>
        <w:t xml:space="preserve"> violento</w:t>
      </w:r>
      <w:r w:rsidR="00C17D67" w:rsidRPr="00845503">
        <w:rPr>
          <w:rStyle w:val="FootnoteReference"/>
          <w:rFonts w:ascii="Cambria" w:hAnsi="Cambria"/>
          <w:sz w:val="20"/>
          <w:szCs w:val="20"/>
          <w:lang w:val="es-ES"/>
        </w:rPr>
        <w:footnoteReference w:id="94"/>
      </w:r>
      <w:r w:rsidR="002F4DFF" w:rsidRPr="00845503">
        <w:rPr>
          <w:rFonts w:ascii="Cambria" w:eastAsia="Times New Roman" w:hAnsi="Cambria" w:cs="Courier New"/>
          <w:sz w:val="20"/>
          <w:szCs w:val="20"/>
          <w:bdr w:val="none" w:sz="0" w:space="0" w:color="auto"/>
          <w:lang w:val="es-ES"/>
        </w:rPr>
        <w:t>. En lugar de e</w:t>
      </w:r>
      <w:r w:rsidR="000F7984" w:rsidRPr="00845503">
        <w:rPr>
          <w:rFonts w:ascii="Cambria" w:eastAsia="Times New Roman" w:hAnsi="Cambria" w:cs="Courier New"/>
          <w:sz w:val="20"/>
          <w:szCs w:val="20"/>
          <w:bdr w:val="none" w:sz="0" w:space="0" w:color="auto"/>
          <w:lang w:val="es-ES"/>
        </w:rPr>
        <w:t>llo</w:t>
      </w:r>
      <w:r w:rsidR="002F4DFF" w:rsidRPr="00845503">
        <w:rPr>
          <w:rFonts w:ascii="Cambria" w:eastAsia="Times New Roman" w:hAnsi="Cambria" w:cs="Courier New"/>
          <w:sz w:val="20"/>
          <w:szCs w:val="20"/>
          <w:bdr w:val="none" w:sz="0" w:space="0" w:color="auto"/>
          <w:lang w:val="es-ES"/>
        </w:rPr>
        <w:t xml:space="preserve">, </w:t>
      </w:r>
      <w:r w:rsidR="000F7984" w:rsidRPr="00845503">
        <w:rPr>
          <w:rFonts w:ascii="Cambria" w:eastAsia="Times New Roman" w:hAnsi="Cambria" w:cs="Courier New"/>
          <w:sz w:val="20"/>
          <w:szCs w:val="20"/>
          <w:bdr w:val="none" w:sz="0" w:space="0" w:color="auto"/>
          <w:lang w:val="es-ES"/>
        </w:rPr>
        <w:t>sólo</w:t>
      </w:r>
      <w:r w:rsidR="002F4DFF" w:rsidRPr="00845503">
        <w:rPr>
          <w:rFonts w:ascii="Cambria" w:eastAsia="Times New Roman" w:hAnsi="Cambria" w:cs="Courier New"/>
          <w:sz w:val="20"/>
          <w:szCs w:val="20"/>
          <w:bdr w:val="none" w:sz="0" w:space="0" w:color="auto"/>
          <w:lang w:val="es-ES"/>
        </w:rPr>
        <w:t xml:space="preserve"> </w:t>
      </w:r>
      <w:r w:rsidR="00A31849" w:rsidRPr="00845503">
        <w:rPr>
          <w:rFonts w:ascii="Cambria" w:eastAsia="Times New Roman" w:hAnsi="Cambria" w:cs="Courier New"/>
          <w:sz w:val="20"/>
          <w:szCs w:val="20"/>
          <w:bdr w:val="none" w:sz="0" w:space="0" w:color="auto"/>
          <w:lang w:val="es-ES"/>
        </w:rPr>
        <w:t xml:space="preserve">se demostró que los cuatro detenidos </w:t>
      </w:r>
      <w:r w:rsidR="002F4DFF" w:rsidRPr="00845503">
        <w:rPr>
          <w:rFonts w:ascii="Cambria" w:eastAsia="Times New Roman" w:hAnsi="Cambria" w:cs="Courier New"/>
          <w:sz w:val="20"/>
          <w:szCs w:val="20"/>
          <w:bdr w:val="none" w:sz="0" w:space="0" w:color="auto"/>
          <w:lang w:val="es-ES"/>
        </w:rPr>
        <w:t>expresa</w:t>
      </w:r>
      <w:r w:rsidR="000F7984" w:rsidRPr="00845503">
        <w:rPr>
          <w:rFonts w:ascii="Cambria" w:eastAsia="Times New Roman" w:hAnsi="Cambria" w:cs="Courier New"/>
          <w:sz w:val="20"/>
          <w:szCs w:val="20"/>
          <w:bdr w:val="none" w:sz="0" w:space="0" w:color="auto"/>
          <w:lang w:val="es-ES"/>
        </w:rPr>
        <w:t xml:space="preserve">ban </w:t>
      </w:r>
      <w:r w:rsidR="00CE238D" w:rsidRPr="00845503">
        <w:rPr>
          <w:rFonts w:ascii="Cambria" w:eastAsia="Times New Roman" w:hAnsi="Cambria" w:cs="Courier New"/>
          <w:sz w:val="20"/>
          <w:szCs w:val="20"/>
          <w:bdr w:val="none" w:sz="0" w:space="0" w:color="auto"/>
          <w:lang w:val="es-ES"/>
        </w:rPr>
        <w:t>opiniones</w:t>
      </w:r>
      <w:r w:rsidR="00A31849" w:rsidRPr="00845503">
        <w:rPr>
          <w:rFonts w:ascii="Cambria" w:eastAsia="Times New Roman" w:hAnsi="Cambria" w:cs="Courier New"/>
          <w:sz w:val="20"/>
          <w:szCs w:val="20"/>
          <w:bdr w:val="none" w:sz="0" w:space="0" w:color="auto"/>
          <w:lang w:val="es-ES"/>
        </w:rPr>
        <w:t xml:space="preserve"> </w:t>
      </w:r>
      <w:r w:rsidR="002F4DFF" w:rsidRPr="00845503">
        <w:rPr>
          <w:rFonts w:ascii="Cambria" w:eastAsia="Times New Roman" w:hAnsi="Cambria" w:cs="Courier New"/>
          <w:sz w:val="20"/>
          <w:szCs w:val="20"/>
          <w:bdr w:val="none" w:sz="0" w:space="0" w:color="auto"/>
          <w:lang w:val="es-ES"/>
        </w:rPr>
        <w:t xml:space="preserve">políticas y </w:t>
      </w:r>
      <w:r w:rsidR="00A31849" w:rsidRPr="00845503">
        <w:rPr>
          <w:rFonts w:ascii="Cambria" w:eastAsia="Times New Roman" w:hAnsi="Cambria" w:cs="Courier New"/>
          <w:sz w:val="20"/>
          <w:szCs w:val="20"/>
          <w:bdr w:val="none" w:sz="0" w:space="0" w:color="auto"/>
          <w:lang w:val="es-ES"/>
        </w:rPr>
        <w:t xml:space="preserve">criticaban a las </w:t>
      </w:r>
      <w:r w:rsidR="00C17D67" w:rsidRPr="00845503">
        <w:rPr>
          <w:rFonts w:ascii="Cambria" w:eastAsia="Times New Roman" w:hAnsi="Cambria" w:cs="Courier New"/>
          <w:sz w:val="20"/>
          <w:szCs w:val="20"/>
          <w:bdr w:val="none" w:sz="0" w:space="0" w:color="auto"/>
          <w:lang w:val="es-ES"/>
        </w:rPr>
        <w:t>acciones gubernamentales</w:t>
      </w:r>
      <w:r w:rsidR="00B55544" w:rsidRPr="00845503">
        <w:rPr>
          <w:rFonts w:ascii="Cambria" w:eastAsia="Times New Roman" w:hAnsi="Cambria" w:cs="Courier New"/>
          <w:sz w:val="20"/>
          <w:szCs w:val="20"/>
          <w:bdr w:val="none" w:sz="0" w:space="0" w:color="auto"/>
          <w:lang w:val="es-ES"/>
        </w:rPr>
        <w:t xml:space="preserve"> y que difundieron sus opiniones  a través de medios extranjeros</w:t>
      </w:r>
      <w:r w:rsidR="002F4DFF" w:rsidRPr="00845503">
        <w:rPr>
          <w:rFonts w:ascii="Cambria" w:eastAsia="Times New Roman" w:hAnsi="Cambria" w:cs="Courier New"/>
          <w:sz w:val="20"/>
          <w:szCs w:val="20"/>
          <w:bdr w:val="none" w:sz="0" w:space="0" w:color="auto"/>
          <w:lang w:val="es-ES"/>
        </w:rPr>
        <w:t xml:space="preserve">. </w:t>
      </w:r>
      <w:r w:rsidR="00A31849" w:rsidRPr="00845503">
        <w:rPr>
          <w:rFonts w:ascii="Cambria" w:eastAsia="Times New Roman" w:hAnsi="Cambria" w:cs="Courier New"/>
          <w:sz w:val="20"/>
          <w:szCs w:val="20"/>
          <w:bdr w:val="none" w:sz="0" w:space="0" w:color="auto"/>
          <w:lang w:val="es-ES"/>
        </w:rPr>
        <w:t>Para ser necesaria</w:t>
      </w:r>
      <w:r w:rsidR="00C17D67" w:rsidRPr="00845503">
        <w:rPr>
          <w:rFonts w:ascii="Cambria" w:eastAsia="Times New Roman" w:hAnsi="Cambria" w:cs="Courier New"/>
          <w:sz w:val="20"/>
          <w:szCs w:val="20"/>
          <w:bdr w:val="none" w:sz="0" w:space="0" w:color="auto"/>
          <w:lang w:val="es-ES"/>
        </w:rPr>
        <w:t xml:space="preserve">, la </w:t>
      </w:r>
      <w:r w:rsidR="00A31849" w:rsidRPr="00845503">
        <w:rPr>
          <w:rFonts w:ascii="Cambria" w:eastAsia="Times New Roman" w:hAnsi="Cambria" w:cs="Courier New"/>
          <w:sz w:val="20"/>
          <w:szCs w:val="20"/>
          <w:bdr w:val="none" w:sz="0" w:space="0" w:color="auto"/>
          <w:lang w:val="es-ES"/>
        </w:rPr>
        <w:t>restricción impuesta</w:t>
      </w:r>
      <w:r w:rsidR="00C17D67" w:rsidRPr="00845503">
        <w:rPr>
          <w:rFonts w:ascii="Cambria" w:eastAsia="Times New Roman" w:hAnsi="Cambria" w:cs="Courier New"/>
          <w:sz w:val="20"/>
          <w:szCs w:val="20"/>
          <w:bdr w:val="none" w:sz="0" w:space="0" w:color="auto"/>
          <w:lang w:val="es-ES"/>
        </w:rPr>
        <w:t xml:space="preserve"> deb</w:t>
      </w:r>
      <w:r w:rsidR="00A31849" w:rsidRPr="00845503">
        <w:rPr>
          <w:rFonts w:ascii="Cambria" w:eastAsia="Times New Roman" w:hAnsi="Cambria" w:cs="Courier New"/>
          <w:sz w:val="20"/>
          <w:szCs w:val="20"/>
          <w:bdr w:val="none" w:sz="0" w:space="0" w:color="auto"/>
          <w:lang w:val="es-ES"/>
        </w:rPr>
        <w:t>ía</w:t>
      </w:r>
      <w:r w:rsidR="00C17D67" w:rsidRPr="00845503">
        <w:rPr>
          <w:rFonts w:ascii="Cambria" w:hAnsi="Cambria"/>
          <w:sz w:val="20"/>
          <w:szCs w:val="20"/>
          <w:lang w:val="es-ES"/>
        </w:rPr>
        <w:t xml:space="preserve"> tener como presupuesto la prueba actual, cierta, objetiva y contundente de que </w:t>
      </w:r>
      <w:r w:rsidR="00A31849" w:rsidRPr="00845503">
        <w:rPr>
          <w:rFonts w:ascii="Cambria" w:hAnsi="Cambria"/>
          <w:sz w:val="20"/>
          <w:szCs w:val="20"/>
          <w:lang w:val="es-ES"/>
        </w:rPr>
        <w:t>las presuntas víctimas</w:t>
      </w:r>
      <w:r w:rsidR="00C17D67" w:rsidRPr="00845503">
        <w:rPr>
          <w:rFonts w:ascii="Cambria" w:hAnsi="Cambria"/>
          <w:sz w:val="20"/>
          <w:szCs w:val="20"/>
          <w:lang w:val="es-ES"/>
        </w:rPr>
        <w:t xml:space="preserve"> no estaba</w:t>
      </w:r>
      <w:r w:rsidR="00A31849" w:rsidRPr="00845503">
        <w:rPr>
          <w:rFonts w:ascii="Cambria" w:hAnsi="Cambria"/>
          <w:sz w:val="20"/>
          <w:szCs w:val="20"/>
          <w:lang w:val="es-ES"/>
        </w:rPr>
        <w:t>n</w:t>
      </w:r>
      <w:r w:rsidR="00C17D67" w:rsidRPr="00845503">
        <w:rPr>
          <w:rFonts w:ascii="Cambria" w:hAnsi="Cambria"/>
          <w:sz w:val="20"/>
          <w:szCs w:val="20"/>
          <w:lang w:val="es-ES"/>
        </w:rPr>
        <w:t xml:space="preserve"> simplemente manifestando una opinión —por dura, injusta o </w:t>
      </w:r>
      <w:r w:rsidR="00A31849" w:rsidRPr="00845503">
        <w:rPr>
          <w:rFonts w:ascii="Cambria" w:hAnsi="Cambria"/>
          <w:sz w:val="20"/>
          <w:szCs w:val="20"/>
          <w:lang w:val="es-ES"/>
        </w:rPr>
        <w:t>controversial</w:t>
      </w:r>
      <w:r w:rsidR="00C17D67" w:rsidRPr="00845503">
        <w:rPr>
          <w:rFonts w:ascii="Cambria" w:hAnsi="Cambria"/>
          <w:sz w:val="20"/>
          <w:szCs w:val="20"/>
          <w:lang w:val="es-ES"/>
        </w:rPr>
        <w:t xml:space="preserve"> que ésta sea—, sino que tenía la clara intención de cometer un crimen</w:t>
      </w:r>
      <w:r w:rsidR="00B55544" w:rsidRPr="00845503">
        <w:rPr>
          <w:rStyle w:val="FootnoteReference"/>
          <w:rFonts w:ascii="Cambria" w:hAnsi="Cambria"/>
          <w:sz w:val="20"/>
          <w:szCs w:val="20"/>
          <w:lang w:val="es-ES"/>
        </w:rPr>
        <w:footnoteReference w:id="95"/>
      </w:r>
      <w:r w:rsidR="00C17D67" w:rsidRPr="00845503">
        <w:rPr>
          <w:rFonts w:ascii="Cambria" w:hAnsi="Cambria"/>
          <w:sz w:val="20"/>
          <w:szCs w:val="20"/>
          <w:lang w:val="es-ES"/>
        </w:rPr>
        <w:t xml:space="preserve">. </w:t>
      </w:r>
      <w:r w:rsidR="007A18DF" w:rsidRPr="00845503">
        <w:rPr>
          <w:rFonts w:ascii="Cambria" w:hAnsi="Cambria"/>
          <w:sz w:val="20"/>
          <w:szCs w:val="20"/>
          <w:lang w:val="es-CO"/>
        </w:rPr>
        <w:t>Cab</w:t>
      </w:r>
      <w:r w:rsidR="00237F17" w:rsidRPr="00845503">
        <w:rPr>
          <w:rFonts w:ascii="Cambria" w:hAnsi="Cambria"/>
          <w:sz w:val="20"/>
          <w:szCs w:val="20"/>
          <w:lang w:val="es-CO"/>
        </w:rPr>
        <w:t xml:space="preserve">e recordar </w:t>
      </w:r>
      <w:r w:rsidR="007A18DF" w:rsidRPr="00845503">
        <w:rPr>
          <w:rFonts w:ascii="Cambria" w:hAnsi="Cambria"/>
          <w:sz w:val="20"/>
          <w:szCs w:val="20"/>
          <w:lang w:val="es-CO"/>
        </w:rPr>
        <w:t>que</w:t>
      </w:r>
      <w:r w:rsidR="00237F17" w:rsidRPr="00845503">
        <w:rPr>
          <w:rFonts w:ascii="Cambria" w:hAnsi="Cambria"/>
          <w:sz w:val="20"/>
          <w:szCs w:val="20"/>
          <w:lang w:val="es-CO"/>
        </w:rPr>
        <w:t>,</w:t>
      </w:r>
      <w:r w:rsidR="007A18DF" w:rsidRPr="00845503">
        <w:rPr>
          <w:rFonts w:ascii="Cambria" w:hAnsi="Cambria"/>
          <w:sz w:val="20"/>
          <w:szCs w:val="20"/>
          <w:lang w:val="es-CO"/>
        </w:rPr>
        <w:t xml:space="preserve"> </w:t>
      </w:r>
      <w:r w:rsidR="007A18DF" w:rsidRPr="00845503">
        <w:rPr>
          <w:rFonts w:ascii="Cambria" w:eastAsia="Times New Roman" w:hAnsi="Cambria" w:cs="Verdana"/>
          <w:sz w:val="20"/>
          <w:szCs w:val="20"/>
          <w:lang w:val="es-US" w:eastAsia="es-US"/>
        </w:rPr>
        <w:t xml:space="preserve">como ha indicado la jurisprudencia interamericana, las opiniones no son susceptibles de juicios de veracidad y no </w:t>
      </w:r>
      <w:r w:rsidR="00CE238D" w:rsidRPr="00845503">
        <w:rPr>
          <w:rFonts w:ascii="Cambria" w:eastAsia="Times New Roman" w:hAnsi="Cambria" w:cs="Verdana"/>
          <w:sz w:val="20"/>
          <w:szCs w:val="20"/>
          <w:lang w:val="es-US" w:eastAsia="es-US"/>
        </w:rPr>
        <w:t>deben estar</w:t>
      </w:r>
      <w:r w:rsidR="007A18DF" w:rsidRPr="00845503">
        <w:rPr>
          <w:rFonts w:ascii="Cambria" w:eastAsia="Times New Roman" w:hAnsi="Cambria" w:cs="Verdana"/>
          <w:sz w:val="20"/>
          <w:szCs w:val="20"/>
          <w:lang w:val="es-US" w:eastAsia="es-US"/>
        </w:rPr>
        <w:t xml:space="preserve"> sujetas a sanción alguna</w:t>
      </w:r>
      <w:r w:rsidR="007A18DF" w:rsidRPr="00845503">
        <w:rPr>
          <w:rStyle w:val="FootnoteReference"/>
          <w:rFonts w:ascii="Cambria" w:eastAsia="Times New Roman" w:hAnsi="Cambria" w:cs="Verdana"/>
          <w:sz w:val="20"/>
          <w:szCs w:val="20"/>
          <w:lang w:val="es-US" w:eastAsia="es-US"/>
        </w:rPr>
        <w:footnoteReference w:id="96"/>
      </w:r>
      <w:r w:rsidR="007A18DF" w:rsidRPr="00845503">
        <w:rPr>
          <w:rFonts w:ascii="Cambria" w:eastAsia="Times New Roman" w:hAnsi="Cambria" w:cs="Verdana"/>
          <w:sz w:val="20"/>
          <w:szCs w:val="20"/>
          <w:lang w:val="es-US" w:eastAsia="es-US"/>
        </w:rPr>
        <w:t>.</w:t>
      </w:r>
    </w:p>
    <w:p w:rsidR="00957A07" w:rsidRPr="00845503" w:rsidRDefault="00957A07" w:rsidP="00957A07">
      <w:pPr>
        <w:pStyle w:val="ListParagraph"/>
        <w:rPr>
          <w:sz w:val="20"/>
          <w:szCs w:val="20"/>
          <w:lang w:val="es-CO"/>
        </w:rPr>
      </w:pPr>
    </w:p>
    <w:p w:rsidR="0045169E" w:rsidRPr="00845503" w:rsidRDefault="00A23285"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sz w:val="20"/>
          <w:szCs w:val="20"/>
          <w:lang w:val="es-CO"/>
        </w:rPr>
        <w:t>La restricción impuesta en este caso tampoco puede ser considerada proporcional.</w:t>
      </w:r>
      <w:r w:rsidR="00292A05" w:rsidRPr="00845503">
        <w:rPr>
          <w:rFonts w:ascii="Cambria" w:hAnsi="Cambria"/>
          <w:sz w:val="20"/>
          <w:szCs w:val="20"/>
          <w:lang w:val="es-CO"/>
        </w:rPr>
        <w:t xml:space="preserve"> </w:t>
      </w:r>
      <w:r w:rsidRPr="00845503">
        <w:rPr>
          <w:rFonts w:ascii="Cambria" w:hAnsi="Cambria"/>
          <w:sz w:val="20"/>
          <w:szCs w:val="20"/>
          <w:lang w:val="es-CO"/>
        </w:rPr>
        <w:t>La i</w:t>
      </w:r>
      <w:r w:rsidR="00292A05" w:rsidRPr="00845503">
        <w:rPr>
          <w:rFonts w:ascii="Cambria" w:hAnsi="Cambria"/>
          <w:sz w:val="20"/>
          <w:szCs w:val="20"/>
          <w:lang w:val="es-CO"/>
        </w:rPr>
        <w:t xml:space="preserve">mposición </w:t>
      </w:r>
      <w:r w:rsidR="00081F32" w:rsidRPr="00845503">
        <w:rPr>
          <w:rFonts w:ascii="Cambria" w:hAnsi="Cambria"/>
          <w:sz w:val="20"/>
          <w:szCs w:val="20"/>
          <w:lang w:val="es-CO"/>
        </w:rPr>
        <w:t xml:space="preserve">de </w:t>
      </w:r>
      <w:r w:rsidR="003142C9" w:rsidRPr="00845503">
        <w:rPr>
          <w:rFonts w:ascii="Cambria" w:hAnsi="Cambria" w:cs="Verdana"/>
          <w:sz w:val="20"/>
          <w:szCs w:val="20"/>
          <w:lang w:val="es-CO"/>
        </w:rPr>
        <w:t>la detención preventiva</w:t>
      </w:r>
      <w:r w:rsidR="00292A05" w:rsidRPr="00845503">
        <w:rPr>
          <w:rFonts w:ascii="Cambria" w:hAnsi="Cambria" w:cs="Verdana"/>
          <w:sz w:val="20"/>
          <w:szCs w:val="20"/>
          <w:lang w:val="es-CO"/>
        </w:rPr>
        <w:t xml:space="preserve"> prologada por 15 meses</w:t>
      </w:r>
      <w:r w:rsidR="003142C9" w:rsidRPr="00845503">
        <w:rPr>
          <w:rFonts w:ascii="Cambria" w:hAnsi="Cambria" w:cs="Verdana"/>
          <w:sz w:val="20"/>
          <w:szCs w:val="20"/>
          <w:lang w:val="es-CO"/>
        </w:rPr>
        <w:t>, l</w:t>
      </w:r>
      <w:r w:rsidR="003142C9" w:rsidRPr="00845503">
        <w:rPr>
          <w:rFonts w:ascii="Cambria" w:hAnsi="Cambria"/>
          <w:sz w:val="20"/>
          <w:szCs w:val="20"/>
          <w:lang w:val="es-CO"/>
        </w:rPr>
        <w:t>a confiscación de artículos como máquinas de escribir, computadores, papel, lápices y demás materiales utilizados para la redacción y distribución de documentos calificados como ¨</w:t>
      </w:r>
      <w:r w:rsidR="00192609" w:rsidRPr="00845503">
        <w:rPr>
          <w:rFonts w:ascii="Cambria" w:hAnsi="Cambria"/>
          <w:sz w:val="20"/>
          <w:szCs w:val="20"/>
          <w:lang w:val="es-CO"/>
        </w:rPr>
        <w:t>subversivos</w:t>
      </w:r>
      <w:r w:rsidR="003142C9" w:rsidRPr="00845503">
        <w:rPr>
          <w:rFonts w:ascii="Cambria" w:hAnsi="Cambria"/>
          <w:sz w:val="20"/>
          <w:szCs w:val="20"/>
          <w:lang w:val="es-CO"/>
        </w:rPr>
        <w:t xml:space="preserve">¨,  la apertura de un proceso penal </w:t>
      </w:r>
      <w:r w:rsidR="00292A05" w:rsidRPr="00845503">
        <w:rPr>
          <w:rFonts w:ascii="Cambria" w:hAnsi="Cambria"/>
          <w:sz w:val="20"/>
          <w:szCs w:val="20"/>
          <w:lang w:val="es-CO"/>
        </w:rPr>
        <w:t>por el delito de sedición</w:t>
      </w:r>
      <w:r w:rsidR="003142C9" w:rsidRPr="00845503">
        <w:rPr>
          <w:rFonts w:ascii="Cambria" w:hAnsi="Cambria"/>
          <w:sz w:val="20"/>
          <w:szCs w:val="20"/>
          <w:lang w:val="es-CO"/>
        </w:rPr>
        <w:t xml:space="preserve">, la consecuente imposición de severas penas de prisión y demás accesorias en un caso como el presente, </w:t>
      </w:r>
      <w:r w:rsidRPr="00845503">
        <w:rPr>
          <w:rFonts w:ascii="Cambria" w:hAnsi="Cambria"/>
          <w:sz w:val="20"/>
          <w:szCs w:val="20"/>
          <w:lang w:val="es-CO"/>
        </w:rPr>
        <w:t>resultan a todas luces desmedidas, de conformidad con los hechos del caso</w:t>
      </w:r>
      <w:r w:rsidR="003142C9" w:rsidRPr="00845503">
        <w:rPr>
          <w:rFonts w:ascii="Cambria" w:hAnsi="Cambria"/>
          <w:sz w:val="20"/>
          <w:szCs w:val="20"/>
          <w:lang w:val="es-CO"/>
        </w:rPr>
        <w:t xml:space="preserve">. </w:t>
      </w:r>
      <w:r w:rsidRPr="00845503">
        <w:rPr>
          <w:rFonts w:ascii="Cambria" w:hAnsi="Cambria"/>
          <w:sz w:val="20"/>
          <w:szCs w:val="20"/>
          <w:lang w:val="es-CO"/>
        </w:rPr>
        <w:t>En particular, l</w:t>
      </w:r>
      <w:r w:rsidR="00192609" w:rsidRPr="00845503">
        <w:rPr>
          <w:rFonts w:ascii="Cambria" w:eastAsiaTheme="minorHAnsi" w:hAnsi="Cambria"/>
          <w:sz w:val="20"/>
          <w:szCs w:val="20"/>
          <w:u w:color="000000"/>
          <w:lang w:val="es-ES"/>
        </w:rPr>
        <w:t>a Comisión considera que</w:t>
      </w:r>
      <w:r w:rsidR="000F7984" w:rsidRPr="00845503">
        <w:rPr>
          <w:rFonts w:ascii="Cambria" w:eastAsiaTheme="minorHAnsi" w:hAnsi="Cambria"/>
          <w:sz w:val="20"/>
          <w:szCs w:val="20"/>
          <w:u w:color="000000"/>
          <w:lang w:val="es-ES"/>
        </w:rPr>
        <w:t xml:space="preserve"> e</w:t>
      </w:r>
      <w:r w:rsidR="00292A05" w:rsidRPr="00845503">
        <w:rPr>
          <w:rFonts w:ascii="Cambria" w:eastAsiaTheme="minorHAnsi" w:hAnsi="Cambria"/>
          <w:sz w:val="20"/>
          <w:szCs w:val="20"/>
          <w:u w:color="000000"/>
          <w:lang w:val="es-ES"/>
        </w:rPr>
        <w:t xml:space="preserve">l proceso y sentencia condenatoria tuvo </w:t>
      </w:r>
      <w:r w:rsidR="00E327BF" w:rsidRPr="00845503">
        <w:rPr>
          <w:rFonts w:ascii="Cambria" w:hAnsi="Cambria"/>
          <w:sz w:val="20"/>
          <w:szCs w:val="20"/>
          <w:u w:color="000000"/>
          <w:lang w:val="es-ES" w:eastAsia="es-AR"/>
        </w:rPr>
        <w:t xml:space="preserve">un efecto sistémico sobre las condiciones generales para </w:t>
      </w:r>
      <w:r w:rsidR="00292A05" w:rsidRPr="00845503">
        <w:rPr>
          <w:rFonts w:ascii="Cambria" w:hAnsi="Cambria"/>
          <w:sz w:val="20"/>
          <w:szCs w:val="20"/>
          <w:u w:color="000000"/>
          <w:lang w:val="es-ES" w:eastAsia="es-AR"/>
        </w:rPr>
        <w:t>el ejercicio de los derechos afectados.</w:t>
      </w:r>
      <w:r w:rsidR="00E327BF" w:rsidRPr="00845503">
        <w:rPr>
          <w:rFonts w:ascii="Cambria" w:hAnsi="Cambria"/>
          <w:sz w:val="20"/>
          <w:szCs w:val="20"/>
          <w:u w:color="000000"/>
          <w:lang w:val="es-ES" w:eastAsia="es-AR"/>
        </w:rPr>
        <w:t xml:space="preserve"> Además de la dimensión individual del impacto de estas medidas, la criminalización </w:t>
      </w:r>
      <w:r w:rsidR="00192609" w:rsidRPr="00845503">
        <w:rPr>
          <w:rFonts w:ascii="Cambria" w:hAnsi="Cambria"/>
          <w:sz w:val="20"/>
          <w:szCs w:val="20"/>
          <w:u w:color="000000"/>
          <w:lang w:val="es-ES" w:eastAsia="es-AR"/>
        </w:rPr>
        <w:t xml:space="preserve">que se evidenció </w:t>
      </w:r>
      <w:r w:rsidR="00E327BF" w:rsidRPr="00845503">
        <w:rPr>
          <w:rFonts w:ascii="Cambria" w:hAnsi="Cambria"/>
          <w:sz w:val="20"/>
          <w:szCs w:val="20"/>
          <w:u w:color="000000"/>
          <w:lang w:val="es-ES" w:eastAsia="es-AR"/>
        </w:rPr>
        <w:t>ejerc</w:t>
      </w:r>
      <w:r w:rsidR="000F7984" w:rsidRPr="00845503">
        <w:rPr>
          <w:rFonts w:ascii="Cambria" w:hAnsi="Cambria"/>
          <w:sz w:val="20"/>
          <w:szCs w:val="20"/>
          <w:u w:color="000000"/>
          <w:lang w:val="es-ES" w:eastAsia="es-AR"/>
        </w:rPr>
        <w:t>ió</w:t>
      </w:r>
      <w:r w:rsidR="00E327BF" w:rsidRPr="00845503">
        <w:rPr>
          <w:rFonts w:ascii="Cambria" w:hAnsi="Cambria"/>
          <w:sz w:val="20"/>
          <w:szCs w:val="20"/>
          <w:u w:color="000000"/>
          <w:lang w:val="es-ES" w:eastAsia="es-AR"/>
        </w:rPr>
        <w:t xml:space="preserve"> un efecto intimidatorio</w:t>
      </w:r>
      <w:r w:rsidR="004B6717" w:rsidRPr="00845503">
        <w:rPr>
          <w:rFonts w:ascii="Cambria" w:hAnsi="Cambria"/>
          <w:sz w:val="20"/>
          <w:szCs w:val="20"/>
          <w:u w:color="000000"/>
          <w:lang w:val="es-ES" w:eastAsia="es-AR"/>
        </w:rPr>
        <w:t xml:space="preserve"> o disuasivo</w:t>
      </w:r>
      <w:r w:rsidR="00E327BF" w:rsidRPr="00845503">
        <w:rPr>
          <w:rFonts w:ascii="Cambria" w:hAnsi="Cambria"/>
          <w:sz w:val="20"/>
          <w:szCs w:val="20"/>
          <w:u w:color="000000"/>
          <w:lang w:val="es-ES" w:eastAsia="es-AR"/>
        </w:rPr>
        <w:t xml:space="preserve"> (“chilling</w:t>
      </w:r>
      <w:r w:rsidR="00192609" w:rsidRPr="00845503">
        <w:rPr>
          <w:rFonts w:ascii="Cambria" w:hAnsi="Cambria"/>
          <w:sz w:val="20"/>
          <w:szCs w:val="20"/>
          <w:u w:color="000000"/>
          <w:lang w:val="es-ES" w:eastAsia="es-AR"/>
        </w:rPr>
        <w:t xml:space="preserve"> </w:t>
      </w:r>
      <w:r w:rsidR="00E327BF" w:rsidRPr="00845503">
        <w:rPr>
          <w:rFonts w:ascii="Cambria" w:hAnsi="Cambria"/>
          <w:sz w:val="20"/>
          <w:szCs w:val="20"/>
          <w:u w:color="000000"/>
          <w:lang w:val="es-ES" w:eastAsia="es-AR"/>
        </w:rPr>
        <w:t>effect”) sobre toda la sociedad</w:t>
      </w:r>
      <w:r w:rsidR="00292A05" w:rsidRPr="00845503">
        <w:rPr>
          <w:rFonts w:ascii="Cambria" w:hAnsi="Cambria"/>
          <w:sz w:val="20"/>
          <w:szCs w:val="20"/>
          <w:u w:color="000000"/>
          <w:lang w:val="es-ES" w:eastAsia="es-AR"/>
        </w:rPr>
        <w:t xml:space="preserve"> cubana</w:t>
      </w:r>
      <w:r w:rsidR="00E327BF" w:rsidRPr="00845503">
        <w:rPr>
          <w:rFonts w:ascii="Cambria" w:hAnsi="Cambria"/>
          <w:sz w:val="20"/>
          <w:szCs w:val="20"/>
          <w:u w:color="000000"/>
          <w:lang w:val="es-ES" w:eastAsia="es-AR"/>
        </w:rPr>
        <w:t>, pudiendo conducir a impedir o inhibir este tipo de expresi</w:t>
      </w:r>
      <w:r w:rsidR="00192609" w:rsidRPr="00845503">
        <w:rPr>
          <w:rFonts w:ascii="Cambria" w:hAnsi="Cambria"/>
          <w:sz w:val="20"/>
          <w:szCs w:val="20"/>
          <w:u w:color="000000"/>
          <w:lang w:val="es-ES" w:eastAsia="es-AR"/>
        </w:rPr>
        <w:t>ones y asociaciones</w:t>
      </w:r>
      <w:r w:rsidR="00E327BF" w:rsidRPr="00845503">
        <w:rPr>
          <w:rFonts w:ascii="Cambria" w:hAnsi="Cambria"/>
          <w:sz w:val="20"/>
          <w:szCs w:val="20"/>
          <w:u w:color="000000"/>
          <w:lang w:val="es-ES" w:eastAsia="es-AR"/>
        </w:rPr>
        <w:t xml:space="preserve">. </w:t>
      </w:r>
    </w:p>
    <w:p w:rsidR="00292A05" w:rsidRPr="00845503" w:rsidRDefault="00292A05" w:rsidP="00292A0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CO"/>
        </w:rPr>
      </w:pPr>
    </w:p>
    <w:p w:rsidR="003142C9"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45503">
        <w:rPr>
          <w:rFonts w:ascii="Cambria" w:hAnsi="Cambria"/>
          <w:color w:val="000000"/>
          <w:sz w:val="20"/>
          <w:szCs w:val="20"/>
          <w:lang w:val="es-AR"/>
        </w:rPr>
        <w:lastRenderedPageBreak/>
        <w:t xml:space="preserve">Por todo lo anterior, la Comisión concluye que las sanciones penales impuestas a las </w:t>
      </w:r>
      <w:r w:rsidR="002D7DA3" w:rsidRPr="00845503">
        <w:rPr>
          <w:rFonts w:ascii="Cambria" w:hAnsi="Cambria"/>
          <w:color w:val="000000"/>
          <w:sz w:val="20"/>
          <w:szCs w:val="20"/>
          <w:lang w:val="es-AR"/>
        </w:rPr>
        <w:t xml:space="preserve">presuntas </w:t>
      </w:r>
      <w:r w:rsidRPr="00845503">
        <w:rPr>
          <w:rFonts w:ascii="Cambria" w:hAnsi="Cambria"/>
          <w:color w:val="000000"/>
          <w:sz w:val="20"/>
          <w:szCs w:val="20"/>
          <w:lang w:val="es-AR"/>
        </w:rPr>
        <w:t>víctimas en este  caso resultan incompatibles con las exigencias del derecho a la libertad de expresión</w:t>
      </w:r>
      <w:r w:rsidR="000F7984" w:rsidRPr="00845503">
        <w:rPr>
          <w:rFonts w:ascii="Cambria" w:hAnsi="Cambria"/>
          <w:color w:val="000000"/>
          <w:sz w:val="20"/>
          <w:szCs w:val="20"/>
          <w:lang w:val="es-AR"/>
        </w:rPr>
        <w:t xml:space="preserve"> y el  </w:t>
      </w:r>
      <w:r w:rsidR="00192609" w:rsidRPr="00845503">
        <w:rPr>
          <w:rFonts w:ascii="Cambria" w:hAnsi="Cambria"/>
          <w:color w:val="000000"/>
          <w:sz w:val="20"/>
          <w:szCs w:val="20"/>
          <w:lang w:val="es-AR"/>
        </w:rPr>
        <w:t>derecho</w:t>
      </w:r>
      <w:r w:rsidR="000F7984" w:rsidRPr="00845503">
        <w:rPr>
          <w:rFonts w:ascii="Cambria" w:hAnsi="Cambria"/>
          <w:color w:val="000000"/>
          <w:sz w:val="20"/>
          <w:szCs w:val="20"/>
          <w:lang w:val="es-AR"/>
        </w:rPr>
        <w:t xml:space="preserve"> a la libertad de asociación</w:t>
      </w:r>
      <w:r w:rsidRPr="00845503">
        <w:rPr>
          <w:rFonts w:ascii="Cambria" w:hAnsi="Cambria"/>
          <w:color w:val="000000"/>
          <w:sz w:val="20"/>
          <w:szCs w:val="20"/>
          <w:lang w:val="es-AR"/>
        </w:rPr>
        <w:t xml:space="preserve"> en una sociedad democrática: (1) no cumplen con el principio de legalidad, (2) no responden al logro de objetivos legítimos, y (3) no resultan necesarias en una sociedad democrática. </w:t>
      </w:r>
      <w:r w:rsidRPr="00845503">
        <w:rPr>
          <w:rFonts w:ascii="Cambria" w:hAnsi="Cambria"/>
          <w:sz w:val="20"/>
          <w:szCs w:val="20"/>
          <w:lang w:val="es-CO"/>
        </w:rPr>
        <w:t xml:space="preserve">En consecuencia, la Comisión Interamericana concluye que el Estado vulneró el derecho de libertad de investigación, opinión, expresión y difusión </w:t>
      </w:r>
      <w:r w:rsidR="000F7984" w:rsidRPr="00845503">
        <w:rPr>
          <w:rFonts w:ascii="Cambria" w:hAnsi="Cambria"/>
          <w:sz w:val="20"/>
          <w:szCs w:val="20"/>
          <w:lang w:val="es-CO"/>
        </w:rPr>
        <w:t xml:space="preserve">y derecho de asociación </w:t>
      </w:r>
      <w:r w:rsidRPr="00845503">
        <w:rPr>
          <w:rFonts w:ascii="Cambria" w:hAnsi="Cambria"/>
          <w:sz w:val="20"/>
          <w:szCs w:val="20"/>
          <w:lang w:val="es-CO"/>
        </w:rPr>
        <w:t>consagrado</w:t>
      </w:r>
      <w:r w:rsidR="000F7984" w:rsidRPr="00845503">
        <w:rPr>
          <w:rFonts w:ascii="Cambria" w:hAnsi="Cambria"/>
          <w:sz w:val="20"/>
          <w:szCs w:val="20"/>
          <w:lang w:val="es-CO"/>
        </w:rPr>
        <w:t>s</w:t>
      </w:r>
      <w:r w:rsidRPr="00845503">
        <w:rPr>
          <w:rFonts w:ascii="Cambria" w:hAnsi="Cambria"/>
          <w:sz w:val="20"/>
          <w:szCs w:val="20"/>
          <w:lang w:val="es-CO"/>
        </w:rPr>
        <w:t xml:space="preserve"> en </w:t>
      </w:r>
      <w:r w:rsidR="000F7984" w:rsidRPr="00845503">
        <w:rPr>
          <w:rFonts w:ascii="Cambria" w:hAnsi="Cambria"/>
          <w:sz w:val="20"/>
          <w:szCs w:val="20"/>
          <w:lang w:val="es-CO"/>
        </w:rPr>
        <w:t>los</w:t>
      </w:r>
      <w:r w:rsidRPr="00845503">
        <w:rPr>
          <w:rFonts w:ascii="Cambria" w:hAnsi="Cambria"/>
          <w:sz w:val="20"/>
          <w:szCs w:val="20"/>
          <w:lang w:val="es-CO"/>
        </w:rPr>
        <w:t xml:space="preserve"> artículo</w:t>
      </w:r>
      <w:r w:rsidR="000F7984" w:rsidRPr="00845503">
        <w:rPr>
          <w:rFonts w:ascii="Cambria" w:hAnsi="Cambria"/>
          <w:sz w:val="20"/>
          <w:szCs w:val="20"/>
          <w:lang w:val="es-CO"/>
        </w:rPr>
        <w:t>s</w:t>
      </w:r>
      <w:r w:rsidRPr="00845503">
        <w:rPr>
          <w:rFonts w:ascii="Cambria" w:hAnsi="Cambria"/>
          <w:sz w:val="20"/>
          <w:szCs w:val="20"/>
          <w:lang w:val="es-CO"/>
        </w:rPr>
        <w:t xml:space="preserve"> IV </w:t>
      </w:r>
      <w:r w:rsidR="000F7984" w:rsidRPr="00845503">
        <w:rPr>
          <w:rFonts w:ascii="Cambria" w:hAnsi="Cambria"/>
          <w:sz w:val="20"/>
          <w:szCs w:val="20"/>
          <w:lang w:val="es-CO"/>
        </w:rPr>
        <w:t xml:space="preserve">y XXII </w:t>
      </w:r>
      <w:r w:rsidRPr="00845503">
        <w:rPr>
          <w:rFonts w:ascii="Cambria" w:hAnsi="Cambria"/>
          <w:sz w:val="20"/>
          <w:szCs w:val="20"/>
          <w:lang w:val="es-CO"/>
        </w:rPr>
        <w:t>de la Declaración Americana</w:t>
      </w:r>
      <w:r w:rsidR="000F7984" w:rsidRPr="00845503">
        <w:rPr>
          <w:rFonts w:ascii="Cambria" w:hAnsi="Cambria"/>
          <w:sz w:val="20"/>
          <w:szCs w:val="20"/>
          <w:lang w:val="es-CO"/>
        </w:rPr>
        <w:t xml:space="preserve">, e </w:t>
      </w:r>
      <w:r w:rsidR="000F7984" w:rsidRPr="00845503">
        <w:rPr>
          <w:rFonts w:ascii="Cambria" w:hAnsi="Cambria"/>
          <w:sz w:val="20"/>
          <w:szCs w:val="20"/>
          <w:lang w:val="es-ES"/>
        </w:rPr>
        <w:t>incumplió el artículo XXVI (derecho a proceso regular) de dicho instrumento</w:t>
      </w:r>
      <w:r w:rsidR="00192609" w:rsidRPr="00845503">
        <w:rPr>
          <w:rFonts w:ascii="Cambria" w:hAnsi="Cambria"/>
          <w:sz w:val="20"/>
          <w:szCs w:val="20"/>
          <w:lang w:val="es-ES"/>
        </w:rPr>
        <w:t>,</w:t>
      </w:r>
      <w:r w:rsidR="00192609" w:rsidRPr="00845503">
        <w:rPr>
          <w:rFonts w:ascii="Cambria" w:hAnsi="Cambria"/>
          <w:sz w:val="20"/>
          <w:szCs w:val="20"/>
          <w:lang w:val="es-CO"/>
        </w:rPr>
        <w:t xml:space="preserve"> en</w:t>
      </w:r>
      <w:r w:rsidRPr="00845503">
        <w:rPr>
          <w:rFonts w:ascii="Cambria" w:hAnsi="Cambria"/>
          <w:sz w:val="20"/>
          <w:szCs w:val="20"/>
          <w:lang w:val="es-CO"/>
        </w:rPr>
        <w:t xml:space="preserve"> perjuicio de </w:t>
      </w:r>
      <w:r w:rsidR="00271ED9" w:rsidRPr="00845503">
        <w:rPr>
          <w:rFonts w:ascii="Cambria" w:hAnsi="Cambria"/>
          <w:sz w:val="20"/>
          <w:szCs w:val="20"/>
          <w:lang w:val="es-ES"/>
        </w:rPr>
        <w:t>Vladimiro Roca Antúnez, René</w:t>
      </w:r>
      <w:r w:rsidRPr="00845503">
        <w:rPr>
          <w:rFonts w:ascii="Cambria" w:hAnsi="Cambria"/>
          <w:sz w:val="20"/>
          <w:szCs w:val="20"/>
          <w:lang w:val="es-ES"/>
        </w:rPr>
        <w:t xml:space="preserve"> Gómez Manzano, </w:t>
      </w:r>
      <w:r w:rsidR="00967821" w:rsidRPr="00845503">
        <w:rPr>
          <w:rFonts w:ascii="Cambria" w:hAnsi="Cambria"/>
          <w:sz w:val="20"/>
          <w:szCs w:val="20"/>
          <w:lang w:val="es-ES"/>
        </w:rPr>
        <w:t>Martha</w:t>
      </w:r>
      <w:r w:rsidRPr="00845503">
        <w:rPr>
          <w:rFonts w:ascii="Cambria" w:hAnsi="Cambria"/>
          <w:sz w:val="20"/>
          <w:szCs w:val="20"/>
          <w:lang w:val="es-ES"/>
        </w:rPr>
        <w:t xml:space="preserve"> Beatriz Roque Cabello y Félix Bonne Carcassés. </w:t>
      </w:r>
    </w:p>
    <w:p w:rsidR="003142C9" w:rsidRPr="00845503" w:rsidRDefault="003142C9" w:rsidP="00CB05AB">
      <w:pPr>
        <w:rPr>
          <w:rFonts w:ascii="Cambria" w:hAnsi="Cambria"/>
          <w:b/>
          <w:bCs/>
          <w:color w:val="000000"/>
          <w:sz w:val="20"/>
          <w:szCs w:val="20"/>
          <w:lang w:val="es-AR"/>
        </w:rPr>
      </w:pPr>
      <w:r w:rsidRPr="00845503">
        <w:rPr>
          <w:rFonts w:ascii="Cambria" w:hAnsi="Cambria"/>
          <w:b/>
          <w:bCs/>
          <w:color w:val="000000"/>
          <w:sz w:val="20"/>
          <w:szCs w:val="20"/>
          <w:lang w:val="es-AR"/>
        </w:rPr>
        <w:t> </w:t>
      </w:r>
    </w:p>
    <w:p w:rsidR="003142C9" w:rsidRPr="00845503" w:rsidRDefault="003142C9" w:rsidP="009C22C5">
      <w:pPr>
        <w:pStyle w:val="Heading3"/>
        <w:numPr>
          <w:ilvl w:val="0"/>
          <w:numId w:val="67"/>
        </w:numPr>
        <w:spacing w:before="0" w:after="0"/>
        <w:ind w:left="1440" w:hanging="720"/>
        <w:jc w:val="both"/>
        <w:rPr>
          <w:rFonts w:ascii="Cambria" w:hAnsi="Cambria"/>
          <w:sz w:val="20"/>
          <w:szCs w:val="20"/>
          <w:lang w:val="es-CO"/>
        </w:rPr>
      </w:pPr>
      <w:bookmarkStart w:id="15" w:name="_Toc505951348"/>
      <w:r w:rsidRPr="00845503">
        <w:rPr>
          <w:rFonts w:ascii="Cambria" w:hAnsi="Cambria"/>
          <w:sz w:val="20"/>
          <w:szCs w:val="20"/>
          <w:lang w:val="es-CO"/>
        </w:rPr>
        <w:t>Derechos consagrados en los artículos I (Derecho a la vida, a la libertad, a la seguridad e integridad de la persona), XXV (Derecho de protección contra la detención arbitraria) y XXVI (Derecho a proceso regular) de la Declaración Americana.</w:t>
      </w:r>
      <w:bookmarkEnd w:id="15"/>
    </w:p>
    <w:p w:rsidR="003142C9" w:rsidRPr="00845503" w:rsidRDefault="003142C9" w:rsidP="003142C9">
      <w:pPr>
        <w:rPr>
          <w:rFonts w:ascii="Cambria" w:hAnsi="Cambria"/>
          <w:sz w:val="20"/>
          <w:szCs w:val="20"/>
          <w:lang w:val="es-AR"/>
        </w:rPr>
      </w:pPr>
    </w:p>
    <w:p w:rsidR="003142C9"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AR"/>
        </w:rPr>
      </w:pPr>
      <w:r w:rsidRPr="00845503">
        <w:rPr>
          <w:rFonts w:ascii="Cambria" w:hAnsi="Cambria"/>
          <w:bCs/>
          <w:sz w:val="20"/>
          <w:szCs w:val="20"/>
          <w:lang w:val="es-AR"/>
        </w:rPr>
        <w:t>El artículo I de la Declaración Americana señala que “[t]odo ser humano tiene derecho a la libertad, a la seguridad y a la integridad de la persona”. Asimismo, e</w:t>
      </w:r>
      <w:r w:rsidRPr="00845503">
        <w:rPr>
          <w:rFonts w:ascii="Cambria" w:hAnsi="Cambria"/>
          <w:sz w:val="20"/>
          <w:szCs w:val="20"/>
          <w:lang w:val="es-AR"/>
        </w:rPr>
        <w:t xml:space="preserve">l artículo XXV de dicho instrumento dispone que: </w:t>
      </w:r>
    </w:p>
    <w:p w:rsidR="003142C9" w:rsidRPr="00845503" w:rsidRDefault="003142C9" w:rsidP="003142C9">
      <w:pPr>
        <w:rPr>
          <w:rFonts w:ascii="Cambria" w:hAnsi="Cambria"/>
          <w:sz w:val="20"/>
          <w:szCs w:val="20"/>
          <w:lang w:val="es-AR"/>
        </w:rPr>
      </w:pPr>
    </w:p>
    <w:p w:rsidR="003142C9" w:rsidRPr="00845503" w:rsidRDefault="003142C9" w:rsidP="002E48F5">
      <w:pPr>
        <w:ind w:left="720" w:right="720"/>
        <w:jc w:val="both"/>
        <w:rPr>
          <w:rFonts w:ascii="Cambria" w:hAnsi="Cambria"/>
          <w:sz w:val="20"/>
          <w:szCs w:val="20"/>
          <w:lang w:val="es-AR"/>
        </w:rPr>
      </w:pPr>
      <w:r w:rsidRPr="00845503">
        <w:rPr>
          <w:rFonts w:ascii="Cambria" w:hAnsi="Cambria"/>
          <w:sz w:val="20"/>
          <w:szCs w:val="20"/>
          <w:lang w:val="es-AR"/>
        </w:rPr>
        <w:t>Nadie puede ser privado de su libertad sino en los casos y según las formas establecidas por leyes preexistentes. Nadie puede ser detenido por incumplimiento de obligaciones de carácter netamente civil. Todo individuo que haya sido privado de su libertad tiene derecho a que el juez verifique sin demora la legalidad de la medida y a ser juzgado sin dilación injustificada, o, de lo contrario, a ser puesto en libertad. </w:t>
      </w:r>
    </w:p>
    <w:p w:rsidR="003142C9" w:rsidRPr="00845503" w:rsidRDefault="003142C9" w:rsidP="003142C9">
      <w:pPr>
        <w:rPr>
          <w:rFonts w:ascii="Cambria" w:hAnsi="Cambria"/>
          <w:sz w:val="20"/>
          <w:szCs w:val="20"/>
          <w:lang w:val="es-AR"/>
        </w:rPr>
      </w:pPr>
    </w:p>
    <w:p w:rsidR="003142C9" w:rsidRPr="00845503" w:rsidRDefault="002427B0"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AR"/>
        </w:rPr>
      </w:pPr>
      <w:r w:rsidRPr="00845503">
        <w:rPr>
          <w:rFonts w:ascii="Cambria" w:hAnsi="Cambria"/>
          <w:sz w:val="20"/>
          <w:szCs w:val="20"/>
          <w:lang w:val="es-AR"/>
        </w:rPr>
        <w:t>Por otra parte,</w:t>
      </w:r>
      <w:r w:rsidR="003142C9" w:rsidRPr="00845503">
        <w:rPr>
          <w:rFonts w:ascii="Cambria" w:hAnsi="Cambria"/>
          <w:sz w:val="20"/>
          <w:szCs w:val="20"/>
          <w:lang w:val="es-AR"/>
        </w:rPr>
        <w:t xml:space="preserve"> el artículo XXVI de la Declaración Americana “[s]e presume que todo acusado es inocente, hasta que se pruebe que es culpable. Toda persona acusada de delito tiene derecho a ser oída en forma imparcial y pública, a ser juzgada por tribunales anteriormente establecidos de acuerdo con leyes preexistentes y a que no se le imponga penas crueles, infamantes o inusitadas”.</w:t>
      </w:r>
    </w:p>
    <w:p w:rsidR="003142C9" w:rsidRPr="00845503" w:rsidRDefault="003142C9" w:rsidP="00237F17">
      <w:pPr>
        <w:ind w:firstLine="720"/>
        <w:rPr>
          <w:rFonts w:ascii="Cambria" w:hAnsi="Cambria"/>
          <w:sz w:val="20"/>
          <w:szCs w:val="20"/>
          <w:lang w:val="es-AR"/>
        </w:rPr>
      </w:pPr>
    </w:p>
    <w:p w:rsidR="003142C9"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iCs/>
          <w:sz w:val="20"/>
          <w:szCs w:val="20"/>
          <w:lang w:val="es-US"/>
        </w:rPr>
      </w:pPr>
      <w:r w:rsidRPr="00845503">
        <w:rPr>
          <w:rFonts w:ascii="Cambria" w:hAnsi="Cambria"/>
          <w:sz w:val="20"/>
          <w:szCs w:val="20"/>
          <w:lang w:val="es-ES"/>
        </w:rPr>
        <w:t xml:space="preserve">Según ha quedado acreditado en el presente caso, Vladimiro Roca Antúnez, </w:t>
      </w:r>
      <w:r w:rsidR="007364FC" w:rsidRPr="00845503">
        <w:rPr>
          <w:rFonts w:ascii="Cambria" w:hAnsi="Cambria"/>
          <w:sz w:val="20"/>
          <w:szCs w:val="20"/>
          <w:lang w:val="es-ES"/>
        </w:rPr>
        <w:t>René</w:t>
      </w:r>
      <w:r w:rsidRPr="00845503">
        <w:rPr>
          <w:rFonts w:ascii="Cambria" w:hAnsi="Cambria"/>
          <w:sz w:val="20"/>
          <w:szCs w:val="20"/>
          <w:lang w:val="es-ES"/>
        </w:rPr>
        <w:t xml:space="preserve"> Gómez Manzano, </w:t>
      </w:r>
      <w:r w:rsidR="00967821" w:rsidRPr="00845503">
        <w:rPr>
          <w:rFonts w:ascii="Cambria" w:hAnsi="Cambria"/>
          <w:sz w:val="20"/>
          <w:szCs w:val="20"/>
          <w:lang w:val="es-ES"/>
        </w:rPr>
        <w:t>Martha</w:t>
      </w:r>
      <w:r w:rsidRPr="00845503">
        <w:rPr>
          <w:rFonts w:ascii="Cambria" w:hAnsi="Cambria"/>
          <w:sz w:val="20"/>
          <w:szCs w:val="20"/>
          <w:lang w:val="es-ES"/>
        </w:rPr>
        <w:t xml:space="preserve"> Beatriz Roque Cabello y Félix Bonne Carcassés fueron detenidos en la Habana el 16 de julio de 1997</w:t>
      </w:r>
      <w:r w:rsidRPr="00845503">
        <w:rPr>
          <w:rFonts w:ascii="Cambria" w:hAnsi="Cambria"/>
          <w:sz w:val="20"/>
          <w:szCs w:val="20"/>
          <w:lang w:val="es-AR"/>
        </w:rPr>
        <w:t xml:space="preserve">. </w:t>
      </w:r>
      <w:r w:rsidRPr="00845503">
        <w:rPr>
          <w:rFonts w:ascii="Cambria" w:hAnsi="Cambria"/>
          <w:iCs/>
          <w:sz w:val="20"/>
          <w:szCs w:val="20"/>
          <w:lang w:val="es-US"/>
        </w:rPr>
        <w:t>Los cuatro detenidos permanecieron bajo prisión preventiva durante un año y cinco meses. El 4 de marzo de 1999, fueron condenados a cinco (Vladimiro Roca), cuatro (</w:t>
      </w:r>
      <w:r w:rsidR="00271ED9" w:rsidRPr="00845503">
        <w:rPr>
          <w:rFonts w:ascii="Cambria" w:hAnsi="Cambria"/>
          <w:iCs/>
          <w:sz w:val="20"/>
          <w:szCs w:val="20"/>
          <w:lang w:val="es-US"/>
        </w:rPr>
        <w:t>Félix Antonio Bonne y René</w:t>
      </w:r>
      <w:r w:rsidRPr="00845503">
        <w:rPr>
          <w:rFonts w:ascii="Cambria" w:hAnsi="Cambria"/>
          <w:iCs/>
          <w:sz w:val="20"/>
          <w:szCs w:val="20"/>
          <w:lang w:val="es-US"/>
        </w:rPr>
        <w:t xml:space="preserve"> de Jesús Gómez) y a tres (</w:t>
      </w:r>
      <w:r w:rsidR="00967821" w:rsidRPr="00845503">
        <w:rPr>
          <w:rFonts w:ascii="Cambria" w:hAnsi="Cambria"/>
          <w:iCs/>
          <w:sz w:val="20"/>
          <w:szCs w:val="20"/>
          <w:lang w:val="es-US"/>
        </w:rPr>
        <w:t>Martha</w:t>
      </w:r>
      <w:r w:rsidRPr="00845503">
        <w:rPr>
          <w:rFonts w:ascii="Cambria" w:hAnsi="Cambria"/>
          <w:iCs/>
          <w:sz w:val="20"/>
          <w:szCs w:val="20"/>
          <w:lang w:val="es-US"/>
        </w:rPr>
        <w:t xml:space="preserve"> Beatriz Roque) años de prisión como autores de los delitos “otros actos contra la seguridad del Estado en relación con el delito de sedición” previstos </w:t>
      </w:r>
      <w:r w:rsidR="002427B0" w:rsidRPr="00845503">
        <w:rPr>
          <w:rFonts w:ascii="Cambria" w:hAnsi="Cambria"/>
          <w:iCs/>
          <w:sz w:val="20"/>
          <w:szCs w:val="20"/>
          <w:lang w:val="es-US"/>
        </w:rPr>
        <w:t>en los artículos 100 y 125 del C</w:t>
      </w:r>
      <w:r w:rsidRPr="00845503">
        <w:rPr>
          <w:rFonts w:ascii="Cambria" w:hAnsi="Cambria"/>
          <w:iCs/>
          <w:sz w:val="20"/>
          <w:szCs w:val="20"/>
          <w:lang w:val="es-US"/>
        </w:rPr>
        <w:t xml:space="preserve">ódigo Penal. </w:t>
      </w:r>
    </w:p>
    <w:p w:rsidR="003142C9" w:rsidRPr="00845503" w:rsidRDefault="003142C9" w:rsidP="003142C9">
      <w:pPr>
        <w:rPr>
          <w:rFonts w:ascii="Cambria" w:hAnsi="Cambria" w:cs="Arial"/>
          <w:sz w:val="20"/>
          <w:szCs w:val="20"/>
          <w:lang w:val="es-ES"/>
        </w:rPr>
      </w:pPr>
    </w:p>
    <w:p w:rsidR="003142C9"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olor w:val="000000"/>
          <w:sz w:val="20"/>
          <w:szCs w:val="20"/>
          <w:lang w:val="es-US"/>
        </w:rPr>
      </w:pPr>
      <w:r w:rsidRPr="00845503">
        <w:rPr>
          <w:rFonts w:ascii="Cambria" w:hAnsi="Cambria" w:cs="Arial"/>
          <w:sz w:val="20"/>
          <w:szCs w:val="20"/>
          <w:lang w:val="es-ES"/>
        </w:rPr>
        <w:t xml:space="preserve">Los peticionarios en este caso alegaron que </w:t>
      </w:r>
      <w:r w:rsidR="002427B0" w:rsidRPr="00845503">
        <w:rPr>
          <w:rFonts w:ascii="Cambria" w:hAnsi="Cambria" w:cs="Arial"/>
          <w:sz w:val="20"/>
          <w:szCs w:val="20"/>
          <w:lang w:val="es-ES"/>
        </w:rPr>
        <w:t xml:space="preserve">la </w:t>
      </w:r>
      <w:r w:rsidR="0072625A" w:rsidRPr="00845503">
        <w:rPr>
          <w:rFonts w:ascii="Cambria" w:hAnsi="Cambria" w:cs="Arial"/>
          <w:sz w:val="20"/>
          <w:szCs w:val="20"/>
          <w:lang w:val="es-ES"/>
        </w:rPr>
        <w:t>privación de la libertad</w:t>
      </w:r>
      <w:r w:rsidR="002427B0" w:rsidRPr="00845503">
        <w:rPr>
          <w:rFonts w:ascii="Cambria" w:hAnsi="Cambria" w:cs="Arial"/>
          <w:sz w:val="20"/>
          <w:szCs w:val="20"/>
          <w:lang w:val="es-ES"/>
        </w:rPr>
        <w:t xml:space="preserve"> de las cuatro víctimas fue arbitraria, </w:t>
      </w:r>
      <w:r w:rsidR="001D1123" w:rsidRPr="00845503">
        <w:rPr>
          <w:rFonts w:ascii="Cambria" w:hAnsi="Cambria" w:cs="Arial"/>
          <w:sz w:val="20"/>
          <w:szCs w:val="20"/>
          <w:lang w:val="es-ES"/>
        </w:rPr>
        <w:t>que fueron sometidos a un</w:t>
      </w:r>
      <w:r w:rsidR="002427B0" w:rsidRPr="00845503">
        <w:rPr>
          <w:rFonts w:ascii="Cambria" w:hAnsi="Cambria" w:cs="Arial"/>
          <w:sz w:val="20"/>
          <w:szCs w:val="20"/>
          <w:lang w:val="es-ES"/>
        </w:rPr>
        <w:t xml:space="preserve"> trato </w:t>
      </w:r>
      <w:r w:rsidR="001D1123" w:rsidRPr="00845503">
        <w:rPr>
          <w:rFonts w:ascii="Cambria" w:hAnsi="Cambria" w:cs="Arial"/>
          <w:sz w:val="20"/>
          <w:szCs w:val="20"/>
          <w:lang w:val="es-ES"/>
        </w:rPr>
        <w:t xml:space="preserve">inhumano </w:t>
      </w:r>
      <w:r w:rsidR="002427B0" w:rsidRPr="00845503">
        <w:rPr>
          <w:rFonts w:ascii="Cambria" w:hAnsi="Cambria" w:cs="Arial"/>
          <w:sz w:val="20"/>
          <w:szCs w:val="20"/>
          <w:lang w:val="es-ES"/>
        </w:rPr>
        <w:t xml:space="preserve">y </w:t>
      </w:r>
      <w:r w:rsidR="001D1123" w:rsidRPr="00845503">
        <w:rPr>
          <w:rFonts w:ascii="Cambria" w:hAnsi="Cambria" w:cs="Arial"/>
          <w:sz w:val="20"/>
          <w:szCs w:val="20"/>
          <w:lang w:val="es-ES"/>
        </w:rPr>
        <w:t xml:space="preserve">que el Estado </w:t>
      </w:r>
      <w:r w:rsidR="002427B0" w:rsidRPr="00845503">
        <w:rPr>
          <w:rFonts w:ascii="Cambria" w:hAnsi="Cambria" w:cs="Arial"/>
          <w:sz w:val="20"/>
          <w:szCs w:val="20"/>
          <w:lang w:val="es-ES"/>
        </w:rPr>
        <w:t xml:space="preserve">no respeto su derecho al debido proceso, en </w:t>
      </w:r>
      <w:r w:rsidRPr="00845503">
        <w:rPr>
          <w:rFonts w:ascii="Cambria" w:hAnsi="Cambria" w:cs="Arial"/>
          <w:sz w:val="20"/>
          <w:szCs w:val="20"/>
          <w:lang w:val="es-ES"/>
        </w:rPr>
        <w:t xml:space="preserve">violación de los artículos I, XXV y XXVI de la Declaración Americana. </w:t>
      </w:r>
      <w:r w:rsidRPr="00845503">
        <w:rPr>
          <w:rFonts w:ascii="Cambria" w:hAnsi="Cambria"/>
          <w:color w:val="000000"/>
          <w:sz w:val="20"/>
          <w:szCs w:val="20"/>
          <w:lang w:val="es-US"/>
        </w:rPr>
        <w:t xml:space="preserve"> La CIDH pasa a analizar estos alegatos.</w:t>
      </w:r>
    </w:p>
    <w:p w:rsidR="003142C9" w:rsidRPr="00845503" w:rsidRDefault="003142C9" w:rsidP="003142C9">
      <w:pPr>
        <w:rPr>
          <w:rFonts w:ascii="Cambria" w:hAnsi="Cambria"/>
          <w:color w:val="000000"/>
          <w:sz w:val="20"/>
          <w:szCs w:val="20"/>
          <w:lang w:val="es-US"/>
        </w:rPr>
      </w:pPr>
    </w:p>
    <w:p w:rsidR="003142C9" w:rsidRPr="00845503" w:rsidRDefault="001C2857" w:rsidP="009C22C5">
      <w:pPr>
        <w:pStyle w:val="ListParagraph"/>
        <w:numPr>
          <w:ilvl w:val="0"/>
          <w:numId w:val="64"/>
        </w:numPr>
        <w:ind w:left="1440" w:hanging="720"/>
        <w:jc w:val="both"/>
        <w:rPr>
          <w:b/>
          <w:sz w:val="20"/>
          <w:szCs w:val="20"/>
          <w:lang w:val="es-US"/>
        </w:rPr>
      </w:pPr>
      <w:r w:rsidRPr="00845503">
        <w:rPr>
          <w:b/>
          <w:sz w:val="20"/>
          <w:szCs w:val="20"/>
          <w:lang w:val="es-US"/>
        </w:rPr>
        <w:t>P</w:t>
      </w:r>
      <w:r w:rsidR="003142C9" w:rsidRPr="00845503">
        <w:rPr>
          <w:b/>
          <w:sz w:val="20"/>
          <w:szCs w:val="20"/>
          <w:lang w:val="es-US"/>
        </w:rPr>
        <w:t xml:space="preserve">rotección contra la </w:t>
      </w:r>
      <w:r w:rsidR="005A0E41" w:rsidRPr="00845503">
        <w:rPr>
          <w:b/>
          <w:sz w:val="20"/>
          <w:szCs w:val="20"/>
          <w:lang w:val="es-US"/>
        </w:rPr>
        <w:t>privación de libertad</w:t>
      </w:r>
      <w:r w:rsidR="003142C9" w:rsidRPr="00845503">
        <w:rPr>
          <w:b/>
          <w:sz w:val="20"/>
          <w:szCs w:val="20"/>
          <w:lang w:val="es-US"/>
        </w:rPr>
        <w:t xml:space="preserve"> arbitraria</w:t>
      </w:r>
    </w:p>
    <w:p w:rsidR="003142C9" w:rsidRPr="00845503" w:rsidRDefault="003142C9" w:rsidP="003142C9">
      <w:pPr>
        <w:rPr>
          <w:rFonts w:ascii="Cambria" w:hAnsi="Cambria"/>
          <w:color w:val="000000"/>
          <w:sz w:val="20"/>
          <w:szCs w:val="20"/>
          <w:lang w:val="es-US"/>
        </w:rPr>
      </w:pPr>
    </w:p>
    <w:p w:rsidR="00D35C68"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b/>
          <w:sz w:val="20"/>
          <w:szCs w:val="20"/>
          <w:lang w:val="es-ES"/>
        </w:rPr>
      </w:pPr>
      <w:r w:rsidRPr="00845503">
        <w:rPr>
          <w:rFonts w:ascii="Cambria" w:hAnsi="Cambria"/>
          <w:color w:val="000000"/>
          <w:sz w:val="20"/>
          <w:szCs w:val="20"/>
          <w:lang w:val="es-ES"/>
        </w:rPr>
        <w:t>Los artículos I y XXVI de la Declaración Americana reconocen la protección de las personas contra la interferencia ilegítima o arbitraria de su libertad por parte del Estado y exige que “toda privación de la libertad se realice de acuerdo con una ley preestablecida, que el detenido sea informado de las razones de su detención y notificado sin demora de las acusaciones que se le imputan; que toda persona privada de su libertad tiene derecho a un recurso jurídico, a obtener, sin demora, una determinación de la legalidad de su detención; y que la persona sea juzgada dentro de un plazo razonable o liberada mientras continúa el proceso”</w:t>
      </w:r>
      <w:r w:rsidRPr="00845503">
        <w:rPr>
          <w:rStyle w:val="FootnoteReference"/>
          <w:rFonts w:ascii="Cambria" w:hAnsi="Cambria"/>
          <w:color w:val="000000"/>
          <w:sz w:val="20"/>
          <w:szCs w:val="20"/>
          <w:lang w:val="es-ES"/>
        </w:rPr>
        <w:footnoteReference w:id="97"/>
      </w:r>
      <w:r w:rsidRPr="00845503">
        <w:rPr>
          <w:rFonts w:ascii="Cambria" w:hAnsi="Cambria"/>
          <w:color w:val="000000"/>
          <w:sz w:val="20"/>
          <w:szCs w:val="20"/>
          <w:lang w:val="es-ES"/>
        </w:rPr>
        <w:t>.</w:t>
      </w:r>
      <w:r w:rsidRPr="00845503">
        <w:rPr>
          <w:rFonts w:ascii="Cambria" w:hAnsi="Cambria" w:cs="Arial"/>
          <w:sz w:val="20"/>
          <w:szCs w:val="20"/>
          <w:lang w:val="es-ES"/>
        </w:rPr>
        <w:t xml:space="preserve"> </w:t>
      </w:r>
    </w:p>
    <w:p w:rsidR="00D35C68" w:rsidRPr="00845503" w:rsidRDefault="00D35C68" w:rsidP="00D35C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b/>
          <w:sz w:val="20"/>
          <w:szCs w:val="20"/>
          <w:lang w:val="es-ES"/>
        </w:rPr>
      </w:pPr>
    </w:p>
    <w:p w:rsidR="00F93751"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b/>
          <w:sz w:val="20"/>
          <w:szCs w:val="20"/>
          <w:lang w:val="es-ES"/>
        </w:rPr>
      </w:pPr>
      <w:r w:rsidRPr="00845503">
        <w:rPr>
          <w:rFonts w:ascii="Cambria" w:hAnsi="Cambria" w:cs="Arial"/>
          <w:sz w:val="20"/>
          <w:szCs w:val="20"/>
          <w:lang w:val="es-ES"/>
        </w:rPr>
        <w:lastRenderedPageBreak/>
        <w:t>En este caso, el Estado no demostr</w:t>
      </w:r>
      <w:r w:rsidR="004072DE" w:rsidRPr="00845503">
        <w:rPr>
          <w:rFonts w:ascii="Cambria" w:hAnsi="Cambria" w:cs="Arial"/>
          <w:sz w:val="20"/>
          <w:szCs w:val="20"/>
          <w:lang w:val="es-ES"/>
        </w:rPr>
        <w:t>ó</w:t>
      </w:r>
      <w:r w:rsidRPr="00845503">
        <w:rPr>
          <w:rFonts w:ascii="Cambria" w:hAnsi="Cambria" w:cs="Arial"/>
          <w:sz w:val="20"/>
          <w:szCs w:val="20"/>
          <w:lang w:val="es-ES"/>
        </w:rPr>
        <w:t xml:space="preserve"> una base legal que justificara la detención de </w:t>
      </w:r>
      <w:r w:rsidR="00487C04" w:rsidRPr="00845503">
        <w:rPr>
          <w:rFonts w:ascii="Cambria" w:hAnsi="Cambria"/>
          <w:sz w:val="20"/>
          <w:szCs w:val="20"/>
          <w:lang w:val="es-ES"/>
        </w:rPr>
        <w:t xml:space="preserve">Vladimiro Roca Antúnez, </w:t>
      </w:r>
      <w:r w:rsidR="007364FC" w:rsidRPr="00845503">
        <w:rPr>
          <w:rFonts w:ascii="Cambria" w:hAnsi="Cambria"/>
          <w:sz w:val="20"/>
          <w:szCs w:val="20"/>
          <w:lang w:val="es-ES"/>
        </w:rPr>
        <w:t>René</w:t>
      </w:r>
      <w:r w:rsidR="00487C04" w:rsidRPr="00845503">
        <w:rPr>
          <w:rFonts w:ascii="Cambria" w:hAnsi="Cambria"/>
          <w:sz w:val="20"/>
          <w:szCs w:val="20"/>
          <w:lang w:val="es-ES"/>
        </w:rPr>
        <w:t xml:space="preserve"> Gómez Manzano, </w:t>
      </w:r>
      <w:r w:rsidR="00967821" w:rsidRPr="00845503">
        <w:rPr>
          <w:rFonts w:ascii="Cambria" w:hAnsi="Cambria"/>
          <w:sz w:val="20"/>
          <w:szCs w:val="20"/>
          <w:lang w:val="es-ES"/>
        </w:rPr>
        <w:t>Martha</w:t>
      </w:r>
      <w:r w:rsidR="00487C04" w:rsidRPr="00845503">
        <w:rPr>
          <w:rFonts w:ascii="Cambria" w:hAnsi="Cambria"/>
          <w:sz w:val="20"/>
          <w:szCs w:val="20"/>
          <w:lang w:val="es-ES"/>
        </w:rPr>
        <w:t xml:space="preserve"> Beatriz Roque Cabello y Félix Bonne Carcassés</w:t>
      </w:r>
      <w:r w:rsidR="00487C04" w:rsidRPr="00845503">
        <w:rPr>
          <w:rFonts w:ascii="Cambria" w:hAnsi="Cambria" w:cs="Arial"/>
          <w:sz w:val="20"/>
          <w:szCs w:val="20"/>
          <w:lang w:val="es-ES"/>
        </w:rPr>
        <w:t xml:space="preserve"> </w:t>
      </w:r>
      <w:r w:rsidRPr="00845503">
        <w:rPr>
          <w:rFonts w:ascii="Cambria" w:hAnsi="Cambria" w:cs="Arial"/>
          <w:sz w:val="20"/>
          <w:szCs w:val="20"/>
          <w:lang w:val="es-ES"/>
        </w:rPr>
        <w:t xml:space="preserve">el 16 de julio de 1997 ni el mantenimiento de la privación de la libertad durante un año y  cinco meses por el transcurso del proceso penal. </w:t>
      </w:r>
      <w:r w:rsidR="00942EAA" w:rsidRPr="00845503">
        <w:rPr>
          <w:rFonts w:ascii="Cambria" w:hAnsi="Cambria" w:cs="Arial"/>
          <w:sz w:val="20"/>
          <w:szCs w:val="20"/>
          <w:lang w:val="es-ES"/>
        </w:rPr>
        <w:t>E</w:t>
      </w:r>
      <w:r w:rsidR="008D7E8A" w:rsidRPr="00845503">
        <w:rPr>
          <w:rFonts w:ascii="Cambria" w:hAnsi="Cambria" w:cs="Arial"/>
          <w:sz w:val="20"/>
          <w:szCs w:val="20"/>
          <w:lang w:val="es-ES"/>
        </w:rPr>
        <w:t>n efecto, d</w:t>
      </w:r>
      <w:r w:rsidR="00475DA6" w:rsidRPr="00845503">
        <w:rPr>
          <w:rFonts w:ascii="Cambria" w:hAnsi="Cambria" w:cs="Arial"/>
          <w:sz w:val="20"/>
          <w:szCs w:val="20"/>
          <w:lang w:val="es-ES"/>
        </w:rPr>
        <w:t>e los hechos se desprende que las víctimas f</w:t>
      </w:r>
      <w:r w:rsidR="00095ADE" w:rsidRPr="00845503">
        <w:rPr>
          <w:rFonts w:ascii="Cambria" w:hAnsi="Cambria" w:cs="Arial"/>
          <w:sz w:val="20"/>
          <w:szCs w:val="20"/>
          <w:lang w:val="es-ES"/>
        </w:rPr>
        <w:t>ue</w:t>
      </w:r>
      <w:r w:rsidR="00475DA6" w:rsidRPr="00845503">
        <w:rPr>
          <w:rFonts w:ascii="Cambria" w:hAnsi="Cambria" w:cs="Arial"/>
          <w:sz w:val="20"/>
          <w:szCs w:val="20"/>
          <w:lang w:val="es-ES"/>
        </w:rPr>
        <w:t>ron arrestada</w:t>
      </w:r>
      <w:r w:rsidR="00095ADE" w:rsidRPr="00845503">
        <w:rPr>
          <w:rFonts w:ascii="Cambria" w:hAnsi="Cambria" w:cs="Arial"/>
          <w:sz w:val="20"/>
          <w:szCs w:val="20"/>
          <w:lang w:val="es-ES"/>
        </w:rPr>
        <w:t xml:space="preserve">s sin </w:t>
      </w:r>
      <w:r w:rsidR="00475DA6" w:rsidRPr="00845503">
        <w:rPr>
          <w:rFonts w:ascii="Cambria" w:hAnsi="Cambria" w:cs="Arial"/>
          <w:sz w:val="20"/>
          <w:szCs w:val="20"/>
          <w:lang w:val="es-ES"/>
        </w:rPr>
        <w:t xml:space="preserve">que las autoridades </w:t>
      </w:r>
      <w:r w:rsidR="004072DE" w:rsidRPr="00845503">
        <w:rPr>
          <w:rFonts w:ascii="Cambria" w:hAnsi="Cambria" w:cs="Arial"/>
          <w:sz w:val="20"/>
          <w:szCs w:val="20"/>
          <w:lang w:val="es-ES"/>
        </w:rPr>
        <w:t>presentar</w:t>
      </w:r>
      <w:r w:rsidR="00475DA6" w:rsidRPr="00845503">
        <w:rPr>
          <w:rFonts w:ascii="Cambria" w:hAnsi="Cambria" w:cs="Arial"/>
          <w:sz w:val="20"/>
          <w:szCs w:val="20"/>
          <w:lang w:val="es-ES"/>
        </w:rPr>
        <w:t>an</w:t>
      </w:r>
      <w:r w:rsidR="004072DE" w:rsidRPr="00845503">
        <w:rPr>
          <w:rFonts w:ascii="Cambria" w:hAnsi="Cambria" w:cs="Arial"/>
          <w:sz w:val="20"/>
          <w:szCs w:val="20"/>
          <w:lang w:val="es-ES"/>
        </w:rPr>
        <w:t xml:space="preserve"> </w:t>
      </w:r>
      <w:r w:rsidR="00095ADE" w:rsidRPr="00845503">
        <w:rPr>
          <w:rFonts w:ascii="Cambria" w:hAnsi="Cambria" w:cs="Arial"/>
          <w:sz w:val="20"/>
          <w:szCs w:val="20"/>
          <w:lang w:val="es-ES"/>
        </w:rPr>
        <w:t xml:space="preserve">orden judicial, y no fueron informados de los </w:t>
      </w:r>
      <w:r w:rsidR="001C2857" w:rsidRPr="00845503">
        <w:rPr>
          <w:rFonts w:ascii="Cambria" w:hAnsi="Cambria"/>
          <w:sz w:val="20"/>
          <w:szCs w:val="20"/>
          <w:lang w:val="es-ES"/>
        </w:rPr>
        <w:t>cargos contra ell</w:t>
      </w:r>
      <w:r w:rsidR="00095ADE" w:rsidRPr="00845503">
        <w:rPr>
          <w:rFonts w:ascii="Cambria" w:hAnsi="Cambria"/>
          <w:sz w:val="20"/>
          <w:szCs w:val="20"/>
          <w:lang w:val="es-ES"/>
        </w:rPr>
        <w:t xml:space="preserve">os. Tampoco consta </w:t>
      </w:r>
      <w:r w:rsidR="004072DE" w:rsidRPr="00845503">
        <w:rPr>
          <w:rFonts w:ascii="Cambria" w:hAnsi="Cambria"/>
          <w:sz w:val="20"/>
          <w:szCs w:val="20"/>
          <w:lang w:val="es-ES"/>
        </w:rPr>
        <w:t>que hayan sido detenidos en</w:t>
      </w:r>
      <w:r w:rsidR="00095ADE" w:rsidRPr="00845503">
        <w:rPr>
          <w:rFonts w:ascii="Cambria" w:hAnsi="Cambria"/>
          <w:sz w:val="20"/>
          <w:szCs w:val="20"/>
          <w:lang w:val="es-ES"/>
        </w:rPr>
        <w:t xml:space="preserve"> una</w:t>
      </w:r>
      <w:r w:rsidR="001C2857" w:rsidRPr="00845503">
        <w:rPr>
          <w:rFonts w:ascii="Cambria" w:hAnsi="Cambria"/>
          <w:sz w:val="20"/>
          <w:szCs w:val="20"/>
          <w:lang w:val="es-ES"/>
        </w:rPr>
        <w:t xml:space="preserve"> circunstancia de manifiesta actividad criminal</w:t>
      </w:r>
      <w:r w:rsidR="00095ADE" w:rsidRPr="00845503">
        <w:rPr>
          <w:rFonts w:ascii="Cambria" w:hAnsi="Cambria"/>
          <w:sz w:val="20"/>
          <w:szCs w:val="20"/>
          <w:lang w:val="es-ES"/>
        </w:rPr>
        <w:t xml:space="preserve"> o flagrancia</w:t>
      </w:r>
      <w:r w:rsidR="004072DE" w:rsidRPr="00845503">
        <w:rPr>
          <w:rFonts w:ascii="Cambria" w:hAnsi="Cambria"/>
          <w:sz w:val="20"/>
          <w:szCs w:val="20"/>
          <w:lang w:val="es-AR"/>
        </w:rPr>
        <w:t xml:space="preserve"> o que hayan sido llevados ante un juez para que éste determine sin demora la legalidad de la medida.</w:t>
      </w:r>
      <w:r w:rsidR="001C2857" w:rsidRPr="00845503">
        <w:rPr>
          <w:rFonts w:ascii="Cambria" w:hAnsi="Cambria"/>
          <w:sz w:val="20"/>
          <w:szCs w:val="20"/>
          <w:lang w:val="es-ES"/>
        </w:rPr>
        <w:t xml:space="preserve"> </w:t>
      </w:r>
      <w:r w:rsidR="004072DE" w:rsidRPr="00845503">
        <w:rPr>
          <w:rFonts w:ascii="Cambria" w:hAnsi="Cambria"/>
          <w:sz w:val="20"/>
          <w:szCs w:val="20"/>
          <w:lang w:val="es-AR"/>
        </w:rPr>
        <w:t>Ninguno de los detenidos ni sus</w:t>
      </w:r>
      <w:r w:rsidR="00095ADE" w:rsidRPr="00845503">
        <w:rPr>
          <w:rFonts w:ascii="Cambria" w:hAnsi="Cambria"/>
          <w:sz w:val="20"/>
          <w:szCs w:val="20"/>
          <w:lang w:val="es-AR"/>
        </w:rPr>
        <w:t xml:space="preserve"> familiares pudieron tener acceso al auto de fiscal</w:t>
      </w:r>
      <w:r w:rsidR="004325C2" w:rsidRPr="00845503">
        <w:rPr>
          <w:rFonts w:ascii="Cambria" w:hAnsi="Cambria"/>
          <w:sz w:val="20"/>
          <w:szCs w:val="20"/>
          <w:lang w:val="es-AR"/>
        </w:rPr>
        <w:t xml:space="preserve"> </w:t>
      </w:r>
      <w:r w:rsidR="00095ADE" w:rsidRPr="00845503">
        <w:rPr>
          <w:rFonts w:ascii="Cambria" w:hAnsi="Cambria"/>
          <w:sz w:val="20"/>
          <w:szCs w:val="20"/>
          <w:lang w:val="es-AR"/>
        </w:rPr>
        <w:t xml:space="preserve">que </w:t>
      </w:r>
      <w:r w:rsidR="008D7E8A" w:rsidRPr="00845503">
        <w:rPr>
          <w:rFonts w:ascii="Cambria" w:hAnsi="Cambria"/>
          <w:sz w:val="20"/>
          <w:szCs w:val="20"/>
          <w:lang w:val="es-AR"/>
        </w:rPr>
        <w:t xml:space="preserve">se </w:t>
      </w:r>
      <w:r w:rsidR="00095ADE" w:rsidRPr="00845503">
        <w:rPr>
          <w:rFonts w:ascii="Cambria" w:hAnsi="Cambria"/>
          <w:sz w:val="20"/>
          <w:szCs w:val="20"/>
          <w:lang w:val="es-AR"/>
        </w:rPr>
        <w:t xml:space="preserve">habría emitido con posterioridad </w:t>
      </w:r>
      <w:r w:rsidR="008D7E8A" w:rsidRPr="00845503">
        <w:rPr>
          <w:rFonts w:ascii="Cambria" w:hAnsi="Cambria"/>
          <w:sz w:val="20"/>
          <w:szCs w:val="20"/>
          <w:lang w:val="es-AR"/>
        </w:rPr>
        <w:t>a la detención y que ordenaría la prisi</w:t>
      </w:r>
      <w:r w:rsidR="00942EAA" w:rsidRPr="00845503">
        <w:rPr>
          <w:rFonts w:ascii="Cambria" w:hAnsi="Cambria"/>
          <w:sz w:val="20"/>
          <w:szCs w:val="20"/>
          <w:lang w:val="es-AR"/>
        </w:rPr>
        <w:t>ón provisional</w:t>
      </w:r>
      <w:r w:rsidR="004072DE" w:rsidRPr="00845503">
        <w:rPr>
          <w:rFonts w:ascii="Cambria" w:hAnsi="Cambria"/>
          <w:sz w:val="20"/>
          <w:szCs w:val="20"/>
          <w:lang w:val="es-AR"/>
        </w:rPr>
        <w:t>. Fue hasta la presentación d</w:t>
      </w:r>
      <w:r w:rsidR="004325C2" w:rsidRPr="00845503">
        <w:rPr>
          <w:rFonts w:ascii="Cambria" w:hAnsi="Cambria"/>
          <w:sz w:val="20"/>
          <w:szCs w:val="20"/>
          <w:lang w:val="es-AR"/>
        </w:rPr>
        <w:t>el escrito de acusación de la Fiscalía</w:t>
      </w:r>
      <w:r w:rsidR="008D7E8A" w:rsidRPr="00845503">
        <w:rPr>
          <w:rFonts w:ascii="Cambria" w:hAnsi="Cambria"/>
          <w:sz w:val="20"/>
          <w:szCs w:val="20"/>
          <w:lang w:val="es-AR"/>
        </w:rPr>
        <w:t>,</w:t>
      </w:r>
      <w:r w:rsidR="004325C2" w:rsidRPr="00845503">
        <w:rPr>
          <w:rFonts w:ascii="Cambria" w:hAnsi="Cambria"/>
          <w:sz w:val="20"/>
          <w:szCs w:val="20"/>
          <w:lang w:val="es-AR"/>
        </w:rPr>
        <w:t xml:space="preserve"> presentado el 16 de septiembre de 1998</w:t>
      </w:r>
      <w:r w:rsidR="00081F32" w:rsidRPr="00845503">
        <w:rPr>
          <w:rFonts w:ascii="Cambria" w:hAnsi="Cambria"/>
          <w:sz w:val="20"/>
          <w:szCs w:val="20"/>
          <w:lang w:val="es-AR"/>
        </w:rPr>
        <w:t>,</w:t>
      </w:r>
      <w:r w:rsidR="004325C2" w:rsidRPr="00845503">
        <w:rPr>
          <w:rFonts w:ascii="Cambria" w:hAnsi="Cambria"/>
          <w:sz w:val="20"/>
          <w:szCs w:val="20"/>
          <w:lang w:val="es-AR"/>
        </w:rPr>
        <w:t xml:space="preserve"> es decir</w:t>
      </w:r>
      <w:r w:rsidR="008D7E8A" w:rsidRPr="00845503">
        <w:rPr>
          <w:rFonts w:ascii="Cambria" w:hAnsi="Cambria"/>
          <w:sz w:val="20"/>
          <w:szCs w:val="20"/>
          <w:lang w:val="es-AR"/>
        </w:rPr>
        <w:t>,</w:t>
      </w:r>
      <w:r w:rsidR="004325C2" w:rsidRPr="00845503">
        <w:rPr>
          <w:rFonts w:ascii="Cambria" w:hAnsi="Cambria"/>
          <w:sz w:val="20"/>
          <w:szCs w:val="20"/>
          <w:lang w:val="es-AR"/>
        </w:rPr>
        <w:t xml:space="preserve"> 14 meses después de haber sido </w:t>
      </w:r>
      <w:r w:rsidR="00095ADE" w:rsidRPr="00845503">
        <w:rPr>
          <w:rFonts w:ascii="Cambria" w:hAnsi="Cambria"/>
          <w:sz w:val="20"/>
          <w:szCs w:val="20"/>
          <w:lang w:val="es-AR"/>
        </w:rPr>
        <w:t>privados de la libertad</w:t>
      </w:r>
      <w:r w:rsidR="004072DE" w:rsidRPr="00845503">
        <w:rPr>
          <w:rFonts w:ascii="Cambria" w:hAnsi="Cambria"/>
          <w:sz w:val="20"/>
          <w:szCs w:val="20"/>
          <w:lang w:val="es-AR"/>
        </w:rPr>
        <w:t>, que las víctimas y sus fami</w:t>
      </w:r>
      <w:r w:rsidR="00052292" w:rsidRPr="00845503">
        <w:rPr>
          <w:rFonts w:ascii="Cambria" w:hAnsi="Cambria"/>
          <w:sz w:val="20"/>
          <w:szCs w:val="20"/>
          <w:lang w:val="es-AR"/>
        </w:rPr>
        <w:t>liares pudieron conocer los carg</w:t>
      </w:r>
      <w:r w:rsidR="004072DE" w:rsidRPr="00845503">
        <w:rPr>
          <w:rFonts w:ascii="Cambria" w:hAnsi="Cambria"/>
          <w:sz w:val="20"/>
          <w:szCs w:val="20"/>
          <w:lang w:val="es-AR"/>
        </w:rPr>
        <w:t>os imputados</w:t>
      </w:r>
      <w:r w:rsidR="00942EAA" w:rsidRPr="00845503">
        <w:rPr>
          <w:rFonts w:ascii="Cambria" w:hAnsi="Cambria"/>
          <w:sz w:val="20"/>
          <w:szCs w:val="20"/>
          <w:lang w:val="es-AR"/>
        </w:rPr>
        <w:t xml:space="preserve"> y </w:t>
      </w:r>
      <w:r w:rsidR="005527AE" w:rsidRPr="00845503">
        <w:rPr>
          <w:rFonts w:ascii="Cambria" w:hAnsi="Cambria"/>
          <w:sz w:val="20"/>
          <w:szCs w:val="20"/>
          <w:lang w:val="es-AR"/>
        </w:rPr>
        <w:t>hechos que motivaban</w:t>
      </w:r>
      <w:r w:rsidR="00942EAA" w:rsidRPr="00845503">
        <w:rPr>
          <w:rFonts w:ascii="Cambria" w:hAnsi="Cambria"/>
          <w:sz w:val="20"/>
          <w:szCs w:val="20"/>
          <w:lang w:val="es-AR"/>
        </w:rPr>
        <w:t xml:space="preserve"> su detención</w:t>
      </w:r>
      <w:r w:rsidR="004072DE" w:rsidRPr="00845503">
        <w:rPr>
          <w:rFonts w:ascii="Cambria" w:hAnsi="Cambria"/>
          <w:sz w:val="20"/>
          <w:szCs w:val="20"/>
          <w:lang w:val="es-AR"/>
        </w:rPr>
        <w:t>.</w:t>
      </w:r>
      <w:r w:rsidR="00487C04" w:rsidRPr="00845503">
        <w:rPr>
          <w:rFonts w:ascii="Cambria" w:hAnsi="Cambria"/>
          <w:sz w:val="20"/>
          <w:szCs w:val="20"/>
          <w:lang w:val="es-AR"/>
        </w:rPr>
        <w:t xml:space="preserve"> </w:t>
      </w:r>
      <w:r w:rsidR="005527AE" w:rsidRPr="00845503">
        <w:rPr>
          <w:rFonts w:ascii="Cambria" w:hAnsi="Cambria"/>
          <w:sz w:val="20"/>
          <w:szCs w:val="20"/>
          <w:lang w:val="es-AR"/>
        </w:rPr>
        <w:t xml:space="preserve"> </w:t>
      </w:r>
      <w:r w:rsidR="00D35C68" w:rsidRPr="00845503">
        <w:rPr>
          <w:rFonts w:ascii="Cambria" w:hAnsi="Cambria"/>
          <w:sz w:val="20"/>
          <w:szCs w:val="20"/>
          <w:lang w:val="es-AR"/>
        </w:rPr>
        <w:t>Además</w:t>
      </w:r>
      <w:r w:rsidR="005527AE" w:rsidRPr="00845503">
        <w:rPr>
          <w:rFonts w:ascii="Cambria" w:hAnsi="Cambria"/>
          <w:sz w:val="20"/>
          <w:szCs w:val="20"/>
          <w:lang w:val="es-AR"/>
        </w:rPr>
        <w:t>, e</w:t>
      </w:r>
      <w:r w:rsidR="00052292" w:rsidRPr="00845503">
        <w:rPr>
          <w:rFonts w:ascii="Cambria" w:hAnsi="Cambria"/>
          <w:sz w:val="20"/>
          <w:szCs w:val="20"/>
          <w:lang w:val="es-AR"/>
        </w:rPr>
        <w:t xml:space="preserve">n el escrito de acusación del fiscal no constan los </w:t>
      </w:r>
      <w:r w:rsidR="005527AE" w:rsidRPr="00845503">
        <w:rPr>
          <w:rFonts w:ascii="Cambria" w:hAnsi="Cambria"/>
          <w:sz w:val="20"/>
          <w:szCs w:val="20"/>
          <w:lang w:val="es-AR"/>
        </w:rPr>
        <w:t>fundament</w:t>
      </w:r>
      <w:r w:rsidR="00052292" w:rsidRPr="00845503">
        <w:rPr>
          <w:rFonts w:ascii="Cambria" w:hAnsi="Cambria"/>
          <w:sz w:val="20"/>
          <w:szCs w:val="20"/>
          <w:lang w:val="es-AR"/>
        </w:rPr>
        <w:t xml:space="preserve">os que </w:t>
      </w:r>
      <w:r w:rsidR="005527AE" w:rsidRPr="00845503">
        <w:rPr>
          <w:rFonts w:ascii="Cambria" w:hAnsi="Cambria"/>
          <w:sz w:val="20"/>
          <w:szCs w:val="20"/>
          <w:lang w:val="es-AR"/>
        </w:rPr>
        <w:t>acredite</w:t>
      </w:r>
      <w:r w:rsidR="00052292" w:rsidRPr="00845503">
        <w:rPr>
          <w:rFonts w:ascii="Cambria" w:hAnsi="Cambria"/>
          <w:sz w:val="20"/>
          <w:szCs w:val="20"/>
          <w:lang w:val="es-AR"/>
        </w:rPr>
        <w:t>n</w:t>
      </w:r>
      <w:r w:rsidR="005527AE" w:rsidRPr="00845503">
        <w:rPr>
          <w:rFonts w:ascii="Cambria" w:hAnsi="Cambria"/>
          <w:sz w:val="20"/>
          <w:szCs w:val="20"/>
          <w:lang w:val="es-AR"/>
        </w:rPr>
        <w:t xml:space="preserve"> la </w:t>
      </w:r>
      <w:r w:rsidR="00052292" w:rsidRPr="00845503">
        <w:rPr>
          <w:rFonts w:ascii="Cambria" w:hAnsi="Cambria"/>
          <w:sz w:val="20"/>
          <w:szCs w:val="20"/>
          <w:lang w:val="es-AR"/>
        </w:rPr>
        <w:t>necesidad de mantener la privación de la libertad durante el juicio</w:t>
      </w:r>
      <w:r w:rsidR="004B6717" w:rsidRPr="00845503">
        <w:rPr>
          <w:rStyle w:val="FootnoteReference"/>
          <w:rFonts w:ascii="Cambria" w:hAnsi="Cambria"/>
          <w:sz w:val="20"/>
          <w:szCs w:val="20"/>
          <w:lang w:val="es-AR"/>
        </w:rPr>
        <w:footnoteReference w:id="98"/>
      </w:r>
      <w:r w:rsidR="00052292" w:rsidRPr="00845503">
        <w:rPr>
          <w:rFonts w:ascii="Cambria" w:hAnsi="Cambria"/>
          <w:sz w:val="20"/>
          <w:szCs w:val="20"/>
          <w:lang w:val="es-AR"/>
        </w:rPr>
        <w:t>.</w:t>
      </w:r>
    </w:p>
    <w:p w:rsidR="00F93751" w:rsidRPr="00845503" w:rsidRDefault="00F93751" w:rsidP="00F9375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lang w:val="es-AR"/>
        </w:rPr>
      </w:pPr>
    </w:p>
    <w:p w:rsidR="00F93751" w:rsidRPr="00845503" w:rsidRDefault="000922C0"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
          <w:bCs/>
          <w:sz w:val="20"/>
          <w:szCs w:val="20"/>
          <w:lang w:val="es-AR"/>
        </w:rPr>
      </w:pPr>
      <w:r w:rsidRPr="00845503">
        <w:rPr>
          <w:rFonts w:ascii="Cambria" w:hAnsi="Cambria" w:cs="Arial"/>
          <w:sz w:val="20"/>
          <w:szCs w:val="20"/>
          <w:shd w:val="clear" w:color="auto" w:fill="FFFFFF"/>
          <w:lang w:val="es-ES"/>
        </w:rPr>
        <w:t>La</w:t>
      </w:r>
      <w:r w:rsidR="008D7E8A" w:rsidRPr="00845503">
        <w:rPr>
          <w:rFonts w:ascii="Cambria" w:hAnsi="Cambria" w:cs="Arial"/>
          <w:sz w:val="20"/>
          <w:szCs w:val="20"/>
          <w:shd w:val="clear" w:color="auto" w:fill="FFFFFF"/>
          <w:lang w:val="es-ES"/>
        </w:rPr>
        <w:t xml:space="preserve"> CIDH observa</w:t>
      </w:r>
      <w:r w:rsidR="00D35C68" w:rsidRPr="00845503">
        <w:rPr>
          <w:rFonts w:ascii="Cambria" w:hAnsi="Cambria" w:cs="Arial"/>
          <w:sz w:val="20"/>
          <w:szCs w:val="20"/>
          <w:shd w:val="clear" w:color="auto" w:fill="FFFFFF"/>
          <w:lang w:val="es-ES"/>
        </w:rPr>
        <w:t>, en todo caso,</w:t>
      </w:r>
      <w:r w:rsidR="008D7E8A" w:rsidRPr="00845503">
        <w:rPr>
          <w:rFonts w:ascii="Cambria" w:hAnsi="Cambria" w:cs="Arial"/>
          <w:sz w:val="20"/>
          <w:szCs w:val="20"/>
          <w:shd w:val="clear" w:color="auto" w:fill="FFFFFF"/>
          <w:lang w:val="es-ES"/>
        </w:rPr>
        <w:t xml:space="preserve"> que </w:t>
      </w:r>
      <w:r w:rsidR="004B6717" w:rsidRPr="00845503">
        <w:rPr>
          <w:rFonts w:ascii="Cambria" w:hAnsi="Cambria" w:cs="Arial"/>
          <w:sz w:val="20"/>
          <w:szCs w:val="20"/>
          <w:shd w:val="clear" w:color="auto" w:fill="FFFFFF"/>
          <w:lang w:val="es-ES"/>
        </w:rPr>
        <w:t>La Ley de Procedimiento</w:t>
      </w:r>
      <w:r w:rsidR="00F93751" w:rsidRPr="00845503">
        <w:rPr>
          <w:rFonts w:ascii="Cambria" w:hAnsi="Cambria" w:cs="Arial"/>
          <w:sz w:val="20"/>
          <w:szCs w:val="20"/>
          <w:shd w:val="clear" w:color="auto" w:fill="FFFFFF"/>
          <w:lang w:val="es-ES"/>
        </w:rPr>
        <w:t xml:space="preserve"> Penal de Cuba vigente en la </w:t>
      </w:r>
      <w:r w:rsidR="00942EAA" w:rsidRPr="00845503">
        <w:rPr>
          <w:rFonts w:ascii="Cambria" w:hAnsi="Cambria" w:cs="Arial"/>
          <w:sz w:val="20"/>
          <w:szCs w:val="20"/>
          <w:shd w:val="clear" w:color="auto" w:fill="FFFFFF"/>
          <w:lang w:val="es-ES"/>
        </w:rPr>
        <w:t>é</w:t>
      </w:r>
      <w:r w:rsidR="00F93751" w:rsidRPr="00845503">
        <w:rPr>
          <w:rFonts w:ascii="Cambria" w:hAnsi="Cambria" w:cs="Arial"/>
          <w:sz w:val="20"/>
          <w:szCs w:val="20"/>
          <w:shd w:val="clear" w:color="auto" w:fill="FFFFFF"/>
          <w:lang w:val="es-ES"/>
        </w:rPr>
        <w:t xml:space="preserve">poca de los hechos dispone que procede la prisión provisional, </w:t>
      </w:r>
      <w:r w:rsidR="00942EAA" w:rsidRPr="00845503">
        <w:rPr>
          <w:rFonts w:ascii="Cambria" w:hAnsi="Cambria" w:cs="Arial"/>
          <w:sz w:val="20"/>
          <w:szCs w:val="20"/>
          <w:shd w:val="clear" w:color="auto" w:fill="FFFFFF"/>
          <w:lang w:val="es-ES"/>
        </w:rPr>
        <w:t>“</w:t>
      </w:r>
      <w:r w:rsidR="00F93751" w:rsidRPr="00845503">
        <w:rPr>
          <w:rFonts w:ascii="Cambria" w:hAnsi="Cambria" w:cs="Arial"/>
          <w:sz w:val="20"/>
          <w:szCs w:val="20"/>
          <w:shd w:val="clear" w:color="auto" w:fill="FFFFFF"/>
          <w:lang w:val="es-ES"/>
        </w:rPr>
        <w:t>siempre que concurran las circunstancias siguientes: 1. Que conste de las actuaciones la existencia de un hecho que revista caracteres de delito;  2. que aparezcan motivos bastantes para suponer responsable penalmente del delito al acusado, independientemente de la extensión y calidad de la prueba que se requiere para que el Tribunal pueda formar su convicción en el acto de dictar sentencia</w:t>
      </w:r>
      <w:r w:rsidR="00942EAA" w:rsidRPr="00845503">
        <w:rPr>
          <w:rFonts w:ascii="Cambria" w:hAnsi="Cambria" w:cs="Arial"/>
          <w:sz w:val="20"/>
          <w:szCs w:val="20"/>
          <w:shd w:val="clear" w:color="auto" w:fill="FFFFFF"/>
          <w:lang w:val="es-ES"/>
        </w:rPr>
        <w:t>”</w:t>
      </w:r>
      <w:r w:rsidR="0038703C" w:rsidRPr="00845503">
        <w:rPr>
          <w:rStyle w:val="FootnoteReference"/>
          <w:rFonts w:ascii="Cambria" w:hAnsi="Cambria" w:cs="Arial"/>
          <w:sz w:val="20"/>
          <w:szCs w:val="20"/>
          <w:shd w:val="clear" w:color="auto" w:fill="FFFFFF"/>
          <w:lang w:val="es-ES"/>
        </w:rPr>
        <w:footnoteReference w:id="99"/>
      </w:r>
      <w:r w:rsidR="00F93751" w:rsidRPr="00845503">
        <w:rPr>
          <w:rFonts w:ascii="Cambria" w:hAnsi="Cambria" w:cs="Arial"/>
          <w:sz w:val="20"/>
          <w:szCs w:val="20"/>
          <w:shd w:val="clear" w:color="auto" w:fill="FFFFFF"/>
          <w:lang w:val="es-ES"/>
        </w:rPr>
        <w:t xml:space="preserve">. </w:t>
      </w:r>
    </w:p>
    <w:p w:rsidR="00F93751" w:rsidRPr="00845503" w:rsidRDefault="00F93751" w:rsidP="00F93751">
      <w:pPr>
        <w:pStyle w:val="ListParagraph"/>
        <w:rPr>
          <w:rFonts w:cs="Arial"/>
          <w:color w:val="auto"/>
          <w:sz w:val="20"/>
          <w:szCs w:val="20"/>
          <w:shd w:val="clear" w:color="auto" w:fill="FFFFFF"/>
          <w:lang w:val="es-ES"/>
        </w:rPr>
      </w:pPr>
    </w:p>
    <w:p w:rsidR="000922C0" w:rsidRPr="00845503" w:rsidRDefault="00D35C68"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
          <w:bCs/>
          <w:sz w:val="20"/>
          <w:szCs w:val="20"/>
          <w:lang w:val="es-AR"/>
        </w:rPr>
      </w:pPr>
      <w:r w:rsidRPr="00845503">
        <w:rPr>
          <w:rFonts w:ascii="Cambria" w:hAnsi="Cambria" w:cs="Arial"/>
          <w:sz w:val="20"/>
          <w:szCs w:val="20"/>
          <w:shd w:val="clear" w:color="auto" w:fill="FFFFFF"/>
          <w:lang w:val="es-ES"/>
        </w:rPr>
        <w:t xml:space="preserve">Estas disposiciones son incompatibles con las exigencias del debido proceso y derecho a la libertad personal. </w:t>
      </w:r>
      <w:r w:rsidR="000E4525" w:rsidRPr="00845503">
        <w:rPr>
          <w:rFonts w:ascii="Cambria" w:hAnsi="Cambria" w:cs="Arial"/>
          <w:sz w:val="20"/>
          <w:szCs w:val="20"/>
          <w:shd w:val="clear" w:color="auto" w:fill="FFFFFF"/>
          <w:lang w:val="es-ES"/>
        </w:rPr>
        <w:t>La Ley</w:t>
      </w:r>
      <w:r w:rsidR="00052292" w:rsidRPr="00845503">
        <w:rPr>
          <w:rFonts w:ascii="Cambria" w:hAnsi="Cambria" w:cs="Arial"/>
          <w:sz w:val="20"/>
          <w:szCs w:val="20"/>
          <w:shd w:val="clear" w:color="auto" w:fill="FFFFFF"/>
          <w:lang w:val="es-ES"/>
        </w:rPr>
        <w:t xml:space="preserve"> de Procedimiento Penal cubano </w:t>
      </w:r>
      <w:r w:rsidR="002C4E41" w:rsidRPr="00845503">
        <w:rPr>
          <w:rFonts w:ascii="Cambria" w:hAnsi="Cambria" w:cs="Arial"/>
          <w:sz w:val="20"/>
          <w:szCs w:val="20"/>
          <w:shd w:val="clear" w:color="auto" w:fill="FFFFFF"/>
          <w:lang w:val="es-ES"/>
        </w:rPr>
        <w:t>otorga amplia discrecionalidad a la autoridad, a través de</w:t>
      </w:r>
      <w:r w:rsidR="00C23058" w:rsidRPr="00845503">
        <w:rPr>
          <w:rFonts w:ascii="Cambria" w:hAnsi="Cambria" w:cs="Arial"/>
          <w:sz w:val="20"/>
          <w:szCs w:val="20"/>
          <w:shd w:val="clear" w:color="auto" w:fill="FFFFFF"/>
          <w:lang w:val="es-ES"/>
        </w:rPr>
        <w:t xml:space="preserve"> circunstancias ambiguas y excesivamente amplias</w:t>
      </w:r>
      <w:r w:rsidR="002C4E41" w:rsidRPr="00845503">
        <w:rPr>
          <w:rFonts w:ascii="Cambria" w:hAnsi="Cambria" w:cs="Arial"/>
          <w:sz w:val="20"/>
          <w:szCs w:val="20"/>
          <w:shd w:val="clear" w:color="auto" w:fill="FFFFFF"/>
          <w:lang w:val="es-ES"/>
        </w:rPr>
        <w:t>,</w:t>
      </w:r>
      <w:r w:rsidR="00C23058" w:rsidRPr="00845503">
        <w:rPr>
          <w:rFonts w:ascii="Cambria" w:hAnsi="Cambria" w:cs="Arial"/>
          <w:sz w:val="20"/>
          <w:szCs w:val="20"/>
          <w:shd w:val="clear" w:color="auto" w:fill="FFFFFF"/>
          <w:lang w:val="es-ES"/>
        </w:rPr>
        <w:t xml:space="preserve"> para </w:t>
      </w:r>
      <w:r w:rsidR="000922C0" w:rsidRPr="00845503">
        <w:rPr>
          <w:rFonts w:ascii="Cambria" w:hAnsi="Cambria" w:cs="Arial"/>
          <w:sz w:val="20"/>
          <w:szCs w:val="20"/>
          <w:shd w:val="clear" w:color="auto" w:fill="FFFFFF"/>
          <w:lang w:val="es-ES"/>
        </w:rPr>
        <w:t>mantener en detención preventiva a un</w:t>
      </w:r>
      <w:r w:rsidR="00C23058" w:rsidRPr="00845503">
        <w:rPr>
          <w:rFonts w:ascii="Cambria" w:hAnsi="Cambria" w:cs="Arial"/>
          <w:sz w:val="20"/>
          <w:szCs w:val="20"/>
          <w:shd w:val="clear" w:color="auto" w:fill="FFFFFF"/>
          <w:lang w:val="es-ES"/>
        </w:rPr>
        <w:t>a persona</w:t>
      </w:r>
      <w:r w:rsidR="000922C0" w:rsidRPr="00845503">
        <w:rPr>
          <w:rFonts w:ascii="Cambria" w:hAnsi="Cambria" w:cs="Arial"/>
          <w:sz w:val="20"/>
          <w:szCs w:val="20"/>
          <w:shd w:val="clear" w:color="auto" w:fill="FFFFFF"/>
          <w:lang w:val="es-ES"/>
        </w:rPr>
        <w:t xml:space="preserve">. La </w:t>
      </w:r>
      <w:r w:rsidR="00C23058" w:rsidRPr="00845503">
        <w:rPr>
          <w:rFonts w:ascii="Cambria" w:hAnsi="Cambria" w:cs="Arial"/>
          <w:sz w:val="20"/>
          <w:szCs w:val="20"/>
          <w:shd w:val="clear" w:color="auto" w:fill="FFFFFF"/>
          <w:lang w:val="es-ES"/>
        </w:rPr>
        <w:t>norma</w:t>
      </w:r>
      <w:r w:rsidR="000922C0" w:rsidRPr="00845503">
        <w:rPr>
          <w:rFonts w:ascii="Cambria" w:hAnsi="Cambria" w:cs="Arial"/>
          <w:sz w:val="20"/>
          <w:szCs w:val="20"/>
          <w:shd w:val="clear" w:color="auto" w:fill="FFFFFF"/>
          <w:lang w:val="es-ES"/>
        </w:rPr>
        <w:t xml:space="preserve"> </w:t>
      </w:r>
      <w:r w:rsidR="00052292" w:rsidRPr="00845503">
        <w:rPr>
          <w:rFonts w:ascii="Cambria" w:hAnsi="Cambria" w:cs="Arial"/>
          <w:sz w:val="20"/>
          <w:szCs w:val="20"/>
          <w:shd w:val="clear" w:color="auto" w:fill="FFFFFF"/>
          <w:lang w:val="es-ES"/>
        </w:rPr>
        <w:t>no</w:t>
      </w:r>
      <w:r w:rsidR="000922C0" w:rsidRPr="00845503">
        <w:rPr>
          <w:rFonts w:ascii="Cambria" w:hAnsi="Cambria" w:cs="Arial"/>
          <w:sz w:val="20"/>
          <w:szCs w:val="20"/>
          <w:shd w:val="clear" w:color="auto" w:fill="FFFFFF"/>
          <w:lang w:val="es-ES"/>
        </w:rPr>
        <w:t xml:space="preserve"> </w:t>
      </w:r>
      <w:r w:rsidR="005527AE" w:rsidRPr="00845503">
        <w:rPr>
          <w:rFonts w:ascii="Cambria" w:hAnsi="Cambria" w:cs="Arial"/>
          <w:sz w:val="20"/>
          <w:szCs w:val="20"/>
          <w:shd w:val="clear" w:color="auto" w:fill="FFFFFF"/>
          <w:lang w:val="es-ES"/>
        </w:rPr>
        <w:t>dispone garantías para asegurar que</w:t>
      </w:r>
      <w:r w:rsidR="000922C0" w:rsidRPr="00845503">
        <w:rPr>
          <w:rFonts w:ascii="Cambria" w:hAnsi="Cambria" w:cs="Arial"/>
          <w:sz w:val="20"/>
          <w:szCs w:val="20"/>
          <w:shd w:val="clear" w:color="auto" w:fill="FFFFFF"/>
          <w:lang w:val="es-ES"/>
        </w:rPr>
        <w:t xml:space="preserve"> la</w:t>
      </w:r>
      <w:r w:rsidR="00C23058" w:rsidRPr="00845503">
        <w:rPr>
          <w:rFonts w:ascii="Cambria" w:hAnsi="Cambria" w:cs="Arial"/>
          <w:sz w:val="20"/>
          <w:szCs w:val="20"/>
          <w:shd w:val="clear" w:color="auto" w:fill="FFFFFF"/>
          <w:lang w:val="es-ES"/>
        </w:rPr>
        <w:t xml:space="preserve"> privación de libertad</w:t>
      </w:r>
      <w:r w:rsidR="00FC1493" w:rsidRPr="00845503">
        <w:rPr>
          <w:rFonts w:ascii="Cambria" w:hAnsi="Cambria" w:cs="Tahoma"/>
          <w:sz w:val="20"/>
          <w:szCs w:val="20"/>
          <w:shd w:val="clear" w:color="auto" w:fill="FFFFFF"/>
          <w:lang w:val="es-ES"/>
        </w:rPr>
        <w:t xml:space="preserve"> sólo procederá </w:t>
      </w:r>
      <w:r w:rsidR="005527AE" w:rsidRPr="00845503">
        <w:rPr>
          <w:rFonts w:ascii="Cambria" w:hAnsi="Cambria" w:cs="Tahoma"/>
          <w:sz w:val="20"/>
          <w:szCs w:val="20"/>
          <w:shd w:val="clear" w:color="auto" w:fill="FFFFFF"/>
          <w:lang w:val="es-ES"/>
        </w:rPr>
        <w:t>de acuerdo con los límites estrictamente necesarios para asegurar que no se impedirá el desarrollo eficiente de las investigaciones ni se eludirá la acción de la justicia</w:t>
      </w:r>
      <w:r w:rsidR="000E4525" w:rsidRPr="00845503">
        <w:rPr>
          <w:rFonts w:ascii="Cambria" w:hAnsi="Cambria" w:cs="Tahoma"/>
          <w:sz w:val="20"/>
          <w:szCs w:val="20"/>
          <w:shd w:val="clear" w:color="auto" w:fill="FFFFFF"/>
          <w:lang w:val="es-ES"/>
        </w:rPr>
        <w:t xml:space="preserve">, tal como </w:t>
      </w:r>
      <w:r w:rsidR="00FC1493" w:rsidRPr="00845503">
        <w:rPr>
          <w:rFonts w:ascii="Cambria" w:hAnsi="Cambria" w:cs="Tahoma"/>
          <w:sz w:val="20"/>
          <w:szCs w:val="20"/>
          <w:shd w:val="clear" w:color="auto" w:fill="FFFFFF"/>
          <w:lang w:val="es-ES"/>
        </w:rPr>
        <w:t>lo exigen los estándares en esta materia</w:t>
      </w:r>
      <w:r w:rsidR="005527AE" w:rsidRPr="00845503">
        <w:rPr>
          <w:rFonts w:ascii="Cambria" w:hAnsi="Cambria" w:cs="Tahoma"/>
          <w:sz w:val="20"/>
          <w:szCs w:val="20"/>
          <w:shd w:val="clear" w:color="auto" w:fill="FFFFFF"/>
          <w:lang w:val="es-ES"/>
        </w:rPr>
        <w:t xml:space="preserve">. </w:t>
      </w:r>
    </w:p>
    <w:p w:rsidR="00FC1493" w:rsidRPr="00845503" w:rsidRDefault="00FC1493" w:rsidP="00FC1493">
      <w:pPr>
        <w:pStyle w:val="ListParagraph"/>
        <w:rPr>
          <w:b/>
          <w:bCs/>
          <w:sz w:val="20"/>
          <w:szCs w:val="20"/>
          <w:lang w:val="es-AR"/>
        </w:rPr>
      </w:pPr>
    </w:p>
    <w:p w:rsidR="00FC1493" w:rsidRPr="00845503" w:rsidRDefault="00FC1493"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lang w:val="es-AR"/>
        </w:rPr>
      </w:pPr>
      <w:r w:rsidRPr="00845503">
        <w:rPr>
          <w:rFonts w:ascii="Cambria" w:hAnsi="Cambria"/>
          <w:bCs/>
          <w:sz w:val="20"/>
          <w:szCs w:val="20"/>
          <w:lang w:val="es-AR"/>
        </w:rPr>
        <w:t xml:space="preserve">Así, en los Principios y Buenas Prácticas para las Personas Privadas de Libertad, la Comisión reafirma estos estándares fundamentales de manera muy concreta en los siguientes términos: </w:t>
      </w:r>
    </w:p>
    <w:p w:rsidR="00FC1493" w:rsidRPr="00845503" w:rsidRDefault="00FC1493" w:rsidP="00FC1493">
      <w:pPr>
        <w:pStyle w:val="ListParagraph"/>
        <w:rPr>
          <w:bCs/>
          <w:sz w:val="20"/>
          <w:szCs w:val="20"/>
          <w:lang w:val="es-AR"/>
        </w:rPr>
      </w:pPr>
    </w:p>
    <w:p w:rsidR="00FC1493" w:rsidRPr="00845503" w:rsidRDefault="00FC1493" w:rsidP="00FC1493">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Cs/>
          <w:sz w:val="20"/>
          <w:szCs w:val="20"/>
          <w:lang w:val="es-AR"/>
        </w:rPr>
      </w:pPr>
      <w:r w:rsidRPr="00845503">
        <w:rPr>
          <w:rFonts w:ascii="Cambria" w:hAnsi="Cambria"/>
          <w:bCs/>
          <w:sz w:val="20"/>
          <w:szCs w:val="20"/>
          <w:lang w:val="es-AR"/>
        </w:rPr>
        <w:t>La privación preventiva de la libertad, como medida cautelar y no punitiva, deberá además obedecer a los principios de legalidad, presunción de inocencia, necesidad y proporcionalidad, en la medida estrictamente necesaria en una sociedad democrática, que sólo podrá proceder de acuerdo con los límites estrictamente necesarios para asegurar que no se impedirá el desarrollo eficiente de las investigaciones ni se eludirá la acción de la justicia, siempre que la autoridad competente fundamente y acredite la existencia, en el caso concreto, de los referidos requisitos (Principio III.2)</w:t>
      </w:r>
      <w:r w:rsidRPr="00845503">
        <w:rPr>
          <w:rStyle w:val="FootnoteReference"/>
          <w:rFonts w:ascii="Cambria" w:hAnsi="Cambria"/>
          <w:bCs/>
          <w:sz w:val="20"/>
          <w:szCs w:val="20"/>
          <w:lang w:val="es-AR"/>
        </w:rPr>
        <w:footnoteReference w:id="100"/>
      </w:r>
      <w:r w:rsidR="00FD53EC" w:rsidRPr="00845503">
        <w:rPr>
          <w:rFonts w:ascii="Cambria" w:hAnsi="Cambria"/>
          <w:bCs/>
          <w:sz w:val="20"/>
          <w:szCs w:val="20"/>
          <w:lang w:val="es-AR"/>
        </w:rPr>
        <w:t>.</w:t>
      </w:r>
    </w:p>
    <w:p w:rsidR="001C2857" w:rsidRPr="00845503" w:rsidRDefault="004072DE" w:rsidP="004072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45503">
        <w:rPr>
          <w:rFonts w:ascii="Cambria" w:hAnsi="Cambria" w:cs="Arial"/>
          <w:sz w:val="20"/>
          <w:szCs w:val="20"/>
          <w:lang w:val="es-ES"/>
        </w:rPr>
        <w:t xml:space="preserve"> </w:t>
      </w:r>
    </w:p>
    <w:p w:rsidR="003142C9" w:rsidRPr="00845503" w:rsidRDefault="000A092F"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
          <w:bCs/>
          <w:sz w:val="20"/>
          <w:szCs w:val="20"/>
          <w:lang w:val="es-AR"/>
        </w:rPr>
      </w:pPr>
      <w:r w:rsidRPr="00845503">
        <w:rPr>
          <w:rFonts w:ascii="Cambria" w:hAnsi="Cambria" w:cs="Arial"/>
          <w:sz w:val="20"/>
          <w:szCs w:val="20"/>
          <w:lang w:val="es-ES"/>
        </w:rPr>
        <w:t>Asimismo</w:t>
      </w:r>
      <w:r w:rsidR="00475DA6" w:rsidRPr="00845503">
        <w:rPr>
          <w:rFonts w:ascii="Cambria" w:hAnsi="Cambria" w:cs="Arial"/>
          <w:sz w:val="20"/>
          <w:szCs w:val="20"/>
          <w:lang w:val="es-ES"/>
        </w:rPr>
        <w:t>, tal y como se concluye de la sección anterior, l</w:t>
      </w:r>
      <w:r w:rsidR="003142C9" w:rsidRPr="00845503">
        <w:rPr>
          <w:rFonts w:ascii="Cambria" w:hAnsi="Cambria" w:cs="Arial"/>
          <w:sz w:val="20"/>
          <w:szCs w:val="20"/>
          <w:lang w:val="es-ES"/>
        </w:rPr>
        <w:t xml:space="preserve">a </w:t>
      </w:r>
      <w:r w:rsidR="004325C2" w:rsidRPr="00845503">
        <w:rPr>
          <w:rFonts w:ascii="Cambria" w:hAnsi="Cambria" w:cs="Arial"/>
          <w:sz w:val="20"/>
          <w:szCs w:val="20"/>
          <w:lang w:val="es-ES"/>
        </w:rPr>
        <w:t xml:space="preserve">privación de la libertad </w:t>
      </w:r>
      <w:r w:rsidR="003142C9" w:rsidRPr="00845503">
        <w:rPr>
          <w:rFonts w:ascii="Cambria" w:hAnsi="Cambria" w:cs="Arial"/>
          <w:sz w:val="20"/>
          <w:szCs w:val="20"/>
          <w:lang w:val="es-ES"/>
        </w:rPr>
        <w:t xml:space="preserve"> </w:t>
      </w:r>
      <w:r w:rsidR="00475DA6" w:rsidRPr="00845503">
        <w:rPr>
          <w:rFonts w:ascii="Cambria" w:hAnsi="Cambria" w:cs="Arial"/>
          <w:sz w:val="20"/>
          <w:szCs w:val="20"/>
          <w:lang w:val="es-ES"/>
        </w:rPr>
        <w:t>de las cuatro víctimas (</w:t>
      </w:r>
      <w:r w:rsidR="004325C2" w:rsidRPr="00845503">
        <w:rPr>
          <w:rFonts w:ascii="Cambria" w:hAnsi="Cambria" w:cs="Arial"/>
          <w:sz w:val="20"/>
          <w:szCs w:val="20"/>
          <w:lang w:val="es-ES"/>
        </w:rPr>
        <w:t xml:space="preserve">antes, durante o después </w:t>
      </w:r>
      <w:r w:rsidR="00475DA6" w:rsidRPr="00845503">
        <w:rPr>
          <w:rFonts w:ascii="Cambria" w:hAnsi="Cambria" w:cs="Arial"/>
          <w:sz w:val="20"/>
          <w:szCs w:val="20"/>
          <w:lang w:val="es-ES"/>
        </w:rPr>
        <w:t>del juicio y d</w:t>
      </w:r>
      <w:r w:rsidR="004325C2" w:rsidRPr="00845503">
        <w:rPr>
          <w:rFonts w:ascii="Cambria" w:hAnsi="Cambria" w:cs="Arial"/>
          <w:sz w:val="20"/>
          <w:szCs w:val="20"/>
          <w:lang w:val="es-ES"/>
        </w:rPr>
        <w:t>e la condena),</w:t>
      </w:r>
      <w:r w:rsidR="00475DA6" w:rsidRPr="00845503">
        <w:rPr>
          <w:rFonts w:ascii="Cambria" w:hAnsi="Cambria" w:cs="Arial"/>
          <w:sz w:val="20"/>
          <w:szCs w:val="20"/>
          <w:lang w:val="es-ES"/>
        </w:rPr>
        <w:t xml:space="preserve"> </w:t>
      </w:r>
      <w:r w:rsidR="003142C9" w:rsidRPr="00845503">
        <w:rPr>
          <w:rFonts w:ascii="Cambria" w:hAnsi="Cambria" w:cs="Arial"/>
          <w:sz w:val="20"/>
          <w:szCs w:val="20"/>
          <w:lang w:val="es-ES"/>
        </w:rPr>
        <w:t>estuvo dirigida a castigar</w:t>
      </w:r>
      <w:r w:rsidR="00475DA6" w:rsidRPr="00845503">
        <w:rPr>
          <w:rFonts w:ascii="Cambria" w:hAnsi="Cambria" w:cs="Arial"/>
          <w:sz w:val="20"/>
          <w:szCs w:val="20"/>
          <w:lang w:val="es-ES"/>
        </w:rPr>
        <w:t>los por sus</w:t>
      </w:r>
      <w:r w:rsidR="003142C9" w:rsidRPr="00845503">
        <w:rPr>
          <w:rFonts w:ascii="Cambria" w:hAnsi="Cambria" w:cs="Arial"/>
          <w:sz w:val="20"/>
          <w:szCs w:val="20"/>
          <w:lang w:val="es-ES"/>
        </w:rPr>
        <w:t xml:space="preserve"> opiniones políticas</w:t>
      </w:r>
      <w:r w:rsidR="00475DA6" w:rsidRPr="00845503">
        <w:rPr>
          <w:rFonts w:ascii="Cambria" w:hAnsi="Cambria" w:cs="Arial"/>
          <w:sz w:val="20"/>
          <w:szCs w:val="20"/>
          <w:lang w:val="es-ES"/>
        </w:rPr>
        <w:t xml:space="preserve"> y activismo cívico</w:t>
      </w:r>
      <w:r w:rsidR="00081F32" w:rsidRPr="00845503">
        <w:rPr>
          <w:rFonts w:ascii="Cambria" w:hAnsi="Cambria" w:cs="Arial"/>
          <w:sz w:val="20"/>
          <w:szCs w:val="20"/>
          <w:lang w:val="es-ES"/>
        </w:rPr>
        <w:t>,</w:t>
      </w:r>
      <w:r w:rsidR="00487C04" w:rsidRPr="00845503">
        <w:rPr>
          <w:rFonts w:ascii="Cambria" w:hAnsi="Cambria" w:cs="Arial"/>
          <w:sz w:val="20"/>
          <w:szCs w:val="20"/>
          <w:lang w:val="es-ES"/>
        </w:rPr>
        <w:t xml:space="preserve"> es decir, </w:t>
      </w:r>
      <w:r w:rsidR="003142C9" w:rsidRPr="00845503">
        <w:rPr>
          <w:rFonts w:ascii="Cambria" w:hAnsi="Cambria" w:cs="Arial"/>
          <w:sz w:val="20"/>
          <w:szCs w:val="20"/>
          <w:lang w:val="es-ES"/>
        </w:rPr>
        <w:t xml:space="preserve">estuvo sustentada en </w:t>
      </w:r>
      <w:r w:rsidR="00081F32" w:rsidRPr="00845503">
        <w:rPr>
          <w:rFonts w:ascii="Cambria" w:hAnsi="Cambria" w:cs="Arial"/>
          <w:sz w:val="20"/>
          <w:szCs w:val="20"/>
          <w:lang w:val="es-ES"/>
        </w:rPr>
        <w:t>una restricción del</w:t>
      </w:r>
      <w:r w:rsidR="003142C9" w:rsidRPr="00845503">
        <w:rPr>
          <w:rFonts w:ascii="Cambria" w:hAnsi="Cambria" w:cs="Arial"/>
          <w:sz w:val="20"/>
          <w:szCs w:val="20"/>
          <w:lang w:val="es-ES"/>
        </w:rPr>
        <w:t xml:space="preserve"> ejercicio de sus derechos a la libertad de pensamiento y expresión y </w:t>
      </w:r>
      <w:r w:rsidR="00081F32" w:rsidRPr="00845503">
        <w:rPr>
          <w:rFonts w:ascii="Cambria" w:hAnsi="Cambria" w:cs="Arial"/>
          <w:sz w:val="20"/>
          <w:szCs w:val="20"/>
          <w:lang w:val="es-ES"/>
        </w:rPr>
        <w:t xml:space="preserve">la </w:t>
      </w:r>
      <w:r w:rsidR="003142C9" w:rsidRPr="00845503">
        <w:rPr>
          <w:rFonts w:ascii="Cambria" w:hAnsi="Cambria" w:cs="Arial"/>
          <w:sz w:val="20"/>
          <w:szCs w:val="20"/>
          <w:lang w:val="es-ES"/>
        </w:rPr>
        <w:t>libertad de asociación</w:t>
      </w:r>
      <w:r w:rsidR="001625AE" w:rsidRPr="00845503">
        <w:rPr>
          <w:rFonts w:ascii="Cambria" w:hAnsi="Cambria" w:cs="Arial"/>
          <w:sz w:val="20"/>
          <w:szCs w:val="20"/>
          <w:lang w:val="es-ES"/>
        </w:rPr>
        <w:t xml:space="preserve"> y formó parte de un patrón sistemático de detenciones y encarcelamiento por el ejercicio de derechos humanos que </w:t>
      </w:r>
      <w:r w:rsidR="00FA5141" w:rsidRPr="00845503">
        <w:rPr>
          <w:rFonts w:ascii="Cambria" w:hAnsi="Cambria" w:cs="Arial"/>
          <w:sz w:val="20"/>
          <w:szCs w:val="20"/>
          <w:lang w:val="es-ES"/>
        </w:rPr>
        <w:t>ha sido</w:t>
      </w:r>
      <w:r w:rsidR="001625AE" w:rsidRPr="00845503">
        <w:rPr>
          <w:rFonts w:ascii="Cambria" w:hAnsi="Cambria" w:cs="Arial"/>
          <w:sz w:val="20"/>
          <w:szCs w:val="20"/>
          <w:lang w:val="es-ES"/>
        </w:rPr>
        <w:t xml:space="preserve">  claramente identificado por la CIDH en sus informes anuales sobre Cuba. </w:t>
      </w:r>
      <w:r w:rsidR="00487C04" w:rsidRPr="00845503">
        <w:rPr>
          <w:rFonts w:ascii="Cambria" w:hAnsi="Cambria" w:cs="Arial"/>
          <w:sz w:val="20"/>
          <w:szCs w:val="20"/>
          <w:lang w:val="es-ES"/>
        </w:rPr>
        <w:t>La CIDH ha afirmado que el ejercicio de la libertad de expresión y asociación no</w:t>
      </w:r>
      <w:r w:rsidR="003142C9" w:rsidRPr="00845503">
        <w:rPr>
          <w:rFonts w:ascii="Cambria" w:hAnsi="Cambria" w:cs="Arial"/>
          <w:sz w:val="20"/>
          <w:szCs w:val="20"/>
          <w:lang w:val="es-ES"/>
        </w:rPr>
        <w:t xml:space="preserve"> </w:t>
      </w:r>
      <w:r w:rsidR="001625AE" w:rsidRPr="00845503">
        <w:rPr>
          <w:rFonts w:ascii="Cambria" w:hAnsi="Cambria" w:cs="Arial"/>
          <w:sz w:val="20"/>
          <w:szCs w:val="20"/>
          <w:lang w:val="es-ES"/>
        </w:rPr>
        <w:t xml:space="preserve">puede </w:t>
      </w:r>
      <w:r w:rsidR="003142C9" w:rsidRPr="00845503">
        <w:rPr>
          <w:rFonts w:ascii="Cambria" w:hAnsi="Cambria" w:cs="Arial"/>
          <w:sz w:val="20"/>
          <w:szCs w:val="20"/>
          <w:lang w:val="es-ES"/>
        </w:rPr>
        <w:t>constitu</w:t>
      </w:r>
      <w:r w:rsidR="00081F32" w:rsidRPr="00845503">
        <w:rPr>
          <w:rFonts w:ascii="Cambria" w:hAnsi="Cambria" w:cs="Arial"/>
          <w:sz w:val="20"/>
          <w:szCs w:val="20"/>
          <w:lang w:val="es-ES"/>
        </w:rPr>
        <w:t>ir</w:t>
      </w:r>
      <w:r w:rsidR="003142C9" w:rsidRPr="00845503">
        <w:rPr>
          <w:rFonts w:ascii="Cambria" w:hAnsi="Cambria" w:cs="Arial"/>
          <w:sz w:val="20"/>
          <w:szCs w:val="20"/>
          <w:lang w:val="es-ES"/>
        </w:rPr>
        <w:t xml:space="preserve"> una finalidad legítima a la luz de los principios </w:t>
      </w:r>
      <w:r w:rsidR="003142C9" w:rsidRPr="00845503">
        <w:rPr>
          <w:rFonts w:ascii="Cambria" w:hAnsi="Cambria" w:cs="Arial"/>
          <w:sz w:val="20"/>
          <w:szCs w:val="20"/>
          <w:lang w:val="es-ES"/>
        </w:rPr>
        <w:lastRenderedPageBreak/>
        <w:t>democráticos que justifique la priva</w:t>
      </w:r>
      <w:r w:rsidR="001625AE" w:rsidRPr="00845503">
        <w:rPr>
          <w:rFonts w:ascii="Cambria" w:hAnsi="Cambria" w:cs="Arial"/>
          <w:sz w:val="20"/>
          <w:szCs w:val="20"/>
          <w:lang w:val="es-ES"/>
        </w:rPr>
        <w:t>ción de libertad de una persona y resulta en una privación de la libertad arbitraria</w:t>
      </w:r>
      <w:r w:rsidR="00FD53EC" w:rsidRPr="00845503">
        <w:rPr>
          <w:rStyle w:val="FootnoteReference"/>
          <w:rFonts w:ascii="Cambria" w:hAnsi="Cambria" w:cs="Arial"/>
          <w:sz w:val="20"/>
          <w:szCs w:val="20"/>
          <w:lang w:val="es-ES"/>
        </w:rPr>
        <w:footnoteReference w:id="101"/>
      </w:r>
      <w:r w:rsidR="00487C04" w:rsidRPr="00845503">
        <w:rPr>
          <w:rFonts w:ascii="Cambria" w:hAnsi="Cambria" w:cs="Arial"/>
          <w:sz w:val="20"/>
          <w:szCs w:val="20"/>
          <w:lang w:val="es-ES"/>
        </w:rPr>
        <w:t xml:space="preserve">. </w:t>
      </w:r>
    </w:p>
    <w:p w:rsidR="000A092F" w:rsidRPr="00845503" w:rsidRDefault="000A092F" w:rsidP="000A092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bCs/>
          <w:sz w:val="20"/>
          <w:szCs w:val="20"/>
          <w:lang w:val="es-AR"/>
        </w:rPr>
      </w:pPr>
    </w:p>
    <w:p w:rsidR="000A092F" w:rsidRPr="00845503" w:rsidRDefault="000A092F"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
          <w:bCs/>
          <w:sz w:val="20"/>
          <w:szCs w:val="20"/>
          <w:lang w:val="es-AR"/>
        </w:rPr>
      </w:pPr>
      <w:r w:rsidRPr="00845503">
        <w:rPr>
          <w:rFonts w:ascii="Cambria" w:hAnsi="Cambria"/>
          <w:sz w:val="20"/>
          <w:szCs w:val="20"/>
          <w:lang w:val="es-ES"/>
        </w:rPr>
        <w:t xml:space="preserve">Por otro lado, el artículo XXV de la Declaración Americana dispone que “todo individuo que haya sido privado de su libertad tiene derecho a que el juez verifique sin demora la legalidad de la medida”. En este sentido, toda persona privada de libertad, por sí o por medio de terceros, tendrá derecho a interponer un recurso sencillo, rápido y eficaz, ante autoridades competentes, independientes e imparciales, contra actos u omisiones que violen o amenacen violar sus derechos humanos, que incluye el derecho a interponer acción de garantía alguna para salvaguardar su libertad personal o cuestionar la legalidad de su detención. La CIDH observa que </w:t>
      </w:r>
      <w:r w:rsidRPr="00845503">
        <w:rPr>
          <w:rFonts w:ascii="Cambria" w:hAnsi="Cambria" w:cs="Arial"/>
          <w:sz w:val="20"/>
          <w:szCs w:val="20"/>
          <w:shd w:val="clear" w:color="auto" w:fill="FFFFFF"/>
          <w:lang w:val="es-ES"/>
        </w:rPr>
        <w:t xml:space="preserve">el 30 de julio de 1998, a un año de privación de la libertad arbitraria, los cuatro miembros del Grupo de Trabajo de la Disidencia Interna presentaron un recurso de </w:t>
      </w:r>
      <w:r w:rsidRPr="00845503">
        <w:rPr>
          <w:rFonts w:ascii="Cambria" w:hAnsi="Cambria" w:cs="Arial"/>
          <w:i/>
          <w:sz w:val="20"/>
          <w:szCs w:val="20"/>
          <w:shd w:val="clear" w:color="auto" w:fill="FFFFFF"/>
          <w:lang w:val="es-ES"/>
        </w:rPr>
        <w:t xml:space="preserve">hábeas corpus </w:t>
      </w:r>
      <w:r w:rsidRPr="00845503">
        <w:rPr>
          <w:rFonts w:ascii="Cambria" w:hAnsi="Cambria" w:cs="Arial"/>
          <w:sz w:val="20"/>
          <w:szCs w:val="20"/>
          <w:shd w:val="clear" w:color="auto" w:fill="FFFFFF"/>
          <w:lang w:val="es-ES"/>
        </w:rPr>
        <w:t xml:space="preserve">cuestionando la legalidad de la prisión provisional, que fue desestimado al día siguiente. Otro recurso, interpuesto en octubre de 1998, también fue rechazado </w:t>
      </w:r>
      <w:r w:rsidRPr="00845503">
        <w:rPr>
          <w:rFonts w:ascii="Cambria" w:hAnsi="Cambria" w:cs="Arial"/>
          <w:i/>
          <w:sz w:val="20"/>
          <w:szCs w:val="20"/>
          <w:shd w:val="clear" w:color="auto" w:fill="FFFFFF"/>
          <w:lang w:val="es-ES"/>
        </w:rPr>
        <w:t>in limine</w:t>
      </w:r>
      <w:r w:rsidRPr="00845503">
        <w:rPr>
          <w:rFonts w:ascii="Cambria" w:hAnsi="Cambria" w:cs="Arial"/>
          <w:sz w:val="20"/>
          <w:szCs w:val="20"/>
          <w:shd w:val="clear" w:color="auto" w:fill="FFFFFF"/>
          <w:lang w:val="es-ES"/>
        </w:rPr>
        <w:t xml:space="preserve">. </w:t>
      </w:r>
      <w:r w:rsidRPr="00845503">
        <w:rPr>
          <w:rFonts w:ascii="Cambria" w:hAnsi="Cambria"/>
          <w:sz w:val="20"/>
          <w:szCs w:val="20"/>
          <w:lang w:val="es-ES"/>
        </w:rPr>
        <w:t>Los cuatro miembros del grupo permanecieron en prisión provisional durante un año y 7 meses hasta que fueron condenados a severas penas de prisión el 4 de marzo de 1999. La CIDH estima que, en consecuencia, los recursos interpuestos no resultaron efectivos</w:t>
      </w:r>
      <w:r w:rsidRPr="00845503">
        <w:rPr>
          <w:rFonts w:ascii="Cambria" w:hAnsi="Cambria"/>
          <w:sz w:val="20"/>
          <w:szCs w:val="20"/>
          <w:lang w:val="es-AR"/>
        </w:rPr>
        <w:t>. </w:t>
      </w:r>
    </w:p>
    <w:p w:rsidR="000A092F" w:rsidRPr="00845503" w:rsidRDefault="000A092F" w:rsidP="000A092F">
      <w:pPr>
        <w:pStyle w:val="ListParagraph"/>
        <w:rPr>
          <w:b/>
          <w:bCs/>
          <w:sz w:val="20"/>
          <w:szCs w:val="20"/>
          <w:lang w:val="es-AR"/>
        </w:rPr>
      </w:pPr>
    </w:p>
    <w:p w:rsidR="003142C9" w:rsidRPr="00845503" w:rsidRDefault="000A092F"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
          <w:bCs/>
          <w:sz w:val="20"/>
          <w:szCs w:val="20"/>
          <w:lang w:val="es-AR"/>
        </w:rPr>
      </w:pPr>
      <w:r w:rsidRPr="00845503">
        <w:rPr>
          <w:rFonts w:ascii="Cambria" w:hAnsi="Cambria"/>
          <w:sz w:val="20"/>
          <w:szCs w:val="20"/>
          <w:lang w:val="es-AR"/>
        </w:rPr>
        <w:t>Por todo lo anterior</w:t>
      </w:r>
      <w:r w:rsidR="003142C9" w:rsidRPr="00845503">
        <w:rPr>
          <w:rFonts w:ascii="Cambria" w:hAnsi="Cambria"/>
          <w:sz w:val="20"/>
          <w:szCs w:val="20"/>
          <w:lang w:val="es-AR"/>
        </w:rPr>
        <w:t>, la Comisión concluye que el Estado</w:t>
      </w:r>
      <w:r w:rsidR="001625AE" w:rsidRPr="00845503">
        <w:rPr>
          <w:rFonts w:ascii="Cambria" w:hAnsi="Cambria" w:cs="Arial"/>
          <w:sz w:val="20"/>
          <w:szCs w:val="20"/>
          <w:lang w:val="es-ES"/>
        </w:rPr>
        <w:t xml:space="preserve"> de Cuba </w:t>
      </w:r>
      <w:r w:rsidR="003142C9" w:rsidRPr="00845503">
        <w:rPr>
          <w:rFonts w:ascii="Cambria" w:hAnsi="Cambria"/>
          <w:sz w:val="20"/>
          <w:szCs w:val="20"/>
          <w:lang w:val="es-AR"/>
        </w:rPr>
        <w:t xml:space="preserve">violó </w:t>
      </w:r>
      <w:r w:rsidR="001E5849" w:rsidRPr="00845503">
        <w:rPr>
          <w:rFonts w:ascii="Cambria" w:hAnsi="Cambria"/>
          <w:sz w:val="20"/>
          <w:szCs w:val="20"/>
          <w:lang w:val="es-AR"/>
        </w:rPr>
        <w:t xml:space="preserve">el derecho a la libertad personal, reconocido en </w:t>
      </w:r>
      <w:r w:rsidR="001625AE" w:rsidRPr="00845503">
        <w:rPr>
          <w:rFonts w:ascii="Cambria" w:hAnsi="Cambria"/>
          <w:sz w:val="20"/>
          <w:szCs w:val="20"/>
          <w:lang w:val="es-AR"/>
        </w:rPr>
        <w:t>los</w:t>
      </w:r>
      <w:r w:rsidR="003142C9" w:rsidRPr="00845503">
        <w:rPr>
          <w:rFonts w:ascii="Cambria" w:hAnsi="Cambria"/>
          <w:sz w:val="20"/>
          <w:szCs w:val="20"/>
          <w:lang w:val="es-AR"/>
        </w:rPr>
        <w:t xml:space="preserve"> artículo</w:t>
      </w:r>
      <w:r w:rsidR="001625AE" w:rsidRPr="00845503">
        <w:rPr>
          <w:rFonts w:ascii="Cambria" w:hAnsi="Cambria"/>
          <w:sz w:val="20"/>
          <w:szCs w:val="20"/>
          <w:lang w:val="es-AR"/>
        </w:rPr>
        <w:t xml:space="preserve">s I y </w:t>
      </w:r>
      <w:r w:rsidR="003142C9" w:rsidRPr="00845503">
        <w:rPr>
          <w:rFonts w:ascii="Cambria" w:hAnsi="Cambria"/>
          <w:sz w:val="20"/>
          <w:szCs w:val="20"/>
          <w:lang w:val="es-AR"/>
        </w:rPr>
        <w:t>XXV de la Declaración Americana en</w:t>
      </w:r>
      <w:r w:rsidR="00E01DF8" w:rsidRPr="00845503">
        <w:rPr>
          <w:rFonts w:ascii="Cambria" w:hAnsi="Cambria"/>
          <w:sz w:val="20"/>
          <w:szCs w:val="20"/>
          <w:lang w:val="es-AR"/>
        </w:rPr>
        <w:t xml:space="preserve"> perjuicio de </w:t>
      </w:r>
      <w:r w:rsidR="00E01DF8" w:rsidRPr="00845503">
        <w:rPr>
          <w:rFonts w:ascii="Cambria" w:hAnsi="Cambria"/>
          <w:sz w:val="20"/>
          <w:szCs w:val="20"/>
          <w:lang w:val="es-ES"/>
        </w:rPr>
        <w:t xml:space="preserve">Vladimiro Roca Antúnez, </w:t>
      </w:r>
      <w:r w:rsidR="007364FC" w:rsidRPr="00845503">
        <w:rPr>
          <w:rFonts w:ascii="Cambria" w:hAnsi="Cambria"/>
          <w:sz w:val="20"/>
          <w:szCs w:val="20"/>
          <w:lang w:val="es-ES"/>
        </w:rPr>
        <w:t>René</w:t>
      </w:r>
      <w:r w:rsidR="00E01DF8" w:rsidRPr="00845503">
        <w:rPr>
          <w:rFonts w:ascii="Cambria" w:hAnsi="Cambria"/>
          <w:sz w:val="20"/>
          <w:szCs w:val="20"/>
          <w:lang w:val="es-ES"/>
        </w:rPr>
        <w:t xml:space="preserve"> Gómez Manzano, </w:t>
      </w:r>
      <w:r w:rsidR="00967821" w:rsidRPr="00845503">
        <w:rPr>
          <w:rFonts w:ascii="Cambria" w:hAnsi="Cambria"/>
          <w:sz w:val="20"/>
          <w:szCs w:val="20"/>
          <w:lang w:val="es-ES"/>
        </w:rPr>
        <w:t>Martha</w:t>
      </w:r>
      <w:r w:rsidR="00E01DF8" w:rsidRPr="00845503">
        <w:rPr>
          <w:rFonts w:ascii="Cambria" w:hAnsi="Cambria"/>
          <w:sz w:val="20"/>
          <w:szCs w:val="20"/>
          <w:lang w:val="es-ES"/>
        </w:rPr>
        <w:t xml:space="preserve"> Beatriz Roque Cabello y Félix Bonne Carcassés</w:t>
      </w:r>
      <w:r w:rsidR="003142C9" w:rsidRPr="00845503">
        <w:rPr>
          <w:rFonts w:ascii="Cambria" w:hAnsi="Cambria"/>
          <w:sz w:val="20"/>
          <w:szCs w:val="20"/>
          <w:lang w:val="es-AR"/>
        </w:rPr>
        <w:t>.</w:t>
      </w:r>
    </w:p>
    <w:p w:rsidR="003142C9" w:rsidRPr="00845503" w:rsidRDefault="003142C9" w:rsidP="003142C9">
      <w:pPr>
        <w:rPr>
          <w:rFonts w:ascii="Cambria" w:hAnsi="Cambria"/>
          <w:b/>
          <w:bCs/>
          <w:sz w:val="20"/>
          <w:szCs w:val="20"/>
          <w:lang w:val="es-AR"/>
        </w:rPr>
      </w:pPr>
      <w:r w:rsidRPr="00845503">
        <w:rPr>
          <w:rFonts w:ascii="Cambria" w:hAnsi="Cambria"/>
          <w:b/>
          <w:bCs/>
          <w:sz w:val="20"/>
          <w:szCs w:val="20"/>
          <w:lang w:val="es-AR"/>
        </w:rPr>
        <w:t> </w:t>
      </w:r>
    </w:p>
    <w:p w:rsidR="003142C9" w:rsidRPr="00845503" w:rsidRDefault="003142C9" w:rsidP="009C22C5">
      <w:pPr>
        <w:pStyle w:val="ListParagraph"/>
        <w:numPr>
          <w:ilvl w:val="0"/>
          <w:numId w:val="64"/>
        </w:numPr>
        <w:ind w:left="1440" w:hanging="720"/>
        <w:jc w:val="both"/>
        <w:rPr>
          <w:b/>
          <w:sz w:val="20"/>
          <w:szCs w:val="20"/>
          <w:lang w:val="es-US"/>
        </w:rPr>
      </w:pPr>
      <w:r w:rsidRPr="00845503">
        <w:rPr>
          <w:b/>
          <w:sz w:val="20"/>
          <w:szCs w:val="20"/>
          <w:lang w:val="es-US"/>
        </w:rPr>
        <w:t xml:space="preserve"> Derecho a proceso regular</w:t>
      </w:r>
    </w:p>
    <w:p w:rsidR="003142C9" w:rsidRPr="00845503" w:rsidRDefault="003142C9" w:rsidP="003142C9">
      <w:pPr>
        <w:rPr>
          <w:rFonts w:ascii="Cambria" w:hAnsi="Cambria"/>
          <w:b/>
          <w:bCs/>
          <w:sz w:val="20"/>
          <w:szCs w:val="20"/>
          <w:lang w:val="es-AR"/>
        </w:rPr>
      </w:pPr>
      <w:r w:rsidRPr="00845503">
        <w:rPr>
          <w:rFonts w:ascii="Cambria" w:hAnsi="Cambria"/>
          <w:sz w:val="20"/>
          <w:szCs w:val="20"/>
          <w:lang w:val="es-AR"/>
        </w:rPr>
        <w:t> </w:t>
      </w:r>
    </w:p>
    <w:p w:rsidR="00BB011E"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
          <w:bCs/>
          <w:sz w:val="20"/>
          <w:szCs w:val="20"/>
          <w:lang w:val="es-AR"/>
        </w:rPr>
      </w:pPr>
      <w:r w:rsidRPr="00845503">
        <w:rPr>
          <w:rFonts w:ascii="Cambria" w:hAnsi="Cambria"/>
          <w:sz w:val="20"/>
          <w:szCs w:val="20"/>
          <w:lang w:val="es-AR"/>
        </w:rPr>
        <w:t>El derecho a proceso regular tal como está consagrado en el artículo XXVI de la Declaración Americana</w:t>
      </w:r>
      <w:r w:rsidR="00D30864" w:rsidRPr="00845503">
        <w:rPr>
          <w:rFonts w:ascii="Cambria" w:hAnsi="Cambria"/>
          <w:color w:val="000000"/>
          <w:sz w:val="20"/>
          <w:szCs w:val="20"/>
          <w:shd w:val="clear" w:color="auto" w:fill="FFFFFF"/>
          <w:lang w:val="es-ES"/>
        </w:rPr>
        <w:t xml:space="preserve"> reconoce el derecho al debido proceso al que </w:t>
      </w:r>
      <w:r w:rsidR="00FA5141" w:rsidRPr="00845503">
        <w:rPr>
          <w:rFonts w:ascii="Cambria" w:hAnsi="Cambria"/>
          <w:color w:val="000000"/>
          <w:sz w:val="20"/>
          <w:szCs w:val="20"/>
          <w:shd w:val="clear" w:color="auto" w:fill="FFFFFF"/>
          <w:lang w:val="es-ES"/>
        </w:rPr>
        <w:t>todas</w:t>
      </w:r>
      <w:r w:rsidR="00D30864" w:rsidRPr="00845503">
        <w:rPr>
          <w:rFonts w:ascii="Cambria" w:hAnsi="Cambria"/>
          <w:color w:val="000000"/>
          <w:sz w:val="20"/>
          <w:szCs w:val="20"/>
          <w:shd w:val="clear" w:color="auto" w:fill="FFFFFF"/>
          <w:lang w:val="es-ES"/>
        </w:rPr>
        <w:t xml:space="preserve"> </w:t>
      </w:r>
      <w:r w:rsidR="00E01DF8" w:rsidRPr="00845503">
        <w:rPr>
          <w:rFonts w:ascii="Cambria" w:hAnsi="Cambria"/>
          <w:color w:val="000000"/>
          <w:sz w:val="20"/>
          <w:szCs w:val="20"/>
          <w:shd w:val="clear" w:color="auto" w:fill="FFFFFF"/>
          <w:lang w:val="es-ES"/>
        </w:rPr>
        <w:t>las personas</w:t>
      </w:r>
      <w:r w:rsidR="00D30864" w:rsidRPr="00845503">
        <w:rPr>
          <w:rFonts w:ascii="Cambria" w:hAnsi="Cambria"/>
          <w:color w:val="000000"/>
          <w:sz w:val="20"/>
          <w:szCs w:val="20"/>
          <w:shd w:val="clear" w:color="auto" w:fill="FFFFFF"/>
          <w:lang w:val="es-ES"/>
        </w:rPr>
        <w:t xml:space="preserve"> tienen derecho</w:t>
      </w:r>
      <w:r w:rsidRPr="00845503">
        <w:rPr>
          <w:rFonts w:ascii="Cambria" w:hAnsi="Cambria"/>
          <w:sz w:val="20"/>
          <w:szCs w:val="20"/>
          <w:lang w:val="es-AR"/>
        </w:rPr>
        <w:t>.</w:t>
      </w:r>
    </w:p>
    <w:p w:rsidR="00BB011E" w:rsidRPr="00845503" w:rsidRDefault="00BB011E" w:rsidP="00BB01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lang w:val="es-AR"/>
        </w:rPr>
      </w:pPr>
    </w:p>
    <w:p w:rsidR="00E01DF8" w:rsidRPr="00845503" w:rsidRDefault="00D30864"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
          <w:bCs/>
          <w:sz w:val="20"/>
          <w:szCs w:val="20"/>
          <w:lang w:val="es-AR"/>
        </w:rPr>
      </w:pPr>
      <w:r w:rsidRPr="00845503">
        <w:rPr>
          <w:rFonts w:ascii="Cambria" w:hAnsi="Cambria"/>
          <w:color w:val="000000"/>
          <w:sz w:val="20"/>
          <w:szCs w:val="20"/>
          <w:shd w:val="clear" w:color="auto" w:fill="FFFFFF"/>
          <w:lang w:val="es-ES"/>
        </w:rPr>
        <w:t>La Comisión ha subrayado desde hace tiempo el carácter axiomático de la presunción de la inocencia en los procesos penales y ha exhortado a los Estados a garantizar que la misma esté expresamente establecida en sus leyes internas. Es de anotar que esta presunción puede considerarse violada cuando la persona es detenida preventivamente bajo acusación penal durante un período prolongado sin la debida justificación, debido a que esa detención se transforma en una sanción y no en una medida cautelar, lo que equivale a anticipar una sentencia</w:t>
      </w:r>
      <w:r w:rsidR="00E01DF8" w:rsidRPr="00845503">
        <w:rPr>
          <w:rStyle w:val="FootnoteReference"/>
          <w:rFonts w:ascii="Cambria" w:hAnsi="Cambria"/>
          <w:color w:val="000000"/>
          <w:sz w:val="20"/>
          <w:szCs w:val="20"/>
          <w:shd w:val="clear" w:color="auto" w:fill="FFFFFF"/>
          <w:lang w:val="es-ES"/>
        </w:rPr>
        <w:footnoteReference w:id="102"/>
      </w:r>
      <w:r w:rsidRPr="00845503">
        <w:rPr>
          <w:rFonts w:ascii="Cambria" w:hAnsi="Cambria"/>
          <w:color w:val="000000"/>
          <w:sz w:val="20"/>
          <w:szCs w:val="20"/>
          <w:shd w:val="clear" w:color="auto" w:fill="FFFFFF"/>
          <w:lang w:val="es-ES"/>
        </w:rPr>
        <w:t>.</w:t>
      </w:r>
    </w:p>
    <w:p w:rsidR="00E01DF8" w:rsidRPr="00845503" w:rsidRDefault="00E01DF8" w:rsidP="00E01DF8">
      <w:pPr>
        <w:pStyle w:val="ListParagraph"/>
        <w:rPr>
          <w:b/>
          <w:bCs/>
          <w:sz w:val="20"/>
          <w:szCs w:val="20"/>
          <w:lang w:val="es-AR"/>
        </w:rPr>
      </w:pPr>
    </w:p>
    <w:p w:rsidR="004D5C7A" w:rsidRPr="00845503" w:rsidRDefault="00E01DF8"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
          <w:bCs/>
          <w:sz w:val="20"/>
          <w:szCs w:val="20"/>
          <w:lang w:val="es-AR"/>
        </w:rPr>
      </w:pPr>
      <w:r w:rsidRPr="00845503">
        <w:rPr>
          <w:rFonts w:ascii="Cambria" w:hAnsi="Cambria"/>
          <w:color w:val="000000"/>
          <w:sz w:val="20"/>
          <w:szCs w:val="20"/>
          <w:shd w:val="clear" w:color="auto" w:fill="FFFFFF"/>
          <w:lang w:val="es-ES"/>
        </w:rPr>
        <w:t xml:space="preserve">El derecho internacional de los derechos humanos requiere que, para que el proceso en un tribunal competente, independiente e imparcial sea justo, debe ir acompañado de ciertas debidas garantías que otorgan a la persona una oportunidad adecuada y efectiva para defenderse de los cargos que se le imputan.  Si bien el principio rector en todo proceso debe ser siempre el de la justicia y si bien puede ser necesario contar con garantías adicionales en circunstancias específicas para garantizar un juicio </w:t>
      </w:r>
      <w:r w:rsidR="00FA5141" w:rsidRPr="00845503">
        <w:rPr>
          <w:rFonts w:ascii="Cambria" w:hAnsi="Cambria"/>
          <w:color w:val="000000"/>
          <w:sz w:val="20"/>
          <w:szCs w:val="20"/>
          <w:shd w:val="clear" w:color="auto" w:fill="FFFFFF"/>
          <w:lang w:val="es-ES"/>
        </w:rPr>
        <w:t>justo, se</w:t>
      </w:r>
      <w:r w:rsidRPr="00845503">
        <w:rPr>
          <w:rFonts w:ascii="Cambria" w:hAnsi="Cambria"/>
          <w:color w:val="000000"/>
          <w:sz w:val="20"/>
          <w:szCs w:val="20"/>
          <w:shd w:val="clear" w:color="auto" w:fill="FFFFFF"/>
          <w:lang w:val="es-ES"/>
        </w:rPr>
        <w:t xml:space="preserve"> ha entendido que las protecciones más esenciales incluyen el derecho del acusado a la notificación previa y detallada de los cargos que se le imputan, el derecho a defenderse personalmente o mediante asistencia de </w:t>
      </w:r>
      <w:r w:rsidR="00FD53EC" w:rsidRPr="00845503">
        <w:rPr>
          <w:rFonts w:ascii="Cambria" w:hAnsi="Cambria"/>
          <w:color w:val="000000"/>
          <w:sz w:val="20"/>
          <w:szCs w:val="20"/>
          <w:shd w:val="clear" w:color="auto" w:fill="FFFFFF"/>
          <w:lang w:val="es-ES"/>
        </w:rPr>
        <w:t xml:space="preserve">abogado de su elección y </w:t>
      </w:r>
      <w:r w:rsidRPr="00845503">
        <w:rPr>
          <w:rFonts w:ascii="Cambria" w:hAnsi="Cambria"/>
          <w:color w:val="000000"/>
          <w:sz w:val="20"/>
          <w:szCs w:val="20"/>
          <w:shd w:val="clear" w:color="auto" w:fill="FFFFFF"/>
          <w:lang w:val="es-ES"/>
        </w:rPr>
        <w:t>en los casos que así lo requiera la justicia</w:t>
      </w:r>
      <w:r w:rsidR="00052292" w:rsidRPr="00845503">
        <w:rPr>
          <w:rFonts w:ascii="Cambria" w:hAnsi="Cambria"/>
          <w:color w:val="000000"/>
          <w:sz w:val="20"/>
          <w:szCs w:val="20"/>
          <w:shd w:val="clear" w:color="auto" w:fill="FFFFFF"/>
          <w:lang w:val="es-ES"/>
        </w:rPr>
        <w:t xml:space="preserve"> </w:t>
      </w:r>
      <w:r w:rsidRPr="00845503">
        <w:rPr>
          <w:rFonts w:ascii="Cambria" w:hAnsi="Cambria"/>
          <w:color w:val="000000"/>
          <w:sz w:val="20"/>
          <w:szCs w:val="20"/>
          <w:shd w:val="clear" w:color="auto" w:fill="FFFFFF"/>
          <w:lang w:val="es-ES"/>
        </w:rPr>
        <w:t>gratuito, y a comunicarse libre y privadamente con su defensor. Estas protecciones también incluyen el derecho a un tiempo y medios adecuados para la preparación de su defensa, a interrogar a los testigos presentes en el tribunal y la obtención de la comparecencia, como testigos, de expertos y otras personas que puedan arrojar luz sobre los hechos.  Además, el acusado no puede ser obligado a prestar testimonio en su contra ni a declararse culpable, y debe otorgársele el derecho de apelar la sentencia ante una instancia superior y el derecho a un juicio público</w:t>
      </w:r>
      <w:r w:rsidRPr="00845503">
        <w:rPr>
          <w:rStyle w:val="FootnoteReference"/>
          <w:rFonts w:ascii="Cambria" w:hAnsi="Cambria"/>
          <w:color w:val="000000"/>
          <w:sz w:val="20"/>
          <w:szCs w:val="20"/>
          <w:shd w:val="clear" w:color="auto" w:fill="FFFFFF"/>
          <w:lang w:val="es-ES"/>
        </w:rPr>
        <w:footnoteReference w:id="103"/>
      </w:r>
      <w:r w:rsidRPr="00845503">
        <w:rPr>
          <w:rFonts w:ascii="Cambria" w:hAnsi="Cambria"/>
          <w:color w:val="000000"/>
          <w:sz w:val="20"/>
          <w:szCs w:val="20"/>
          <w:shd w:val="clear" w:color="auto" w:fill="FFFFFF"/>
          <w:lang w:val="es-ES"/>
        </w:rPr>
        <w:t>.</w:t>
      </w:r>
      <w:r w:rsidRPr="00845503">
        <w:rPr>
          <w:rFonts w:ascii="Cambria" w:hAnsi="Cambria"/>
          <w:b/>
          <w:bCs/>
          <w:sz w:val="20"/>
          <w:szCs w:val="20"/>
          <w:lang w:val="es-AR"/>
        </w:rPr>
        <w:t xml:space="preserve"> </w:t>
      </w:r>
    </w:p>
    <w:p w:rsidR="004D5C7A" w:rsidRPr="00845503" w:rsidRDefault="004D5C7A" w:rsidP="004D5C7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lang w:val="es-AR"/>
        </w:rPr>
      </w:pPr>
    </w:p>
    <w:p w:rsidR="000922C0" w:rsidRPr="00845503" w:rsidRDefault="00817F5A"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Cs/>
          <w:sz w:val="20"/>
          <w:szCs w:val="20"/>
          <w:lang w:val="es-AR"/>
        </w:rPr>
      </w:pPr>
      <w:r w:rsidRPr="00845503">
        <w:rPr>
          <w:rFonts w:ascii="Cambria" w:hAnsi="Cambria"/>
          <w:sz w:val="20"/>
          <w:szCs w:val="20"/>
          <w:lang w:val="es-CO"/>
        </w:rPr>
        <w:t>Se</w:t>
      </w:r>
      <w:r w:rsidRPr="00845503">
        <w:rPr>
          <w:rFonts w:ascii="Cambria" w:hAnsi="Cambria"/>
          <w:sz w:val="20"/>
          <w:szCs w:val="20"/>
          <w:lang w:val="es-AR"/>
        </w:rPr>
        <w:t xml:space="preserve"> ha tenido por probado</w:t>
      </w:r>
      <w:r w:rsidR="003142C9" w:rsidRPr="00845503">
        <w:rPr>
          <w:rFonts w:ascii="Cambria" w:hAnsi="Cambria"/>
          <w:sz w:val="20"/>
          <w:szCs w:val="20"/>
          <w:lang w:val="es-AR"/>
        </w:rPr>
        <w:t xml:space="preserve"> que las víctimas no fueron informadas de las razones de su detención y que tampoco fueron notificadas de los cargos en su contra </w:t>
      </w:r>
      <w:r w:rsidRPr="00845503">
        <w:rPr>
          <w:rFonts w:ascii="Cambria" w:hAnsi="Cambria"/>
          <w:sz w:val="20"/>
          <w:szCs w:val="20"/>
          <w:lang w:val="es-AR"/>
        </w:rPr>
        <w:t xml:space="preserve">sino hasta </w:t>
      </w:r>
      <w:r w:rsidR="00814696" w:rsidRPr="00845503">
        <w:rPr>
          <w:rFonts w:ascii="Cambria" w:hAnsi="Cambria"/>
          <w:sz w:val="20"/>
          <w:szCs w:val="20"/>
          <w:lang w:val="es-AR"/>
        </w:rPr>
        <w:t xml:space="preserve">aproximadamente </w:t>
      </w:r>
      <w:r w:rsidRPr="00845503">
        <w:rPr>
          <w:rFonts w:ascii="Cambria" w:hAnsi="Cambria"/>
          <w:sz w:val="20"/>
          <w:szCs w:val="20"/>
          <w:lang w:val="es-AR"/>
        </w:rPr>
        <w:t xml:space="preserve">14 meses </w:t>
      </w:r>
      <w:r w:rsidRPr="00845503">
        <w:rPr>
          <w:rFonts w:ascii="Cambria" w:hAnsi="Cambria"/>
          <w:sz w:val="20"/>
          <w:szCs w:val="20"/>
          <w:lang w:val="es-AR"/>
        </w:rPr>
        <w:lastRenderedPageBreak/>
        <w:t>después de estar privados de la libertad</w:t>
      </w:r>
      <w:r w:rsidR="003142C9" w:rsidRPr="00845503">
        <w:rPr>
          <w:rFonts w:ascii="Cambria" w:hAnsi="Cambria"/>
          <w:sz w:val="20"/>
          <w:szCs w:val="20"/>
          <w:lang w:val="es-AR"/>
        </w:rPr>
        <w:t xml:space="preserve">. </w:t>
      </w:r>
      <w:r w:rsidR="004D5C7A" w:rsidRPr="00845503">
        <w:rPr>
          <w:rFonts w:ascii="Cambria" w:hAnsi="Cambria"/>
          <w:sz w:val="20"/>
          <w:szCs w:val="20"/>
          <w:lang w:val="es-AR"/>
        </w:rPr>
        <w:t xml:space="preserve"> </w:t>
      </w:r>
      <w:r w:rsidR="0014033E" w:rsidRPr="00845503">
        <w:rPr>
          <w:rFonts w:ascii="Cambria" w:hAnsi="Cambria"/>
          <w:sz w:val="20"/>
          <w:szCs w:val="20"/>
          <w:lang w:val="es-AR"/>
        </w:rPr>
        <w:t>El Estado no demostró que esta prolongada privación de la libertad respondiera a fines cautelares</w:t>
      </w:r>
      <w:r w:rsidR="00081F32" w:rsidRPr="00845503">
        <w:rPr>
          <w:rFonts w:ascii="Cambria" w:hAnsi="Cambria"/>
          <w:sz w:val="20"/>
          <w:szCs w:val="20"/>
          <w:lang w:val="es-AR"/>
        </w:rPr>
        <w:t xml:space="preserve"> legítimos</w:t>
      </w:r>
      <w:r w:rsidR="0014033E" w:rsidRPr="00845503">
        <w:rPr>
          <w:rFonts w:ascii="Cambria" w:hAnsi="Cambria"/>
          <w:sz w:val="20"/>
          <w:szCs w:val="20"/>
          <w:lang w:val="es-AR"/>
        </w:rPr>
        <w:t xml:space="preserve">. Por el contrario, ha quedado demostrado que la detención preventiva se transformó en una sanción </w:t>
      </w:r>
      <w:r w:rsidR="0014033E" w:rsidRPr="00845503">
        <w:rPr>
          <w:rFonts w:ascii="Cambria" w:hAnsi="Cambria"/>
          <w:i/>
          <w:sz w:val="20"/>
          <w:szCs w:val="20"/>
          <w:lang w:val="es-AR"/>
        </w:rPr>
        <w:t>de facto</w:t>
      </w:r>
      <w:r w:rsidR="0014033E" w:rsidRPr="00845503">
        <w:rPr>
          <w:rFonts w:ascii="Cambria" w:hAnsi="Cambria"/>
          <w:sz w:val="20"/>
          <w:szCs w:val="20"/>
          <w:lang w:val="es-AR"/>
        </w:rPr>
        <w:t>, que anticipó a la sentencia condenatoria</w:t>
      </w:r>
      <w:r w:rsidR="00FF6C3B" w:rsidRPr="00845503">
        <w:rPr>
          <w:rFonts w:ascii="Cambria" w:hAnsi="Cambria"/>
          <w:sz w:val="20"/>
          <w:szCs w:val="20"/>
          <w:lang w:val="es-AR"/>
        </w:rPr>
        <w:t>, en violación del principio de presunción de inocencia</w:t>
      </w:r>
      <w:r w:rsidR="0014033E" w:rsidRPr="00845503">
        <w:rPr>
          <w:rFonts w:ascii="Cambria" w:hAnsi="Cambria"/>
          <w:sz w:val="20"/>
          <w:szCs w:val="20"/>
          <w:lang w:val="es-AR"/>
        </w:rPr>
        <w:t xml:space="preserve">. </w:t>
      </w:r>
      <w:r w:rsidR="004D5C7A" w:rsidRPr="00845503">
        <w:rPr>
          <w:rFonts w:ascii="Cambria" w:hAnsi="Cambria"/>
          <w:sz w:val="20"/>
          <w:szCs w:val="20"/>
          <w:lang w:val="es-AR"/>
        </w:rPr>
        <w:t xml:space="preserve"> </w:t>
      </w:r>
      <w:r w:rsidR="0014033E" w:rsidRPr="00845503">
        <w:rPr>
          <w:rFonts w:ascii="Cambria" w:hAnsi="Cambria"/>
          <w:sz w:val="20"/>
          <w:szCs w:val="20"/>
          <w:lang w:val="es-AR"/>
        </w:rPr>
        <w:t>Asimismo</w:t>
      </w:r>
      <w:r w:rsidR="003142C9" w:rsidRPr="00845503">
        <w:rPr>
          <w:rFonts w:ascii="Cambria" w:hAnsi="Cambria"/>
          <w:sz w:val="20"/>
          <w:szCs w:val="20"/>
          <w:lang w:val="es-AR"/>
        </w:rPr>
        <w:t xml:space="preserve">, </w:t>
      </w:r>
      <w:r w:rsidR="0014033E" w:rsidRPr="00845503">
        <w:rPr>
          <w:rFonts w:ascii="Cambria" w:hAnsi="Cambria"/>
          <w:sz w:val="20"/>
          <w:szCs w:val="20"/>
          <w:lang w:val="es-AR"/>
        </w:rPr>
        <w:t xml:space="preserve">la CIDH advierte que </w:t>
      </w:r>
      <w:r w:rsidR="003142C9" w:rsidRPr="00845503">
        <w:rPr>
          <w:rFonts w:ascii="Cambria" w:hAnsi="Cambria"/>
          <w:sz w:val="20"/>
          <w:szCs w:val="20"/>
          <w:lang w:val="es-AR"/>
        </w:rPr>
        <w:t xml:space="preserve">las víctimas </w:t>
      </w:r>
      <w:r w:rsidRPr="00845503">
        <w:rPr>
          <w:rFonts w:ascii="Cambria" w:hAnsi="Cambria"/>
          <w:sz w:val="20"/>
          <w:szCs w:val="20"/>
          <w:lang w:val="es-AR"/>
        </w:rPr>
        <w:t xml:space="preserve">y sus familiares </w:t>
      </w:r>
      <w:r w:rsidR="003142C9" w:rsidRPr="00845503">
        <w:rPr>
          <w:rFonts w:ascii="Cambria" w:hAnsi="Cambria"/>
          <w:sz w:val="20"/>
          <w:szCs w:val="20"/>
          <w:lang w:val="es-AR"/>
        </w:rPr>
        <w:t xml:space="preserve">no tuvieron </w:t>
      </w:r>
      <w:r w:rsidR="00BB011E" w:rsidRPr="00845503">
        <w:rPr>
          <w:rFonts w:ascii="Cambria" w:hAnsi="Cambria"/>
          <w:sz w:val="20"/>
          <w:szCs w:val="20"/>
          <w:lang w:val="es-AR"/>
        </w:rPr>
        <w:t xml:space="preserve">acceso al expediente judicial y se les negó </w:t>
      </w:r>
      <w:r w:rsidR="003142C9" w:rsidRPr="00845503">
        <w:rPr>
          <w:rFonts w:ascii="Cambria" w:hAnsi="Cambria"/>
          <w:sz w:val="20"/>
          <w:szCs w:val="20"/>
          <w:lang w:val="es-AR"/>
        </w:rPr>
        <w:t>el derecho a elegir</w:t>
      </w:r>
      <w:r w:rsidR="00A85B9C" w:rsidRPr="00845503">
        <w:rPr>
          <w:rFonts w:ascii="Cambria" w:hAnsi="Cambria"/>
          <w:sz w:val="20"/>
          <w:szCs w:val="20"/>
          <w:lang w:val="es-AR"/>
        </w:rPr>
        <w:t xml:space="preserve"> un</w:t>
      </w:r>
      <w:r w:rsidR="003142C9" w:rsidRPr="00845503">
        <w:rPr>
          <w:rFonts w:ascii="Cambria" w:hAnsi="Cambria"/>
          <w:sz w:val="20"/>
          <w:szCs w:val="20"/>
          <w:lang w:val="es-AR"/>
        </w:rPr>
        <w:t xml:space="preserve"> </w:t>
      </w:r>
      <w:r w:rsidRPr="00845503">
        <w:rPr>
          <w:rFonts w:ascii="Cambria" w:hAnsi="Cambria"/>
          <w:sz w:val="20"/>
          <w:szCs w:val="20"/>
          <w:lang w:val="es-AR"/>
        </w:rPr>
        <w:t>abogado de su elección</w:t>
      </w:r>
      <w:r w:rsidR="00814696" w:rsidRPr="00845503">
        <w:rPr>
          <w:rFonts w:ascii="Cambria" w:hAnsi="Cambria"/>
          <w:sz w:val="20"/>
          <w:szCs w:val="20"/>
          <w:lang w:val="es-AR"/>
        </w:rPr>
        <w:t>. Solo tuvieron acceso a abogados de la defensa pública</w:t>
      </w:r>
      <w:r w:rsidR="003142C9" w:rsidRPr="00845503">
        <w:rPr>
          <w:rFonts w:ascii="Cambria" w:hAnsi="Cambria"/>
          <w:sz w:val="20"/>
          <w:szCs w:val="20"/>
          <w:lang w:val="es-AR"/>
        </w:rPr>
        <w:t>.</w:t>
      </w:r>
      <w:r w:rsidR="0014033E" w:rsidRPr="00845503">
        <w:rPr>
          <w:rFonts w:ascii="Cambria" w:hAnsi="Cambria"/>
          <w:sz w:val="20"/>
          <w:szCs w:val="20"/>
          <w:lang w:val="es-AR"/>
        </w:rPr>
        <w:t xml:space="preserve"> E</w:t>
      </w:r>
      <w:r w:rsidRPr="00845503">
        <w:rPr>
          <w:rFonts w:ascii="Cambria" w:hAnsi="Cambria"/>
          <w:sz w:val="20"/>
          <w:szCs w:val="20"/>
          <w:lang w:val="es-AR"/>
        </w:rPr>
        <w:t>l tribunal de juicio</w:t>
      </w:r>
      <w:r w:rsidR="00BB011E" w:rsidRPr="00845503">
        <w:rPr>
          <w:rFonts w:ascii="Cambria" w:hAnsi="Cambria"/>
          <w:sz w:val="20"/>
          <w:szCs w:val="20"/>
          <w:lang w:val="es-AR"/>
        </w:rPr>
        <w:t xml:space="preserve"> </w:t>
      </w:r>
      <w:r w:rsidR="0014033E" w:rsidRPr="00845503">
        <w:rPr>
          <w:rFonts w:ascii="Cambria" w:hAnsi="Cambria"/>
          <w:sz w:val="20"/>
          <w:szCs w:val="20"/>
          <w:lang w:val="es-AR"/>
        </w:rPr>
        <w:t>n</w:t>
      </w:r>
      <w:r w:rsidR="00BB011E" w:rsidRPr="00845503">
        <w:rPr>
          <w:rFonts w:ascii="Cambria" w:hAnsi="Cambria"/>
          <w:sz w:val="20"/>
          <w:szCs w:val="20"/>
          <w:lang w:val="es-AR"/>
        </w:rPr>
        <w:t xml:space="preserve">egó </w:t>
      </w:r>
      <w:r w:rsidR="0014033E" w:rsidRPr="00845503">
        <w:rPr>
          <w:rFonts w:ascii="Cambria" w:hAnsi="Cambria"/>
          <w:sz w:val="20"/>
          <w:szCs w:val="20"/>
          <w:lang w:val="es-AR"/>
        </w:rPr>
        <w:t>a René Gómez Manzano</w:t>
      </w:r>
      <w:r w:rsidR="00814696" w:rsidRPr="00845503">
        <w:rPr>
          <w:rFonts w:ascii="Cambria" w:hAnsi="Cambria"/>
          <w:sz w:val="20"/>
          <w:szCs w:val="20"/>
          <w:lang w:val="es-AR"/>
        </w:rPr>
        <w:t>, que es abogado de profesión,</w:t>
      </w:r>
      <w:r w:rsidR="0014033E" w:rsidRPr="00845503">
        <w:rPr>
          <w:rFonts w:ascii="Cambria" w:hAnsi="Cambria"/>
          <w:sz w:val="20"/>
          <w:szCs w:val="20"/>
          <w:lang w:val="es-AR"/>
        </w:rPr>
        <w:t xml:space="preserve"> </w:t>
      </w:r>
      <w:r w:rsidR="00BB011E" w:rsidRPr="00845503">
        <w:rPr>
          <w:rFonts w:ascii="Cambria" w:hAnsi="Cambria"/>
          <w:sz w:val="20"/>
          <w:szCs w:val="20"/>
          <w:lang w:val="es-AR"/>
        </w:rPr>
        <w:t xml:space="preserve">el derecho a ejercer su propia defensa, bajo argumentos caprichosos y sin sustento legal. </w:t>
      </w:r>
      <w:r w:rsidR="004D5C7A" w:rsidRPr="00845503">
        <w:rPr>
          <w:rFonts w:ascii="Cambria" w:hAnsi="Cambria"/>
          <w:sz w:val="20"/>
          <w:szCs w:val="20"/>
          <w:lang w:val="es-AR"/>
        </w:rPr>
        <w:t xml:space="preserve">A este respecto, es necesario precisar que </w:t>
      </w:r>
      <w:r w:rsidR="004D5C7A" w:rsidRPr="00845503">
        <w:rPr>
          <w:rFonts w:ascii="Cambria" w:hAnsi="Cambria"/>
          <w:bCs/>
          <w:sz w:val="20"/>
          <w:szCs w:val="20"/>
          <w:lang w:val="es-AR"/>
        </w:rPr>
        <w:t xml:space="preserve">la prohibición legal del ejercicio de la profesión de </w:t>
      </w:r>
      <w:r w:rsidR="000922C0" w:rsidRPr="00845503">
        <w:rPr>
          <w:rFonts w:ascii="Cambria" w:hAnsi="Cambria"/>
          <w:bCs/>
          <w:sz w:val="20"/>
          <w:szCs w:val="20"/>
          <w:lang w:val="es-AR"/>
        </w:rPr>
        <w:t>abogados independiente</w:t>
      </w:r>
      <w:r w:rsidR="004D5C7A" w:rsidRPr="00845503">
        <w:rPr>
          <w:rFonts w:ascii="Cambria" w:hAnsi="Cambria"/>
          <w:bCs/>
          <w:sz w:val="20"/>
          <w:szCs w:val="20"/>
          <w:lang w:val="es-AR"/>
        </w:rPr>
        <w:t>s</w:t>
      </w:r>
      <w:r w:rsidR="000922C0" w:rsidRPr="00845503">
        <w:rPr>
          <w:rFonts w:ascii="Cambria" w:hAnsi="Cambria"/>
          <w:bCs/>
          <w:sz w:val="20"/>
          <w:szCs w:val="20"/>
          <w:lang w:val="es-AR"/>
        </w:rPr>
        <w:t xml:space="preserve"> </w:t>
      </w:r>
      <w:r w:rsidR="004D5C7A" w:rsidRPr="00845503">
        <w:rPr>
          <w:rFonts w:ascii="Cambria" w:hAnsi="Cambria"/>
          <w:bCs/>
          <w:sz w:val="20"/>
          <w:szCs w:val="20"/>
          <w:lang w:val="es-AR"/>
        </w:rPr>
        <w:t>impide seriamente</w:t>
      </w:r>
      <w:r w:rsidR="00332393" w:rsidRPr="00845503">
        <w:rPr>
          <w:rFonts w:ascii="Cambria" w:hAnsi="Cambria"/>
          <w:bCs/>
          <w:sz w:val="20"/>
          <w:szCs w:val="20"/>
          <w:lang w:val="es-AR"/>
        </w:rPr>
        <w:t xml:space="preserve"> acceder a abogados independientes</w:t>
      </w:r>
      <w:r w:rsidR="004D5C7A" w:rsidRPr="00845503">
        <w:rPr>
          <w:rFonts w:ascii="Cambria" w:hAnsi="Cambria"/>
          <w:bCs/>
          <w:sz w:val="20"/>
          <w:szCs w:val="20"/>
          <w:lang w:val="es-AR"/>
        </w:rPr>
        <w:t xml:space="preserve"> en Cuba.</w:t>
      </w:r>
    </w:p>
    <w:p w:rsidR="004D5C7A" w:rsidRPr="00845503" w:rsidRDefault="004D5C7A" w:rsidP="004D5C7A">
      <w:pPr>
        <w:pStyle w:val="ListParagraph"/>
        <w:rPr>
          <w:b/>
          <w:bCs/>
          <w:sz w:val="20"/>
          <w:szCs w:val="20"/>
          <w:lang w:val="es-AR"/>
        </w:rPr>
      </w:pPr>
    </w:p>
    <w:p w:rsidR="006B0BA0" w:rsidRPr="00845503" w:rsidRDefault="00403D47"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
          <w:bCs/>
          <w:sz w:val="20"/>
          <w:szCs w:val="20"/>
          <w:lang w:val="es-AR"/>
        </w:rPr>
      </w:pPr>
      <w:r w:rsidRPr="00845503">
        <w:rPr>
          <w:rFonts w:ascii="Cambria" w:hAnsi="Cambria"/>
          <w:sz w:val="20"/>
          <w:szCs w:val="20"/>
          <w:lang w:val="es-AR"/>
        </w:rPr>
        <w:t>Además, los hechos de este caso indican que el juicio celebrado contra las víctimas se habría realizado a puertas cerradas</w:t>
      </w:r>
      <w:r w:rsidR="00F21946" w:rsidRPr="00845503">
        <w:rPr>
          <w:rFonts w:ascii="Cambria" w:hAnsi="Cambria"/>
          <w:sz w:val="20"/>
          <w:szCs w:val="20"/>
          <w:lang w:val="es-AR"/>
        </w:rPr>
        <w:t>, sin que se verifiquen</w:t>
      </w:r>
      <w:r w:rsidRPr="00845503">
        <w:rPr>
          <w:rFonts w:ascii="Cambria" w:hAnsi="Cambria"/>
          <w:sz w:val="20"/>
          <w:szCs w:val="20"/>
          <w:lang w:val="es-AR"/>
        </w:rPr>
        <w:t xml:space="preserve"> circunstancias excepcionales que justifi</w:t>
      </w:r>
      <w:r w:rsidR="00F21946" w:rsidRPr="00845503">
        <w:rPr>
          <w:rFonts w:ascii="Cambria" w:hAnsi="Cambria"/>
          <w:sz w:val="20"/>
          <w:szCs w:val="20"/>
          <w:lang w:val="es-AR"/>
        </w:rPr>
        <w:t>caran</w:t>
      </w:r>
      <w:r w:rsidRPr="00845503">
        <w:rPr>
          <w:rFonts w:ascii="Cambria" w:hAnsi="Cambria"/>
          <w:sz w:val="20"/>
          <w:szCs w:val="20"/>
          <w:lang w:val="es-AR"/>
        </w:rPr>
        <w:t xml:space="preserve"> la necesidad de aplicar restricciones</w:t>
      </w:r>
      <w:r w:rsidR="00E32F8E" w:rsidRPr="00845503">
        <w:rPr>
          <w:rFonts w:ascii="Cambria" w:hAnsi="Cambria"/>
          <w:sz w:val="20"/>
          <w:szCs w:val="20"/>
          <w:lang w:val="es-AR"/>
        </w:rPr>
        <w:t xml:space="preserve"> de esta naturaleza</w:t>
      </w:r>
      <w:r w:rsidR="00F21946" w:rsidRPr="00845503">
        <w:rPr>
          <w:rFonts w:ascii="Cambria" w:hAnsi="Cambria"/>
          <w:sz w:val="20"/>
          <w:szCs w:val="20"/>
          <w:lang w:val="es-AR"/>
        </w:rPr>
        <w:t>. E</w:t>
      </w:r>
      <w:r w:rsidRPr="00845503">
        <w:rPr>
          <w:rFonts w:ascii="Cambria" w:hAnsi="Cambria"/>
          <w:sz w:val="20"/>
          <w:szCs w:val="20"/>
          <w:lang w:val="es-AR"/>
        </w:rPr>
        <w:t>stos</w:t>
      </w:r>
      <w:r w:rsidR="00E32F8E" w:rsidRPr="00845503">
        <w:rPr>
          <w:rFonts w:ascii="Cambria" w:hAnsi="Cambria"/>
          <w:sz w:val="20"/>
          <w:szCs w:val="20"/>
          <w:lang w:val="es-AR"/>
        </w:rPr>
        <w:t xml:space="preserve"> procesos</w:t>
      </w:r>
      <w:r w:rsidRPr="00845503">
        <w:rPr>
          <w:rFonts w:ascii="Cambria" w:hAnsi="Cambria"/>
          <w:sz w:val="20"/>
          <w:szCs w:val="20"/>
          <w:lang w:val="es-AR"/>
        </w:rPr>
        <w:t xml:space="preserve"> podían desarrollarse públicamente sin afectar la buena marcha de la justicia. </w:t>
      </w:r>
    </w:p>
    <w:p w:rsidR="006B0BA0" w:rsidRPr="00845503" w:rsidRDefault="006B0BA0" w:rsidP="006B0BA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lang w:val="es-AR"/>
        </w:rPr>
      </w:pPr>
    </w:p>
    <w:p w:rsidR="006B0BA0" w:rsidRPr="00845503" w:rsidRDefault="00817F5A"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
          <w:bCs/>
          <w:sz w:val="20"/>
          <w:szCs w:val="20"/>
          <w:lang w:val="es-AR"/>
        </w:rPr>
      </w:pPr>
      <w:r w:rsidRPr="00845503">
        <w:rPr>
          <w:rFonts w:ascii="Cambria" w:hAnsi="Cambria"/>
          <w:sz w:val="20"/>
          <w:szCs w:val="20"/>
          <w:lang w:val="es-AR"/>
        </w:rPr>
        <w:t>Asimismo, l</w:t>
      </w:r>
      <w:r w:rsidR="003142C9" w:rsidRPr="00845503">
        <w:rPr>
          <w:rFonts w:ascii="Cambria" w:hAnsi="Cambria"/>
          <w:sz w:val="20"/>
          <w:szCs w:val="20"/>
          <w:lang w:val="es-AR"/>
        </w:rPr>
        <w:t>a Comisión ha sostenido reiteradamente que en Cuba no existe una debida separación entre los poderes públicos que garantice una administración de justicia libre de injerencias provenientes de los demás poderes</w:t>
      </w:r>
      <w:bookmarkStart w:id="16" w:name="_ftnref119"/>
      <w:r w:rsidR="003142C9" w:rsidRPr="00845503">
        <w:rPr>
          <w:rFonts w:ascii="Cambria" w:hAnsi="Cambria"/>
          <w:sz w:val="20"/>
          <w:szCs w:val="20"/>
          <w:lang w:val="es-AR"/>
        </w:rPr>
        <w:fldChar w:fldCharType="begin"/>
      </w:r>
      <w:r w:rsidR="003142C9" w:rsidRPr="00845503">
        <w:rPr>
          <w:rFonts w:ascii="Cambria" w:hAnsi="Cambria"/>
          <w:sz w:val="20"/>
          <w:szCs w:val="20"/>
          <w:lang w:val="es-AR"/>
        </w:rPr>
        <w:instrText xml:space="preserve"> HYPERLINK "http://www.cidh.oas.org/annualrep/2006sp/Cuba12476sp.htm" \l "_ftn119" \o "" </w:instrText>
      </w:r>
      <w:r w:rsidR="003142C9" w:rsidRPr="00845503">
        <w:rPr>
          <w:rFonts w:ascii="Cambria" w:hAnsi="Cambria"/>
          <w:sz w:val="20"/>
          <w:szCs w:val="20"/>
          <w:lang w:val="es-AR"/>
        </w:rPr>
        <w:fldChar w:fldCharType="end"/>
      </w:r>
      <w:bookmarkEnd w:id="16"/>
      <w:r w:rsidR="003142C9" w:rsidRPr="00845503">
        <w:rPr>
          <w:rFonts w:ascii="Cambria" w:hAnsi="Cambria"/>
          <w:sz w:val="20"/>
          <w:szCs w:val="20"/>
          <w:lang w:val="es-AR"/>
        </w:rPr>
        <w:t xml:space="preserve">. En efecto, la Constitución de Cuba, en su artículo 121, establece que “[l]os tribunales constituyen un sistema de órganos estatales, estructurado con independencia funcional de cualquier otro y subordinado jerárquicamente a la Asamblea Nacional del Poder Popular y al Consejo de Estado”. La Comisión </w:t>
      </w:r>
      <w:r w:rsidR="006B0BA0" w:rsidRPr="00845503">
        <w:rPr>
          <w:rFonts w:ascii="Cambria" w:hAnsi="Cambria"/>
          <w:sz w:val="20"/>
          <w:szCs w:val="20"/>
          <w:lang w:val="es-AR"/>
        </w:rPr>
        <w:t xml:space="preserve">ha </w:t>
      </w:r>
      <w:r w:rsidR="003142C9" w:rsidRPr="00845503">
        <w:rPr>
          <w:rFonts w:ascii="Cambria" w:hAnsi="Cambria"/>
          <w:sz w:val="20"/>
          <w:szCs w:val="20"/>
          <w:lang w:val="es-AR"/>
        </w:rPr>
        <w:t>estima</w:t>
      </w:r>
      <w:r w:rsidR="006B0BA0" w:rsidRPr="00845503">
        <w:rPr>
          <w:rFonts w:ascii="Cambria" w:hAnsi="Cambria"/>
          <w:sz w:val="20"/>
          <w:szCs w:val="20"/>
          <w:lang w:val="es-AR"/>
        </w:rPr>
        <w:t>do</w:t>
      </w:r>
      <w:r w:rsidR="003142C9" w:rsidRPr="00845503">
        <w:rPr>
          <w:rFonts w:ascii="Cambria" w:hAnsi="Cambria"/>
          <w:sz w:val="20"/>
          <w:szCs w:val="20"/>
          <w:lang w:val="es-AR"/>
        </w:rPr>
        <w:t xml:space="preserve"> que la subordinación de los tribunales al Consejo de Estado, encabezado por el Jefe del Estado, representa una dependencia directa del Poder Judicial a las directrices del Poder Ejecutivo</w:t>
      </w:r>
      <w:r w:rsidR="00403D47" w:rsidRPr="00845503">
        <w:rPr>
          <w:rFonts w:ascii="Cambria" w:hAnsi="Cambria"/>
          <w:sz w:val="20"/>
          <w:szCs w:val="20"/>
          <w:lang w:val="es-AR"/>
        </w:rPr>
        <w:t xml:space="preserve">, e impide que las personas identificadas por el Estado como “disidentes” o </w:t>
      </w:r>
      <w:r w:rsidR="00403D47" w:rsidRPr="00845503">
        <w:rPr>
          <w:rFonts w:ascii="Cambria" w:hAnsi="Cambria"/>
          <w:sz w:val="20"/>
          <w:szCs w:val="20"/>
          <w:lang w:val="es-ES"/>
        </w:rPr>
        <w:t>“</w:t>
      </w:r>
      <w:r w:rsidR="00403D47" w:rsidRPr="00845503">
        <w:rPr>
          <w:rFonts w:ascii="Cambria" w:hAnsi="Cambria"/>
          <w:sz w:val="20"/>
          <w:szCs w:val="20"/>
          <w:lang w:val="es-AR"/>
        </w:rPr>
        <w:t>opositores”</w:t>
      </w:r>
      <w:r w:rsidR="00685BD1" w:rsidRPr="00845503">
        <w:rPr>
          <w:rFonts w:ascii="Cambria" w:hAnsi="Cambria"/>
          <w:sz w:val="20"/>
          <w:szCs w:val="20"/>
          <w:lang w:val="es-AR"/>
        </w:rPr>
        <w:t xml:space="preserve"> acusadas de delitos </w:t>
      </w:r>
      <w:r w:rsidR="00814696" w:rsidRPr="00845503">
        <w:rPr>
          <w:rFonts w:ascii="Cambria" w:hAnsi="Cambria"/>
          <w:sz w:val="20"/>
          <w:szCs w:val="20"/>
          <w:lang w:val="es-AR"/>
        </w:rPr>
        <w:t xml:space="preserve">políticos </w:t>
      </w:r>
      <w:r w:rsidR="00685BD1" w:rsidRPr="00845503">
        <w:rPr>
          <w:rFonts w:ascii="Cambria" w:hAnsi="Cambria"/>
          <w:sz w:val="20"/>
          <w:szCs w:val="20"/>
          <w:lang w:val="es-AR"/>
        </w:rPr>
        <w:t>puedan ser juzgados de forma imparcial, como lo exige las disposiciones de la Declaración Americana</w:t>
      </w:r>
      <w:r w:rsidR="001E5849" w:rsidRPr="00845503">
        <w:rPr>
          <w:rFonts w:ascii="Cambria" w:hAnsi="Cambria"/>
          <w:sz w:val="20"/>
          <w:szCs w:val="20"/>
          <w:lang w:val="es-AR"/>
        </w:rPr>
        <w:t>, tal como se demuestra en este caso</w:t>
      </w:r>
      <w:r w:rsidR="00685BD1" w:rsidRPr="00845503">
        <w:rPr>
          <w:rFonts w:ascii="Cambria" w:hAnsi="Cambria"/>
          <w:sz w:val="20"/>
          <w:szCs w:val="20"/>
          <w:lang w:val="es-AR"/>
        </w:rPr>
        <w:t xml:space="preserve">. </w:t>
      </w:r>
    </w:p>
    <w:p w:rsidR="009C2221" w:rsidRPr="00845503" w:rsidRDefault="009C2221" w:rsidP="009C2221">
      <w:pPr>
        <w:pStyle w:val="ListParagraph"/>
        <w:rPr>
          <w:b/>
          <w:bCs/>
          <w:sz w:val="20"/>
          <w:szCs w:val="20"/>
          <w:lang w:val="es-AR"/>
        </w:rPr>
      </w:pPr>
    </w:p>
    <w:p w:rsidR="001E5849" w:rsidRPr="00845503"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
          <w:bCs/>
          <w:sz w:val="20"/>
          <w:szCs w:val="20"/>
          <w:lang w:val="es-AR"/>
        </w:rPr>
      </w:pPr>
      <w:r w:rsidRPr="00845503">
        <w:rPr>
          <w:rFonts w:ascii="Cambria" w:hAnsi="Cambria"/>
          <w:sz w:val="20"/>
          <w:szCs w:val="20"/>
          <w:lang w:val="es-AR"/>
        </w:rPr>
        <w:t xml:space="preserve">Por </w:t>
      </w:r>
      <w:r w:rsidR="00FA5141" w:rsidRPr="00845503">
        <w:rPr>
          <w:rFonts w:ascii="Cambria" w:hAnsi="Cambria"/>
          <w:sz w:val="20"/>
          <w:szCs w:val="20"/>
          <w:lang w:val="es-AR"/>
        </w:rPr>
        <w:t>todo</w:t>
      </w:r>
      <w:r w:rsidR="00685BD1" w:rsidRPr="00845503">
        <w:rPr>
          <w:rFonts w:ascii="Cambria" w:hAnsi="Cambria"/>
          <w:sz w:val="20"/>
          <w:szCs w:val="20"/>
          <w:lang w:val="es-AR"/>
        </w:rPr>
        <w:t xml:space="preserve"> lo anterior</w:t>
      </w:r>
      <w:r w:rsidRPr="00845503">
        <w:rPr>
          <w:rFonts w:ascii="Cambria" w:hAnsi="Cambria"/>
          <w:sz w:val="20"/>
          <w:szCs w:val="20"/>
          <w:lang w:val="es-AR"/>
        </w:rPr>
        <w:t xml:space="preserve">, la Comisión </w:t>
      </w:r>
      <w:r w:rsidR="00685BD1" w:rsidRPr="00845503">
        <w:rPr>
          <w:rFonts w:ascii="Cambria" w:hAnsi="Cambria"/>
          <w:sz w:val="20"/>
          <w:szCs w:val="20"/>
          <w:lang w:val="es-AR"/>
        </w:rPr>
        <w:t>considera</w:t>
      </w:r>
      <w:r w:rsidRPr="00845503">
        <w:rPr>
          <w:rFonts w:ascii="Cambria" w:hAnsi="Cambria"/>
          <w:sz w:val="20"/>
          <w:szCs w:val="20"/>
          <w:lang w:val="es-AR"/>
        </w:rPr>
        <w:t xml:space="preserve"> que el Estado violó el </w:t>
      </w:r>
      <w:r w:rsidR="001E5849" w:rsidRPr="00845503">
        <w:rPr>
          <w:rFonts w:ascii="Cambria" w:hAnsi="Cambria"/>
          <w:sz w:val="20"/>
          <w:szCs w:val="20"/>
          <w:lang w:val="es-AR"/>
        </w:rPr>
        <w:t xml:space="preserve">derecho a un proceso regular, reconocido en el </w:t>
      </w:r>
      <w:r w:rsidRPr="00845503">
        <w:rPr>
          <w:rFonts w:ascii="Cambria" w:hAnsi="Cambria"/>
          <w:sz w:val="20"/>
          <w:szCs w:val="20"/>
          <w:lang w:val="es-AR"/>
        </w:rPr>
        <w:t>artículo XXVI de la Declaración Americana en perjuicio de</w:t>
      </w:r>
      <w:r w:rsidR="001E5849" w:rsidRPr="00845503">
        <w:rPr>
          <w:rFonts w:ascii="Cambria" w:hAnsi="Cambria"/>
          <w:sz w:val="20"/>
          <w:szCs w:val="20"/>
          <w:lang w:val="es-AR"/>
        </w:rPr>
        <w:t xml:space="preserve"> </w:t>
      </w:r>
      <w:r w:rsidR="001E5849" w:rsidRPr="00845503">
        <w:rPr>
          <w:rFonts w:ascii="Cambria" w:hAnsi="Cambria"/>
          <w:sz w:val="20"/>
          <w:szCs w:val="20"/>
          <w:lang w:val="es-ES"/>
        </w:rPr>
        <w:t xml:space="preserve">Vladimiro Roca Antúnez, </w:t>
      </w:r>
      <w:r w:rsidR="007364FC" w:rsidRPr="00845503">
        <w:rPr>
          <w:rFonts w:ascii="Cambria" w:hAnsi="Cambria"/>
          <w:sz w:val="20"/>
          <w:szCs w:val="20"/>
          <w:lang w:val="es-ES"/>
        </w:rPr>
        <w:t>René</w:t>
      </w:r>
      <w:r w:rsidR="001E5849" w:rsidRPr="00845503">
        <w:rPr>
          <w:rFonts w:ascii="Cambria" w:hAnsi="Cambria"/>
          <w:sz w:val="20"/>
          <w:szCs w:val="20"/>
          <w:lang w:val="es-ES"/>
        </w:rPr>
        <w:t xml:space="preserve"> Gómez Manzano, </w:t>
      </w:r>
      <w:r w:rsidR="00967821" w:rsidRPr="00845503">
        <w:rPr>
          <w:rFonts w:ascii="Cambria" w:hAnsi="Cambria"/>
          <w:sz w:val="20"/>
          <w:szCs w:val="20"/>
          <w:lang w:val="es-ES"/>
        </w:rPr>
        <w:t>Martha</w:t>
      </w:r>
      <w:r w:rsidR="001E5849" w:rsidRPr="00845503">
        <w:rPr>
          <w:rFonts w:ascii="Cambria" w:hAnsi="Cambria"/>
          <w:sz w:val="20"/>
          <w:szCs w:val="20"/>
          <w:lang w:val="es-ES"/>
        </w:rPr>
        <w:t xml:space="preserve"> Beatriz Roque Cabello y Félix Bonne Carcassés</w:t>
      </w:r>
      <w:r w:rsidR="001E5849" w:rsidRPr="00845503">
        <w:rPr>
          <w:rFonts w:ascii="Cambria" w:hAnsi="Cambria"/>
          <w:sz w:val="20"/>
          <w:szCs w:val="20"/>
          <w:lang w:val="es-AR"/>
        </w:rPr>
        <w:t>.</w:t>
      </w:r>
    </w:p>
    <w:p w:rsidR="003142C9" w:rsidRPr="00845503" w:rsidRDefault="003142C9" w:rsidP="001E584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bCs/>
          <w:sz w:val="20"/>
          <w:szCs w:val="20"/>
          <w:lang w:val="es-AR"/>
        </w:rPr>
      </w:pPr>
    </w:p>
    <w:p w:rsidR="00AB3474" w:rsidRPr="00845503" w:rsidRDefault="00AB3474" w:rsidP="009C22C5">
      <w:pPr>
        <w:pStyle w:val="ListParagraph"/>
        <w:numPr>
          <w:ilvl w:val="0"/>
          <w:numId w:val="64"/>
        </w:numPr>
        <w:ind w:left="1440" w:hanging="720"/>
        <w:jc w:val="both"/>
        <w:rPr>
          <w:rFonts w:cs="Arial"/>
          <w:sz w:val="20"/>
          <w:szCs w:val="20"/>
          <w:shd w:val="clear" w:color="auto" w:fill="FFFFFF"/>
          <w:lang w:val="es-ES"/>
        </w:rPr>
      </w:pPr>
      <w:r w:rsidRPr="00845503">
        <w:rPr>
          <w:b/>
          <w:sz w:val="20"/>
          <w:szCs w:val="20"/>
          <w:lang w:val="es-AR"/>
        </w:rPr>
        <w:t>Tratamiento humano y condiciones de detención dignas</w:t>
      </w:r>
    </w:p>
    <w:p w:rsidR="00AB3474" w:rsidRPr="00845503" w:rsidRDefault="00AB3474" w:rsidP="00AB3474">
      <w:pPr>
        <w:rPr>
          <w:rFonts w:ascii="Cambria" w:hAnsi="Cambria"/>
          <w:b/>
          <w:bCs/>
          <w:sz w:val="20"/>
          <w:szCs w:val="20"/>
          <w:lang w:val="es-AR"/>
        </w:rPr>
      </w:pPr>
      <w:r w:rsidRPr="00845503">
        <w:rPr>
          <w:rFonts w:ascii="Cambria" w:hAnsi="Cambria"/>
          <w:sz w:val="20"/>
          <w:szCs w:val="20"/>
          <w:lang w:val="es-AR"/>
        </w:rPr>
        <w:t>  </w:t>
      </w:r>
    </w:p>
    <w:p w:rsidR="009C2221" w:rsidRPr="00845503" w:rsidRDefault="00F120A0"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ES"/>
        </w:rPr>
      </w:pPr>
      <w:r w:rsidRPr="00845503">
        <w:rPr>
          <w:rFonts w:ascii="Cambria" w:hAnsi="Cambria"/>
          <w:sz w:val="20"/>
          <w:szCs w:val="20"/>
          <w:lang w:val="es-ES"/>
        </w:rPr>
        <w:t>E</w:t>
      </w:r>
      <w:r w:rsidR="00AB3474" w:rsidRPr="00845503">
        <w:rPr>
          <w:rFonts w:ascii="Cambria" w:hAnsi="Cambria"/>
          <w:sz w:val="20"/>
          <w:szCs w:val="20"/>
          <w:lang w:val="es-ES"/>
        </w:rPr>
        <w:t xml:space="preserve">l derecho de las personas privadas de libertad a un trato humano bajo la custodia del Estado es una norma universalmente aceptada en el derecho internacional. La Declaración Americana contiene varias disposiciones a este respecto. La Comisión ha interpretado que el artículo I de la Declaración (Derecho a la vida, a la libertad, a la seguridad e integridad de la persona) contiene una prohibición del uso de la tortura u otros tratos o penas crueles, </w:t>
      </w:r>
      <w:r w:rsidR="00FA5141" w:rsidRPr="00845503">
        <w:rPr>
          <w:rFonts w:ascii="Cambria" w:hAnsi="Cambria"/>
          <w:sz w:val="20"/>
          <w:szCs w:val="20"/>
          <w:lang w:val="es-ES"/>
        </w:rPr>
        <w:t>inhumanas</w:t>
      </w:r>
      <w:r w:rsidR="00AB3474" w:rsidRPr="00845503">
        <w:rPr>
          <w:rFonts w:ascii="Cambria" w:hAnsi="Cambria"/>
          <w:sz w:val="20"/>
          <w:szCs w:val="20"/>
          <w:lang w:val="es-ES"/>
        </w:rPr>
        <w:t xml:space="preserve"> o degradantes contra las personas en cualquier circunstancia, similar a aquella del artículo 5 de la Convención Americana</w:t>
      </w:r>
      <w:r w:rsidR="00AB3474" w:rsidRPr="00845503">
        <w:rPr>
          <w:rStyle w:val="FootnoteReference"/>
          <w:rFonts w:ascii="Cambria" w:hAnsi="Cambria"/>
          <w:sz w:val="20"/>
          <w:szCs w:val="20"/>
          <w:lang w:val="es-ES"/>
        </w:rPr>
        <w:footnoteReference w:id="104"/>
      </w:r>
      <w:r w:rsidR="00AB3474" w:rsidRPr="00845503">
        <w:rPr>
          <w:rFonts w:ascii="Cambria" w:hAnsi="Cambria"/>
          <w:sz w:val="20"/>
          <w:szCs w:val="20"/>
          <w:lang w:val="es-ES"/>
        </w:rPr>
        <w:t>. Adicionalmente, los artículos XXV y XXVI de la Declaración se refieren al derecho al trato humano en el contexto de los derechos a la protección contra la detención arbitraria y al proceso regular.</w:t>
      </w:r>
    </w:p>
    <w:p w:rsidR="009C2221" w:rsidRPr="00845503" w:rsidRDefault="009C2221" w:rsidP="009C22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9C2221" w:rsidRPr="00845503" w:rsidRDefault="009C2221"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ES"/>
        </w:rPr>
      </w:pPr>
      <w:r w:rsidRPr="00845503">
        <w:rPr>
          <w:rFonts w:ascii="Cambria" w:hAnsi="Cambria"/>
          <w:bCs/>
          <w:sz w:val="20"/>
          <w:szCs w:val="20"/>
          <w:lang w:val="es-AR"/>
        </w:rPr>
        <w:t>Los órganos del sistema interamericano han manifestado</w:t>
      </w:r>
      <w:r w:rsidR="00A85B9C" w:rsidRPr="00845503">
        <w:rPr>
          <w:rFonts w:ascii="Cambria" w:hAnsi="Cambria"/>
          <w:bCs/>
          <w:sz w:val="20"/>
          <w:szCs w:val="20"/>
          <w:lang w:val="es-AR"/>
        </w:rPr>
        <w:t xml:space="preserve"> que</w:t>
      </w:r>
      <w:r w:rsidRPr="00845503">
        <w:rPr>
          <w:rFonts w:ascii="Cambria" w:hAnsi="Cambria"/>
          <w:bCs/>
          <w:sz w:val="20"/>
          <w:szCs w:val="20"/>
          <w:lang w:val="es-AR"/>
        </w:rPr>
        <w:t xml:space="preserve"> toda persona privada de libertad tiene </w:t>
      </w:r>
      <w:r w:rsidR="00A85B9C" w:rsidRPr="00845503">
        <w:rPr>
          <w:rFonts w:ascii="Cambria" w:hAnsi="Cambria"/>
          <w:bCs/>
          <w:sz w:val="20"/>
          <w:szCs w:val="20"/>
          <w:lang w:val="es-AR"/>
        </w:rPr>
        <w:t xml:space="preserve">el </w:t>
      </w:r>
      <w:r w:rsidRPr="00845503">
        <w:rPr>
          <w:rFonts w:ascii="Cambria" w:hAnsi="Cambria"/>
          <w:bCs/>
          <w:sz w:val="20"/>
          <w:szCs w:val="20"/>
          <w:lang w:val="es-AR"/>
        </w:rPr>
        <w:t xml:space="preserve">derecho a vivir en condiciones de detención compatibles con su dignidad personal y el Estado debe garantizarle el derecho a la vida y a la integridad personal. En consecuencia, el </w:t>
      </w:r>
      <w:r w:rsidR="00FA5141" w:rsidRPr="00845503">
        <w:rPr>
          <w:rFonts w:ascii="Cambria" w:hAnsi="Cambria"/>
          <w:bCs/>
          <w:sz w:val="20"/>
          <w:szCs w:val="20"/>
          <w:lang w:val="es-AR"/>
        </w:rPr>
        <w:t>Estado, como</w:t>
      </w:r>
      <w:r w:rsidRPr="00845503">
        <w:rPr>
          <w:rFonts w:ascii="Cambria" w:hAnsi="Cambria"/>
          <w:bCs/>
          <w:sz w:val="20"/>
          <w:szCs w:val="20"/>
          <w:lang w:val="es-AR"/>
        </w:rPr>
        <w:t xml:space="preserve"> responsable de los establecimientos de detención, es el garante de estos derechos de los detenidos</w:t>
      </w:r>
      <w:r w:rsidRPr="00845503">
        <w:rPr>
          <w:rFonts w:ascii="Cambria" w:hAnsi="Cambria"/>
          <w:b/>
          <w:bCs/>
          <w:sz w:val="20"/>
          <w:szCs w:val="20"/>
          <w:lang w:val="es-AR"/>
        </w:rPr>
        <w:t xml:space="preserve">. </w:t>
      </w:r>
      <w:r w:rsidRPr="00845503">
        <w:rPr>
          <w:rFonts w:ascii="Cambria" w:hAnsi="Cambria"/>
          <w:sz w:val="20"/>
          <w:szCs w:val="20"/>
          <w:lang w:val="es-ES"/>
        </w:rPr>
        <w:t>En similar sentido, las "Reglas Mínimas de las Naciones Unidas para el Tratamiento de los Reclusos", disponen que “l</w:t>
      </w:r>
      <w:r w:rsidR="008063E5" w:rsidRPr="00845503">
        <w:rPr>
          <w:rFonts w:ascii="Cambria" w:hAnsi="Cambria"/>
          <w:sz w:val="20"/>
          <w:szCs w:val="20"/>
          <w:lang w:val="es-ES"/>
        </w:rPr>
        <w:t>a prisión y demás medidas cuyo efecto es separar a una persona del mundo exterior son aflictivas por el hecho mismo de que despojan a esa persona de su derecho a la autodeterminación al privarla de su libertad. Por lo tanto, a excepción de las medidas de separación justificadas y de las que sean necesarias para el mantenimiento de la disciplina, el sistema penitenciario no deberá agravar los sufrimientos inherentes a tal situación</w:t>
      </w:r>
      <w:r w:rsidRPr="00845503">
        <w:rPr>
          <w:rFonts w:ascii="Cambria" w:hAnsi="Cambria"/>
          <w:sz w:val="20"/>
          <w:szCs w:val="20"/>
          <w:lang w:val="es-ES"/>
        </w:rPr>
        <w:t>”</w:t>
      </w:r>
      <w:r w:rsidR="008063E5" w:rsidRPr="00845503">
        <w:rPr>
          <w:rFonts w:ascii="Cambria" w:hAnsi="Cambria"/>
          <w:sz w:val="20"/>
          <w:szCs w:val="20"/>
          <w:lang w:val="es-ES"/>
        </w:rPr>
        <w:t>.</w:t>
      </w:r>
    </w:p>
    <w:p w:rsidR="009C2221" w:rsidRPr="00845503" w:rsidRDefault="009C2221" w:rsidP="009C2221">
      <w:pPr>
        <w:pStyle w:val="ListParagraph"/>
        <w:rPr>
          <w:sz w:val="20"/>
          <w:szCs w:val="20"/>
          <w:lang w:val="es-ES"/>
        </w:rPr>
      </w:pPr>
    </w:p>
    <w:p w:rsidR="0034616F" w:rsidRPr="00845503" w:rsidRDefault="009538A0"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45503">
        <w:rPr>
          <w:rFonts w:ascii="Cambria" w:hAnsi="Cambria"/>
          <w:sz w:val="20"/>
          <w:szCs w:val="20"/>
          <w:lang w:val="es-ES"/>
        </w:rPr>
        <w:lastRenderedPageBreak/>
        <w:t>L</w:t>
      </w:r>
      <w:r w:rsidR="009C2221" w:rsidRPr="00845503">
        <w:rPr>
          <w:rFonts w:ascii="Cambria" w:hAnsi="Cambria"/>
          <w:sz w:val="20"/>
          <w:szCs w:val="20"/>
          <w:lang w:val="es-ES"/>
        </w:rPr>
        <w:t>a</w:t>
      </w:r>
      <w:r w:rsidRPr="00845503">
        <w:rPr>
          <w:rFonts w:ascii="Cambria" w:hAnsi="Cambria"/>
          <w:sz w:val="20"/>
          <w:szCs w:val="20"/>
          <w:lang w:val="es-ES"/>
        </w:rPr>
        <w:t xml:space="preserve"> CIDH ha establecido</w:t>
      </w:r>
      <w:r w:rsidR="009C2221" w:rsidRPr="00845503">
        <w:rPr>
          <w:rFonts w:ascii="Cambria" w:hAnsi="Cambria"/>
          <w:sz w:val="20"/>
          <w:szCs w:val="20"/>
          <w:lang w:val="es-ES"/>
        </w:rPr>
        <w:t xml:space="preserve"> que</w:t>
      </w:r>
      <w:r w:rsidR="006B0BA0" w:rsidRPr="00845503">
        <w:rPr>
          <w:rFonts w:ascii="Cambria" w:hAnsi="Cambria"/>
          <w:sz w:val="20"/>
          <w:szCs w:val="20"/>
          <w:lang w:val="es-ES"/>
        </w:rPr>
        <w:t xml:space="preserve"> el aislamiento prolongado y la incomunicación coactiva a los que se ve sometida la víctima representan, por sí mismos, formas de tratamiento cruel e inhumano, lesivas de la integridad psíquica y moral de la persona y del derecho de todo detenido al respeto debido a la dignidad inherente al ser humano</w:t>
      </w:r>
      <w:r w:rsidR="001642DD" w:rsidRPr="00845503">
        <w:rPr>
          <w:rStyle w:val="FootnoteReference"/>
          <w:rFonts w:ascii="Cambria" w:hAnsi="Cambria"/>
          <w:bCs/>
          <w:sz w:val="20"/>
          <w:szCs w:val="20"/>
          <w:lang w:val="es-AR"/>
        </w:rPr>
        <w:footnoteReference w:id="105"/>
      </w:r>
      <w:r w:rsidR="006B0BA0" w:rsidRPr="00845503">
        <w:rPr>
          <w:rFonts w:ascii="Cambria" w:hAnsi="Cambria"/>
          <w:sz w:val="20"/>
          <w:szCs w:val="20"/>
          <w:lang w:val="es-ES"/>
        </w:rPr>
        <w:t>.</w:t>
      </w:r>
      <w:r w:rsidR="009C2221" w:rsidRPr="00845503">
        <w:rPr>
          <w:rFonts w:ascii="Cambria" w:hAnsi="Cambria"/>
          <w:sz w:val="20"/>
          <w:szCs w:val="20"/>
          <w:lang w:val="es-ES"/>
        </w:rPr>
        <w:t xml:space="preserve"> </w:t>
      </w:r>
      <w:r w:rsidR="008D354B" w:rsidRPr="00845503">
        <w:rPr>
          <w:rFonts w:ascii="Cambria" w:hAnsi="Cambria"/>
          <w:bCs/>
          <w:sz w:val="20"/>
          <w:szCs w:val="20"/>
          <w:lang w:val="es-AR"/>
        </w:rPr>
        <w:t>En</w:t>
      </w:r>
      <w:r w:rsidR="0034616F" w:rsidRPr="00845503">
        <w:rPr>
          <w:rFonts w:ascii="Cambria" w:hAnsi="Cambria"/>
          <w:bCs/>
          <w:sz w:val="20"/>
          <w:szCs w:val="20"/>
          <w:lang w:val="es-AR"/>
        </w:rPr>
        <w:t xml:space="preserve"> igual sentido, la CIDH </w:t>
      </w:r>
      <w:r w:rsidRPr="00845503">
        <w:rPr>
          <w:rFonts w:ascii="Cambria" w:hAnsi="Cambria"/>
          <w:bCs/>
          <w:sz w:val="20"/>
          <w:szCs w:val="20"/>
          <w:lang w:val="es-AR"/>
        </w:rPr>
        <w:t>ha precisado</w:t>
      </w:r>
      <w:r w:rsidR="0034616F" w:rsidRPr="00845503">
        <w:rPr>
          <w:rFonts w:ascii="Cambria" w:hAnsi="Cambria"/>
          <w:bCs/>
          <w:sz w:val="20"/>
          <w:szCs w:val="20"/>
          <w:lang w:val="es-AR"/>
        </w:rPr>
        <w:t xml:space="preserve"> que </w:t>
      </w:r>
      <w:r w:rsidR="001642DD" w:rsidRPr="00845503">
        <w:rPr>
          <w:rFonts w:ascii="Cambria" w:hAnsi="Cambria"/>
          <w:bCs/>
          <w:sz w:val="20"/>
          <w:szCs w:val="20"/>
          <w:lang w:val="es-AR"/>
        </w:rPr>
        <w:t>e</w:t>
      </w:r>
      <w:r w:rsidRPr="00845503">
        <w:rPr>
          <w:rFonts w:ascii="Cambria" w:hAnsi="Cambria"/>
          <w:bCs/>
          <w:sz w:val="20"/>
          <w:szCs w:val="20"/>
          <w:lang w:val="es-AR"/>
        </w:rPr>
        <w:t>l aislamiento de personas que aún no han sido condenadas es particularmente problemático, toda vez que el mismo infringe condiciones punitivas y potencialmente perjudiciales a personas que son inocentes hasta que se demuestre su culpabilidad. Además puede servir para coaccionarlos y forzarlos a autoinculparse o a dar algún tipo de información</w:t>
      </w:r>
      <w:r w:rsidRPr="00845503">
        <w:rPr>
          <w:rStyle w:val="FootnoteReference"/>
          <w:rFonts w:ascii="Cambria" w:hAnsi="Cambria"/>
          <w:bCs/>
          <w:sz w:val="20"/>
          <w:szCs w:val="20"/>
          <w:lang w:val="es-AR"/>
        </w:rPr>
        <w:footnoteReference w:id="106"/>
      </w:r>
      <w:r w:rsidRPr="00845503">
        <w:rPr>
          <w:rFonts w:ascii="Cambria" w:hAnsi="Cambria"/>
          <w:bCs/>
          <w:sz w:val="20"/>
          <w:szCs w:val="20"/>
          <w:lang w:val="es-AR"/>
        </w:rPr>
        <w:t xml:space="preserve">. </w:t>
      </w:r>
    </w:p>
    <w:p w:rsidR="0034616F" w:rsidRPr="00845503" w:rsidRDefault="0034616F" w:rsidP="0034616F">
      <w:pPr>
        <w:pStyle w:val="ListParagraph"/>
        <w:rPr>
          <w:sz w:val="20"/>
          <w:szCs w:val="20"/>
          <w:lang w:val="es-ES"/>
        </w:rPr>
      </w:pPr>
    </w:p>
    <w:p w:rsidR="008063E5" w:rsidRPr="00845503" w:rsidRDefault="0034616F"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cs="Arial"/>
          <w:sz w:val="20"/>
          <w:szCs w:val="20"/>
          <w:lang w:val="es-ES"/>
        </w:rPr>
      </w:pPr>
      <w:r w:rsidRPr="00845503">
        <w:rPr>
          <w:rFonts w:ascii="Cambria" w:hAnsi="Cambria"/>
          <w:sz w:val="20"/>
          <w:szCs w:val="20"/>
          <w:lang w:val="es-ES"/>
        </w:rPr>
        <w:t>La CIDH ha reconocido que “l</w:t>
      </w:r>
      <w:r w:rsidRPr="00845503">
        <w:rPr>
          <w:rFonts w:ascii="Cambria" w:hAnsi="Cambria" w:cs="Tahoma"/>
          <w:sz w:val="20"/>
          <w:szCs w:val="20"/>
          <w:shd w:val="clear" w:color="auto" w:fill="FFFFFF"/>
          <w:lang w:val="es-ES"/>
        </w:rPr>
        <w:t>as personas privadas de libertad pertenecientes a diversas categorías deberán ser alojadas en diferentes lugares de privación de libertad o en distintas secciones dentro de dichos establecimientos, según su sexo, edad, la razón de su privación de libertad, la necesidad de protección de la vida e integridad de las personas privadas de libertad o del personal, las necesidades especiales de atención, u otras circunstancias relacionadas con cuestiones de seguridad interna”</w:t>
      </w:r>
      <w:r w:rsidR="000B26D8" w:rsidRPr="00845503">
        <w:rPr>
          <w:rStyle w:val="FootnoteReference"/>
          <w:rFonts w:ascii="Cambria" w:hAnsi="Cambria" w:cs="Tahoma"/>
          <w:sz w:val="20"/>
          <w:szCs w:val="20"/>
          <w:shd w:val="clear" w:color="auto" w:fill="FFFFFF"/>
          <w:lang w:val="es-ES"/>
        </w:rPr>
        <w:footnoteReference w:id="107"/>
      </w:r>
      <w:r w:rsidRPr="00845503">
        <w:rPr>
          <w:rFonts w:ascii="Cambria" w:hAnsi="Cambria" w:cs="Tahoma"/>
          <w:sz w:val="20"/>
          <w:szCs w:val="20"/>
          <w:shd w:val="clear" w:color="auto" w:fill="FFFFFF"/>
          <w:lang w:val="es-ES"/>
        </w:rPr>
        <w:t>.</w:t>
      </w:r>
      <w:r w:rsidRPr="00845503">
        <w:rPr>
          <w:rFonts w:ascii="Cambria" w:hAnsi="Cambria"/>
          <w:sz w:val="20"/>
          <w:szCs w:val="20"/>
          <w:lang w:val="es-ES"/>
        </w:rPr>
        <w:t xml:space="preserve"> Asimismo, </w:t>
      </w:r>
      <w:r w:rsidR="000B26D8" w:rsidRPr="00845503">
        <w:rPr>
          <w:rFonts w:ascii="Cambria" w:hAnsi="Cambria"/>
          <w:sz w:val="20"/>
          <w:szCs w:val="20"/>
          <w:lang w:val="es-ES"/>
        </w:rPr>
        <w:t>“</w:t>
      </w:r>
      <w:r w:rsidR="00A85B9C" w:rsidRPr="00845503">
        <w:rPr>
          <w:rFonts w:ascii="Cambria" w:hAnsi="Cambria"/>
          <w:sz w:val="20"/>
          <w:szCs w:val="20"/>
          <w:lang w:val="es-ES"/>
        </w:rPr>
        <w:t>l</w:t>
      </w:r>
      <w:r w:rsidRPr="00845503">
        <w:rPr>
          <w:rFonts w:ascii="Cambria" w:hAnsi="Cambria"/>
          <w:sz w:val="20"/>
          <w:szCs w:val="20"/>
          <w:lang w:val="es-ES"/>
        </w:rPr>
        <w:t>as personas privadas de libertad tendrán derecho a la salud, entendida como el disfrute del más alto nivel posible de bienestar físico, mental y social, que incluye, entre otros, la atención médica, psiquiátrica y odontológica adecuada; la disponibilidad permanente de personal médico idóneo e imparcial; el acceso a tratamiento y medicamentos apropiados y gratuitos”</w:t>
      </w:r>
      <w:r w:rsidR="000B26D8" w:rsidRPr="00845503">
        <w:rPr>
          <w:rStyle w:val="FootnoteReference"/>
          <w:rFonts w:ascii="Cambria" w:hAnsi="Cambria"/>
          <w:sz w:val="20"/>
          <w:szCs w:val="20"/>
          <w:lang w:val="es-ES"/>
        </w:rPr>
        <w:footnoteReference w:id="108"/>
      </w:r>
      <w:r w:rsidRPr="00845503">
        <w:rPr>
          <w:rFonts w:ascii="Cambria" w:hAnsi="Cambria"/>
          <w:sz w:val="20"/>
          <w:szCs w:val="20"/>
          <w:lang w:val="es-ES"/>
        </w:rPr>
        <w:t xml:space="preserve">. </w:t>
      </w:r>
    </w:p>
    <w:p w:rsidR="008063E5" w:rsidRPr="00845503" w:rsidRDefault="008063E5" w:rsidP="00AB3474">
      <w:pPr>
        <w:rPr>
          <w:rFonts w:ascii="Cambria" w:hAnsi="Cambria"/>
          <w:b/>
          <w:bCs/>
          <w:sz w:val="20"/>
          <w:szCs w:val="20"/>
          <w:lang w:val="es-ES"/>
        </w:rPr>
      </w:pPr>
    </w:p>
    <w:p w:rsidR="00F044CA" w:rsidRPr="00845503" w:rsidRDefault="00D8100E"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Cs/>
          <w:sz w:val="20"/>
          <w:szCs w:val="20"/>
          <w:lang w:val="es-AR"/>
        </w:rPr>
      </w:pPr>
      <w:r w:rsidRPr="00845503">
        <w:rPr>
          <w:rFonts w:ascii="Cambria" w:hAnsi="Cambria"/>
          <w:bCs/>
          <w:sz w:val="20"/>
          <w:szCs w:val="20"/>
          <w:lang w:val="es-AR"/>
        </w:rPr>
        <w:t xml:space="preserve">En su informe sobre Cuba (1998), la CIDH </w:t>
      </w:r>
      <w:r w:rsidR="00F044CA" w:rsidRPr="00845503">
        <w:rPr>
          <w:rFonts w:ascii="Cambria" w:hAnsi="Cambria"/>
          <w:bCs/>
          <w:sz w:val="20"/>
          <w:szCs w:val="20"/>
          <w:lang w:val="es-AR"/>
        </w:rPr>
        <w:t xml:space="preserve">consideró que “el Estado cubano vulnera de manera grave no solamente principios y normas consagradas en los diferentes instrumentos internacionales de los que es Parte, sino que además, viola sus propias leyes vigentes al permitir que las autoridades penitenciarias sometan a los reclusos a un tratamiento deliberadamente severo y degradante. La Comisión, además, debe reiterar su profunda preocupación por las graves condiciones carcelarias a las que son sometidas especialmente las personas que están purgando condena por delitos con connotaciones políticas”.  </w:t>
      </w:r>
    </w:p>
    <w:p w:rsidR="00F044CA" w:rsidRPr="00845503" w:rsidRDefault="00F044CA" w:rsidP="00F044CA">
      <w:pPr>
        <w:pStyle w:val="ListParagraph"/>
        <w:rPr>
          <w:bCs/>
          <w:sz w:val="20"/>
          <w:szCs w:val="20"/>
          <w:lang w:val="es-AR"/>
        </w:rPr>
      </w:pPr>
    </w:p>
    <w:p w:rsidR="005200F1" w:rsidRPr="00845503" w:rsidRDefault="00F044CA"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Cs/>
          <w:sz w:val="20"/>
          <w:szCs w:val="20"/>
          <w:lang w:val="es-AR"/>
        </w:rPr>
      </w:pPr>
      <w:r w:rsidRPr="00845503">
        <w:rPr>
          <w:rFonts w:ascii="Cambria" w:hAnsi="Cambria"/>
          <w:bCs/>
          <w:sz w:val="20"/>
          <w:szCs w:val="20"/>
          <w:lang w:val="es-AR"/>
        </w:rPr>
        <w:t>Al respecto, la Comisión Interamericana valoró que</w:t>
      </w:r>
      <w:r w:rsidR="002E48F5">
        <w:rPr>
          <w:rFonts w:ascii="Cambria" w:hAnsi="Cambria"/>
          <w:bCs/>
          <w:sz w:val="20"/>
          <w:szCs w:val="20"/>
          <w:lang w:val="es-AR"/>
        </w:rPr>
        <w:t>:</w:t>
      </w:r>
      <w:r w:rsidRPr="00845503">
        <w:rPr>
          <w:rFonts w:ascii="Cambria" w:hAnsi="Cambria"/>
          <w:bCs/>
          <w:sz w:val="20"/>
          <w:szCs w:val="20"/>
          <w:lang w:val="es-AR"/>
        </w:rPr>
        <w:t xml:space="preserve"> </w:t>
      </w:r>
    </w:p>
    <w:p w:rsidR="005200F1" w:rsidRPr="00845503" w:rsidRDefault="005200F1" w:rsidP="005200F1">
      <w:pPr>
        <w:pStyle w:val="ListParagraph"/>
        <w:rPr>
          <w:bCs/>
          <w:sz w:val="20"/>
          <w:szCs w:val="20"/>
          <w:lang w:val="es-AR"/>
        </w:rPr>
      </w:pPr>
    </w:p>
    <w:p w:rsidR="00F044CA" w:rsidRPr="00845503" w:rsidRDefault="00F044CA" w:rsidP="009C22C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bCs/>
          <w:sz w:val="20"/>
          <w:szCs w:val="20"/>
          <w:lang w:val="es-AR"/>
        </w:rPr>
      </w:pPr>
      <w:r w:rsidRPr="00845503">
        <w:rPr>
          <w:rFonts w:ascii="Cambria" w:hAnsi="Cambria"/>
          <w:bCs/>
          <w:sz w:val="20"/>
          <w:szCs w:val="20"/>
          <w:lang w:val="es-AR"/>
        </w:rPr>
        <w:t>l</w:t>
      </w:r>
      <w:r w:rsidR="00D8100E" w:rsidRPr="00845503">
        <w:rPr>
          <w:rFonts w:ascii="Cambria" w:hAnsi="Cambria"/>
          <w:bCs/>
          <w:sz w:val="20"/>
          <w:szCs w:val="20"/>
          <w:lang w:val="es-AR"/>
        </w:rPr>
        <w:t xml:space="preserve">a mayoría de los presos se enfrentaron a la malnutrición fruto de la escasa dieta carcelaria y se vieron hacinados en celdas sin la suficiente atención médica. Las autoridades penitenciarias insistieron en que todos los detenidos participaran en sesiones de reeducación política, como gritar Viva Fidel o Socialismo o Muerte, o se aplicarían medidas punitivas como los golpes o el confinamiento en solitario. Los guardias de prisiones de los centros para hombres delegaron en los consejos de reclusos el mantenimiento de la disciplina interna por medio de palizas y el control de escasas raciones de comida. </w:t>
      </w:r>
      <w:r w:rsidRPr="00845503">
        <w:rPr>
          <w:rFonts w:ascii="Cambria" w:hAnsi="Cambria"/>
          <w:bCs/>
          <w:sz w:val="20"/>
          <w:szCs w:val="20"/>
          <w:lang w:val="es-AR"/>
        </w:rPr>
        <w:t xml:space="preserve">[…] </w:t>
      </w:r>
      <w:r w:rsidR="00D8100E" w:rsidRPr="00845503">
        <w:rPr>
          <w:rFonts w:ascii="Cambria" w:hAnsi="Cambria"/>
          <w:color w:val="000000"/>
          <w:sz w:val="20"/>
          <w:szCs w:val="20"/>
          <w:lang w:val="es-ES"/>
        </w:rPr>
        <w:t xml:space="preserve">El confinamiento de los presos políticos no violentos junto con presos condenados por delitos violentos fue degradante y peligroso. Los guardias impusieron restricciones indebidas a las visitas de familiares de presos políticos. Además, las autoridades penitenciarias castigaron a los presos que denunciaron abusos en las prisiones o no participaron en la reeducación política. Muchos presos políticos cubanos pasaron períodos excesivos en detención preventiva, con frecuencia en celdas de aislamiento. Tras su condena, padecieron períodos punitivos adicionales confinados en solitario. Con frecuencia, la policía o los guardias de prisiones agravaron el carácter punitivo del confinamiento en solitario con la privación sensorial, oscureciendo las celdas, retirando la ropa o limitando los alimentos y el agua. Las medidas punitivas o de intimidación contra los presos políticos que provocaron penas y </w:t>
      </w:r>
      <w:r w:rsidR="00D8100E" w:rsidRPr="00845503">
        <w:rPr>
          <w:rFonts w:ascii="Cambria" w:hAnsi="Cambria"/>
          <w:color w:val="000000"/>
          <w:sz w:val="20"/>
          <w:szCs w:val="20"/>
          <w:lang w:val="es-ES"/>
        </w:rPr>
        <w:lastRenderedPageBreak/>
        <w:t>sufrimientos graves y represalias contra los que denunciaron los abusos, y violaron las obligaciones de Cuba de conformidad con la Convención contra la Tortura y otros Tratos o Penas Crueles, Inhumanos o Degradantes, que había ratificado en 1995</w:t>
      </w:r>
      <w:r w:rsidR="005200F1" w:rsidRPr="00845503">
        <w:rPr>
          <w:rStyle w:val="FootnoteReference"/>
          <w:rFonts w:ascii="Cambria" w:hAnsi="Cambria"/>
          <w:color w:val="000000"/>
          <w:sz w:val="20"/>
          <w:szCs w:val="20"/>
          <w:lang w:val="es-ES"/>
        </w:rPr>
        <w:footnoteReference w:id="109"/>
      </w:r>
      <w:r w:rsidR="00D8100E" w:rsidRPr="00845503">
        <w:rPr>
          <w:rFonts w:ascii="Cambria" w:hAnsi="Cambria"/>
          <w:color w:val="000000"/>
          <w:sz w:val="20"/>
          <w:szCs w:val="20"/>
          <w:lang w:val="es-ES"/>
        </w:rPr>
        <w:t>.</w:t>
      </w:r>
    </w:p>
    <w:p w:rsidR="00F044CA" w:rsidRPr="00845503" w:rsidRDefault="005200F1" w:rsidP="005200F1">
      <w:pPr>
        <w:pBdr>
          <w:top w:val="none" w:sz="0" w:space="0" w:color="auto"/>
          <w:left w:val="none" w:sz="0" w:space="0" w:color="auto"/>
          <w:bottom w:val="none" w:sz="0" w:space="0" w:color="auto"/>
          <w:right w:val="none" w:sz="0" w:space="0" w:color="auto"/>
          <w:between w:val="none" w:sz="0" w:space="0" w:color="auto"/>
          <w:bar w:val="none" w:sz="0" w:color="auto"/>
        </w:pBdr>
        <w:tabs>
          <w:tab w:val="left" w:pos="5746"/>
        </w:tabs>
        <w:ind w:left="720"/>
        <w:jc w:val="both"/>
        <w:rPr>
          <w:rFonts w:ascii="Cambria" w:hAnsi="Cambria"/>
          <w:b/>
          <w:bCs/>
          <w:sz w:val="20"/>
          <w:szCs w:val="20"/>
          <w:lang w:val="es-AR"/>
        </w:rPr>
      </w:pPr>
      <w:r w:rsidRPr="00845503">
        <w:rPr>
          <w:rFonts w:ascii="Cambria" w:hAnsi="Cambria"/>
          <w:b/>
          <w:bCs/>
          <w:sz w:val="20"/>
          <w:szCs w:val="20"/>
          <w:lang w:val="es-AR"/>
        </w:rPr>
        <w:tab/>
      </w:r>
    </w:p>
    <w:p w:rsidR="005200F1" w:rsidRPr="00845503" w:rsidRDefault="005200F1"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Cs/>
          <w:sz w:val="20"/>
          <w:szCs w:val="20"/>
          <w:lang w:val="es-AR"/>
        </w:rPr>
      </w:pPr>
      <w:r w:rsidRPr="00845503">
        <w:rPr>
          <w:rFonts w:ascii="Cambria" w:hAnsi="Cambria"/>
          <w:sz w:val="20"/>
          <w:szCs w:val="20"/>
          <w:lang w:val="es-AR"/>
        </w:rPr>
        <w:t xml:space="preserve">En el presente caso se ha tenido por probado que </w:t>
      </w:r>
      <w:r w:rsidRPr="00845503">
        <w:rPr>
          <w:rFonts w:ascii="Cambria" w:hAnsi="Cambria"/>
          <w:sz w:val="20"/>
          <w:szCs w:val="20"/>
          <w:lang w:val="es-ES"/>
        </w:rPr>
        <w:t xml:space="preserve">Vladimiro Roca Antúnez, René Gómez Manzano, </w:t>
      </w:r>
      <w:r w:rsidR="00967821" w:rsidRPr="00845503">
        <w:rPr>
          <w:rFonts w:ascii="Cambria" w:hAnsi="Cambria"/>
          <w:sz w:val="20"/>
          <w:szCs w:val="20"/>
          <w:lang w:val="es-ES"/>
        </w:rPr>
        <w:t>Martha</w:t>
      </w:r>
      <w:r w:rsidRPr="00845503">
        <w:rPr>
          <w:rFonts w:ascii="Cambria" w:hAnsi="Cambria"/>
          <w:sz w:val="20"/>
          <w:szCs w:val="20"/>
          <w:lang w:val="es-ES"/>
        </w:rPr>
        <w:t xml:space="preserve"> Beatriz Roque Cabello y Félix Bonne Carcassés</w:t>
      </w:r>
      <w:r w:rsidRPr="00845503">
        <w:rPr>
          <w:rFonts w:ascii="Cambria" w:hAnsi="Cambria"/>
          <w:sz w:val="20"/>
          <w:szCs w:val="20"/>
          <w:lang w:val="es-AR"/>
        </w:rPr>
        <w:t xml:space="preserve"> permanecieron privados de la libertad </w:t>
      </w:r>
      <w:r w:rsidR="001642DD" w:rsidRPr="00845503">
        <w:rPr>
          <w:rFonts w:ascii="Cambria" w:hAnsi="Cambria"/>
          <w:sz w:val="20"/>
          <w:szCs w:val="20"/>
          <w:lang w:val="es-AR"/>
        </w:rPr>
        <w:t>sin contacto con familiares</w:t>
      </w:r>
      <w:r w:rsidRPr="00845503">
        <w:rPr>
          <w:rFonts w:ascii="Cambria" w:hAnsi="Cambria"/>
          <w:sz w:val="20"/>
          <w:szCs w:val="20"/>
          <w:lang w:val="es-AR"/>
        </w:rPr>
        <w:t xml:space="preserve"> y sin acceso a luz natural los primeros </w:t>
      </w:r>
      <w:r w:rsidR="001642DD" w:rsidRPr="00845503">
        <w:rPr>
          <w:rFonts w:ascii="Cambria" w:hAnsi="Cambria"/>
          <w:sz w:val="20"/>
          <w:szCs w:val="20"/>
          <w:lang w:val="es-AR"/>
        </w:rPr>
        <w:t>catorce</w:t>
      </w:r>
      <w:r w:rsidRPr="00845503">
        <w:rPr>
          <w:rFonts w:ascii="Cambria" w:hAnsi="Cambria"/>
          <w:sz w:val="20"/>
          <w:szCs w:val="20"/>
          <w:lang w:val="es-AR"/>
        </w:rPr>
        <w:t xml:space="preserve"> días de su detención en el centro de Seguridad del Estado “Villa Marista”. </w:t>
      </w:r>
      <w:r w:rsidR="00B0334C" w:rsidRPr="00845503">
        <w:rPr>
          <w:rFonts w:ascii="Cambria" w:hAnsi="Cambria"/>
          <w:sz w:val="20"/>
          <w:szCs w:val="20"/>
          <w:lang w:val="es-AR"/>
        </w:rPr>
        <w:t xml:space="preserve">Luego permanecieron detenidos sin posibilidad de salir al aire libre por 36 días. </w:t>
      </w:r>
      <w:r w:rsidRPr="00845503">
        <w:rPr>
          <w:rFonts w:ascii="Cambria" w:hAnsi="Cambria"/>
          <w:sz w:val="20"/>
          <w:szCs w:val="20"/>
          <w:lang w:val="es-AR"/>
        </w:rPr>
        <w:t xml:space="preserve">Aproximadamente tres meses después, en el mes de octubre de 1997, fueron trasladados a prisiones a diferentes centros de detención de “alta seguridad”. Allí sufrieron restricciones de acceso a la luz solar, al aire libre, al ejercicio físico y a la comida, y las condiciones generales en las que se encontraban en sus celdas eran insalubres y deficientes. Además, en algunos casos fueron detenidos junto con personas acusadas y condenadas por delitos comunes. La Comisión nota que </w:t>
      </w:r>
      <w:r w:rsidRPr="00845503">
        <w:rPr>
          <w:rFonts w:ascii="Cambria" w:hAnsi="Cambria"/>
          <w:sz w:val="20"/>
          <w:szCs w:val="20"/>
          <w:lang w:val="es-ES"/>
        </w:rPr>
        <w:t xml:space="preserve">René Gómez Manzano, </w:t>
      </w:r>
      <w:r w:rsidR="00967821" w:rsidRPr="00845503">
        <w:rPr>
          <w:rFonts w:ascii="Cambria" w:hAnsi="Cambria"/>
          <w:sz w:val="20"/>
          <w:szCs w:val="20"/>
          <w:lang w:val="es-ES"/>
        </w:rPr>
        <w:t>Martha</w:t>
      </w:r>
      <w:r w:rsidRPr="00845503">
        <w:rPr>
          <w:rFonts w:ascii="Cambria" w:hAnsi="Cambria"/>
          <w:sz w:val="20"/>
          <w:szCs w:val="20"/>
          <w:lang w:val="es-ES"/>
        </w:rPr>
        <w:t xml:space="preserve"> Beatriz Roque Cabello y Félix Bonne Carcassés</w:t>
      </w:r>
      <w:r w:rsidRPr="00845503">
        <w:rPr>
          <w:rFonts w:ascii="Cambria" w:hAnsi="Cambria"/>
          <w:sz w:val="20"/>
          <w:szCs w:val="20"/>
          <w:lang w:val="es-AR"/>
        </w:rPr>
        <w:t xml:space="preserve">  sufrieron problemas de salud que surgieron o se agravaron a partir del momento de su detención sin que se les proveyera una adecuada atención médica. En varios de los casos la atención médica ha sido negada incluso en situaciones muy graves, llevando así al deterioro de la sal</w:t>
      </w:r>
      <w:r w:rsidR="00B0334C" w:rsidRPr="00845503">
        <w:rPr>
          <w:rFonts w:ascii="Cambria" w:hAnsi="Cambria"/>
          <w:sz w:val="20"/>
          <w:szCs w:val="20"/>
          <w:lang w:val="es-AR"/>
        </w:rPr>
        <w:t>ud de las presuntas víctimas. Ren</w:t>
      </w:r>
      <w:r w:rsidR="00B0334C" w:rsidRPr="00845503">
        <w:rPr>
          <w:rFonts w:ascii="Cambria" w:hAnsi="Cambria"/>
          <w:sz w:val="20"/>
          <w:szCs w:val="20"/>
          <w:lang w:val="es-ES"/>
        </w:rPr>
        <w:t>é García fue golpeado por otros detenidos y en consecuencia fue colocado aislamiento en una prisión de máxima seguridad.</w:t>
      </w:r>
      <w:r w:rsidR="00B0334C" w:rsidRPr="00845503">
        <w:rPr>
          <w:rFonts w:ascii="Cambria" w:hAnsi="Cambria"/>
          <w:sz w:val="20"/>
          <w:szCs w:val="20"/>
          <w:lang w:val="es-AR"/>
        </w:rPr>
        <w:t xml:space="preserve"> Asimismo, </w:t>
      </w:r>
      <w:r w:rsidR="00D26693" w:rsidRPr="00845503">
        <w:rPr>
          <w:rFonts w:ascii="Cambria" w:hAnsi="Cambria"/>
          <w:sz w:val="20"/>
          <w:szCs w:val="20"/>
          <w:lang w:val="es-AR"/>
        </w:rPr>
        <w:t>fueron</w:t>
      </w:r>
      <w:r w:rsidRPr="00845503">
        <w:rPr>
          <w:rFonts w:ascii="Cambria" w:hAnsi="Cambria"/>
          <w:sz w:val="20"/>
          <w:szCs w:val="20"/>
          <w:lang w:val="es-AR"/>
        </w:rPr>
        <w:t xml:space="preserve"> trasladados </w:t>
      </w:r>
      <w:r w:rsidR="00B0334C" w:rsidRPr="00845503">
        <w:rPr>
          <w:rFonts w:ascii="Cambria" w:hAnsi="Cambria"/>
          <w:sz w:val="20"/>
          <w:szCs w:val="20"/>
          <w:lang w:val="es-AR"/>
        </w:rPr>
        <w:t xml:space="preserve">en varias oportunidades </w:t>
      </w:r>
      <w:r w:rsidRPr="00845503">
        <w:rPr>
          <w:rFonts w:ascii="Cambria" w:hAnsi="Cambria"/>
          <w:sz w:val="20"/>
          <w:szCs w:val="20"/>
          <w:lang w:val="es-AR"/>
        </w:rPr>
        <w:t xml:space="preserve">a hospitales militares, lo que, en el caso de </w:t>
      </w:r>
      <w:r w:rsidR="00967821" w:rsidRPr="00845503">
        <w:rPr>
          <w:rFonts w:ascii="Cambria" w:hAnsi="Cambria"/>
          <w:sz w:val="20"/>
          <w:szCs w:val="20"/>
          <w:lang w:val="es-AR"/>
        </w:rPr>
        <w:t>Martha</w:t>
      </w:r>
      <w:r w:rsidRPr="00845503">
        <w:rPr>
          <w:rFonts w:ascii="Cambria" w:hAnsi="Cambria"/>
          <w:sz w:val="20"/>
          <w:szCs w:val="20"/>
          <w:lang w:val="es-AR"/>
        </w:rPr>
        <w:t xml:space="preserve"> Roque Cabello, fue denunciado como una forma de intimidación.  </w:t>
      </w:r>
    </w:p>
    <w:p w:rsidR="005200F1" w:rsidRPr="00845503" w:rsidRDefault="005200F1" w:rsidP="005200F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
          <w:bCs/>
          <w:sz w:val="20"/>
          <w:szCs w:val="20"/>
          <w:lang w:val="es-AR"/>
        </w:rPr>
      </w:pPr>
    </w:p>
    <w:p w:rsidR="00AB3474" w:rsidRPr="00D01AE3" w:rsidRDefault="00B0334C"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b/>
          <w:bCs/>
          <w:sz w:val="20"/>
          <w:szCs w:val="20"/>
          <w:lang w:val="es-AR"/>
        </w:rPr>
      </w:pPr>
      <w:r w:rsidRPr="00D01AE3">
        <w:rPr>
          <w:rFonts w:ascii="Cambria" w:hAnsi="Cambria"/>
          <w:sz w:val="20"/>
          <w:szCs w:val="20"/>
          <w:lang w:val="es-AR"/>
        </w:rPr>
        <w:t>L</w:t>
      </w:r>
      <w:r w:rsidR="00AB3474" w:rsidRPr="00D01AE3">
        <w:rPr>
          <w:rFonts w:ascii="Cambria" w:hAnsi="Cambria"/>
          <w:sz w:val="20"/>
          <w:szCs w:val="20"/>
          <w:lang w:val="es-AR"/>
        </w:rPr>
        <w:t xml:space="preserve">a Comisión </w:t>
      </w:r>
      <w:r w:rsidRPr="00D01AE3">
        <w:rPr>
          <w:rFonts w:ascii="Cambria" w:hAnsi="Cambria"/>
          <w:sz w:val="20"/>
          <w:szCs w:val="20"/>
          <w:lang w:val="es-AR"/>
        </w:rPr>
        <w:t>estima que estas acciones configuran una</w:t>
      </w:r>
      <w:r w:rsidR="00AB3474" w:rsidRPr="00D01AE3">
        <w:rPr>
          <w:rFonts w:ascii="Cambria" w:hAnsi="Cambria"/>
          <w:sz w:val="20"/>
          <w:szCs w:val="20"/>
          <w:lang w:val="es-AR"/>
        </w:rPr>
        <w:t xml:space="preserve"> viola</w:t>
      </w:r>
      <w:r w:rsidRPr="00D01AE3">
        <w:rPr>
          <w:rFonts w:ascii="Cambria" w:hAnsi="Cambria"/>
          <w:sz w:val="20"/>
          <w:szCs w:val="20"/>
          <w:lang w:val="es-AR"/>
        </w:rPr>
        <w:t>ción</w:t>
      </w:r>
      <w:r w:rsidR="00AB3474" w:rsidRPr="00D01AE3">
        <w:rPr>
          <w:rFonts w:ascii="Cambria" w:hAnsi="Cambria"/>
          <w:sz w:val="20"/>
          <w:szCs w:val="20"/>
          <w:lang w:val="es-AR"/>
        </w:rPr>
        <w:t xml:space="preserve"> </w:t>
      </w:r>
      <w:r w:rsidRPr="00D01AE3">
        <w:rPr>
          <w:rFonts w:ascii="Cambria" w:hAnsi="Cambria"/>
          <w:sz w:val="20"/>
          <w:szCs w:val="20"/>
          <w:lang w:val="es-AR"/>
        </w:rPr>
        <w:t>d</w:t>
      </w:r>
      <w:r w:rsidR="00AB3474" w:rsidRPr="00D01AE3">
        <w:rPr>
          <w:rFonts w:ascii="Cambria" w:hAnsi="Cambria"/>
          <w:sz w:val="20"/>
          <w:szCs w:val="20"/>
          <w:lang w:val="es-AR"/>
        </w:rPr>
        <w:t>el derecho a un tratamiento humano durante la privación de libertad contenido en el artículo XXV de la Declaración Americana en perjuicio de cada una de las víctimas. </w:t>
      </w:r>
    </w:p>
    <w:p w:rsidR="003142C9" w:rsidRPr="00D01AE3" w:rsidRDefault="000D38A0" w:rsidP="009B6B6B">
      <w:pPr>
        <w:pStyle w:val="Heading2"/>
        <w:numPr>
          <w:ilvl w:val="0"/>
          <w:numId w:val="56"/>
        </w:numPr>
        <w:rPr>
          <w:rFonts w:ascii="Cambria" w:hAnsi="Cambria"/>
          <w:i w:val="0"/>
          <w:sz w:val="20"/>
          <w:szCs w:val="20"/>
          <w:lang w:val="es-CO"/>
        </w:rPr>
      </w:pPr>
      <w:bookmarkStart w:id="17" w:name="_Toc505951349"/>
      <w:r w:rsidRPr="00D01AE3">
        <w:rPr>
          <w:rFonts w:ascii="Cambria" w:hAnsi="Cambria"/>
          <w:i w:val="0"/>
          <w:sz w:val="20"/>
          <w:szCs w:val="20"/>
          <w:lang w:val="es-CO"/>
        </w:rPr>
        <w:t xml:space="preserve">ACTUACIONES POSTERIORES AL </w:t>
      </w:r>
      <w:r w:rsidR="00A14219" w:rsidRPr="00D01AE3">
        <w:rPr>
          <w:rFonts w:ascii="Cambria" w:hAnsi="Cambria"/>
          <w:i w:val="0"/>
          <w:sz w:val="20"/>
          <w:szCs w:val="20"/>
          <w:lang w:val="es-CO"/>
        </w:rPr>
        <w:t xml:space="preserve">INFORME No. </w:t>
      </w:r>
      <w:r w:rsidR="00A14219" w:rsidRPr="00D01AE3">
        <w:rPr>
          <w:rFonts w:ascii="Cambria" w:hAnsi="Cambria"/>
          <w:i w:val="0"/>
          <w:color w:val="0D0D0D" w:themeColor="text1" w:themeTint="F2"/>
          <w:sz w:val="20"/>
          <w:szCs w:val="20"/>
          <w:lang w:val="es-ES_tradnl"/>
        </w:rPr>
        <w:t>75/17</w:t>
      </w:r>
      <w:bookmarkEnd w:id="17"/>
    </w:p>
    <w:p w:rsidR="003142C9" w:rsidRPr="00D01AE3" w:rsidRDefault="003142C9" w:rsidP="003142C9">
      <w:pPr>
        <w:pStyle w:val="ListParagraph"/>
        <w:ind w:left="0"/>
        <w:jc w:val="both"/>
        <w:rPr>
          <w:color w:val="auto"/>
          <w:sz w:val="20"/>
          <w:szCs w:val="20"/>
          <w:lang w:val="es-CL"/>
        </w:rPr>
      </w:pPr>
    </w:p>
    <w:p w:rsidR="00A14219" w:rsidRPr="00D01AE3" w:rsidRDefault="00A14219" w:rsidP="00A14219">
      <w:pPr>
        <w:pStyle w:val="ListParagraph"/>
        <w:numPr>
          <w:ilvl w:val="0"/>
          <w:numId w:val="57"/>
        </w:numPr>
        <w:rPr>
          <w:sz w:val="20"/>
          <w:szCs w:val="20"/>
          <w:lang w:val="es-ES"/>
        </w:rPr>
      </w:pPr>
      <w:r w:rsidRPr="00D01AE3">
        <w:rPr>
          <w:sz w:val="20"/>
          <w:szCs w:val="20"/>
          <w:lang w:val="es-ES"/>
        </w:rPr>
        <w:t xml:space="preserve">La Comisión adoptó el Informe de Fondo </w:t>
      </w:r>
      <w:r w:rsidRPr="00D01AE3">
        <w:rPr>
          <w:rFonts w:asciiTheme="majorHAnsi" w:hAnsiTheme="majorHAnsi"/>
          <w:color w:val="0D0D0D" w:themeColor="text1" w:themeTint="F2"/>
          <w:sz w:val="20"/>
          <w:szCs w:val="20"/>
          <w:lang w:val="es-ES_tradnl"/>
        </w:rPr>
        <w:t xml:space="preserve">75/17 </w:t>
      </w:r>
      <w:r w:rsidRPr="00D01AE3">
        <w:rPr>
          <w:sz w:val="20"/>
          <w:szCs w:val="20"/>
          <w:lang w:val="es-ES"/>
        </w:rPr>
        <w:t xml:space="preserve">el 5 de julio de 2017 y lo transmitió al Estado el </w:t>
      </w:r>
      <w:r w:rsidR="00242246" w:rsidRPr="00D01AE3">
        <w:rPr>
          <w:sz w:val="20"/>
          <w:szCs w:val="20"/>
          <w:lang w:val="es-ES"/>
        </w:rPr>
        <w:t>27 de julio de 2017</w:t>
      </w:r>
      <w:r w:rsidRPr="00D01AE3">
        <w:rPr>
          <w:sz w:val="20"/>
          <w:szCs w:val="20"/>
          <w:lang w:val="es-ES"/>
        </w:rPr>
        <w:t xml:space="preserve">. </w:t>
      </w:r>
      <w:r w:rsidRPr="00D01AE3">
        <w:rPr>
          <w:rFonts w:eastAsia="Calibri"/>
          <w:sz w:val="20"/>
          <w:szCs w:val="22"/>
          <w:bdr w:val="none" w:sz="0" w:space="0" w:color="auto"/>
          <w:lang w:val="es-ES"/>
        </w:rPr>
        <w:t>En esa misma fecha se notificó a los peticionarios sobre la adopción del informe</w:t>
      </w:r>
      <w:r w:rsidRPr="00D01AE3">
        <w:rPr>
          <w:sz w:val="20"/>
          <w:szCs w:val="20"/>
          <w:lang w:val="es-ES"/>
        </w:rPr>
        <w:t>. En dicho informe la Comisión recomendó:</w:t>
      </w:r>
    </w:p>
    <w:p w:rsidR="00A14219" w:rsidRPr="00D01AE3" w:rsidRDefault="00A14219" w:rsidP="00A1421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O"/>
        </w:rPr>
      </w:pPr>
    </w:p>
    <w:p w:rsidR="00A14219" w:rsidRPr="00D01AE3" w:rsidRDefault="00A14219" w:rsidP="00A1421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20"/>
          <w:szCs w:val="20"/>
          <w:bdr w:val="none" w:sz="0" w:space="0" w:color="auto"/>
          <w:lang w:val="es-CO"/>
        </w:rPr>
      </w:pPr>
      <w:r w:rsidRPr="00D01AE3">
        <w:rPr>
          <w:rFonts w:eastAsia="Times New Roman"/>
          <w:color w:val="auto"/>
          <w:sz w:val="20"/>
          <w:szCs w:val="20"/>
          <w:bdr w:val="none" w:sz="0" w:space="0" w:color="auto"/>
          <w:lang w:val="es-AR"/>
        </w:rPr>
        <w:t>Reparar a las víctimas y, de ser el caso, a sus familiares sobrevivientes, por el daño material e inmaterial sufrido en virtud de las violaciones a la Declaración Americana aquí establecidas.</w:t>
      </w:r>
    </w:p>
    <w:p w:rsidR="00A14219" w:rsidRPr="00D01AE3" w:rsidRDefault="00A14219" w:rsidP="00A14219">
      <w:pPr>
        <w:pStyle w:val="ListParagraph"/>
        <w:rPr>
          <w:rFonts w:eastAsia="Times New Roman"/>
          <w:color w:val="auto"/>
          <w:sz w:val="20"/>
          <w:szCs w:val="20"/>
          <w:bdr w:val="none" w:sz="0" w:space="0" w:color="auto"/>
          <w:lang w:val="es-CO"/>
        </w:rPr>
      </w:pPr>
    </w:p>
    <w:p w:rsidR="00A14219" w:rsidRPr="00D01AE3" w:rsidRDefault="00A14219" w:rsidP="00A1421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20"/>
          <w:szCs w:val="20"/>
          <w:bdr w:val="none" w:sz="0" w:space="0" w:color="auto"/>
          <w:lang w:val="es-CO"/>
        </w:rPr>
      </w:pPr>
      <w:r w:rsidRPr="00D01AE3">
        <w:rPr>
          <w:rFonts w:eastAsia="Times New Roman"/>
          <w:color w:val="auto"/>
          <w:sz w:val="20"/>
          <w:szCs w:val="20"/>
          <w:bdr w:val="none" w:sz="0" w:space="0" w:color="auto"/>
          <w:lang w:val="es-CO"/>
        </w:rPr>
        <w:t xml:space="preserve">Dejar sin efecto la condena penal impuesta a las víctimas en el presente caso y todas las consecuencias que de ella se deriven. </w:t>
      </w:r>
    </w:p>
    <w:p w:rsidR="00A14219" w:rsidRPr="00D01AE3" w:rsidRDefault="00A14219" w:rsidP="00A14219">
      <w:pPr>
        <w:pStyle w:val="ListParagraph"/>
        <w:rPr>
          <w:rFonts w:eastAsia="Times New Roman"/>
          <w:color w:val="auto"/>
          <w:sz w:val="20"/>
          <w:szCs w:val="20"/>
          <w:bdr w:val="none" w:sz="0" w:space="0" w:color="auto"/>
          <w:lang w:val="es-CO"/>
        </w:rPr>
      </w:pPr>
    </w:p>
    <w:p w:rsidR="00A14219" w:rsidRPr="00D01AE3" w:rsidRDefault="00A14219" w:rsidP="00A1421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20"/>
          <w:szCs w:val="20"/>
          <w:bdr w:val="none" w:sz="0" w:space="0" w:color="auto"/>
          <w:lang w:val="es-CO"/>
        </w:rPr>
      </w:pPr>
      <w:r w:rsidRPr="00D01AE3">
        <w:rPr>
          <w:sz w:val="20"/>
          <w:szCs w:val="20"/>
          <w:lang w:val="es-ES"/>
        </w:rPr>
        <w:t xml:space="preserve">Realizar un acto público de reconocimiento de su responsabilidad por </w:t>
      </w:r>
      <w:r w:rsidRPr="00D01AE3">
        <w:rPr>
          <w:rFonts w:eastAsia="Times New Roman"/>
          <w:color w:val="auto"/>
          <w:sz w:val="20"/>
          <w:szCs w:val="20"/>
          <w:bdr w:val="none" w:sz="0" w:space="0" w:color="auto"/>
          <w:lang w:val="es-AR"/>
        </w:rPr>
        <w:t>las violaciones a la Declaración Americana aquí establecidas.</w:t>
      </w:r>
    </w:p>
    <w:p w:rsidR="00A14219" w:rsidRPr="00D01AE3" w:rsidRDefault="00A14219" w:rsidP="00A14219">
      <w:pPr>
        <w:pStyle w:val="ListParagraph"/>
        <w:rPr>
          <w:rFonts w:eastAsia="Times New Roman"/>
          <w:color w:val="auto"/>
          <w:sz w:val="20"/>
          <w:szCs w:val="20"/>
          <w:bdr w:val="none" w:sz="0" w:space="0" w:color="auto"/>
          <w:lang w:val="es-CO"/>
        </w:rPr>
      </w:pPr>
    </w:p>
    <w:p w:rsidR="00A14219" w:rsidRPr="00D01AE3" w:rsidRDefault="00A14219" w:rsidP="00A1421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20"/>
          <w:szCs w:val="20"/>
          <w:bdr w:val="none" w:sz="0" w:space="0" w:color="auto"/>
          <w:lang w:val="es-CO"/>
        </w:rPr>
      </w:pPr>
      <w:r w:rsidRPr="00D01AE3">
        <w:rPr>
          <w:rFonts w:eastAsia="Times New Roman"/>
          <w:color w:val="auto"/>
          <w:sz w:val="20"/>
          <w:szCs w:val="20"/>
          <w:bdr w:val="none" w:sz="0" w:space="0" w:color="auto"/>
          <w:lang w:val="es-CO"/>
        </w:rPr>
        <w:t>Adoptar las medidas necesarias para adecuar sus leyes, procedimientos y prácticas a las normas internacionales sobre derechos humanos. En particular, derogar las figuras penales que, como el delito de sedición y el delito de incitaci</w:t>
      </w:r>
      <w:r w:rsidRPr="00D01AE3">
        <w:rPr>
          <w:rFonts w:eastAsia="Times New Roman"/>
          <w:color w:val="auto"/>
          <w:sz w:val="20"/>
          <w:szCs w:val="20"/>
          <w:bdr w:val="none" w:sz="0" w:space="0" w:color="auto"/>
          <w:lang w:val="es-ES"/>
        </w:rPr>
        <w:t xml:space="preserve">ón </w:t>
      </w:r>
      <w:r w:rsidRPr="00D01AE3">
        <w:rPr>
          <w:rFonts w:eastAsia="Times New Roman"/>
          <w:color w:val="auto"/>
          <w:sz w:val="20"/>
          <w:szCs w:val="20"/>
          <w:bdr w:val="none" w:sz="0" w:space="0" w:color="auto"/>
          <w:lang w:val="es-CO"/>
        </w:rPr>
        <w:t>previstos en los artículos 100 y 125 del Código Penal, respectivamente, resultan incompatibles con el ejercicio de los derechos a la libertad de expresión y asociación.</w:t>
      </w:r>
    </w:p>
    <w:p w:rsidR="00A14219" w:rsidRPr="00D01AE3" w:rsidRDefault="00A14219" w:rsidP="00A14219">
      <w:pPr>
        <w:pStyle w:val="ListParagraph"/>
        <w:rPr>
          <w:rFonts w:eastAsia="Times New Roman"/>
          <w:color w:val="auto"/>
          <w:sz w:val="20"/>
          <w:szCs w:val="20"/>
          <w:bdr w:val="none" w:sz="0" w:space="0" w:color="auto"/>
          <w:lang w:val="es-CO"/>
        </w:rPr>
      </w:pPr>
    </w:p>
    <w:p w:rsidR="00A14219" w:rsidRPr="00D01AE3" w:rsidRDefault="00A14219" w:rsidP="00A1421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20"/>
          <w:szCs w:val="20"/>
          <w:bdr w:val="none" w:sz="0" w:space="0" w:color="auto"/>
          <w:lang w:val="es-CO"/>
        </w:rPr>
      </w:pPr>
      <w:r w:rsidRPr="00D01AE3">
        <w:rPr>
          <w:rFonts w:eastAsia="Times New Roman"/>
          <w:color w:val="auto"/>
          <w:sz w:val="20"/>
          <w:szCs w:val="20"/>
          <w:bdr w:val="none" w:sz="0" w:space="0" w:color="auto"/>
          <w:lang w:val="es-AR"/>
        </w:rPr>
        <w:t>Adoptar las medidas necesarias para evitar que hechos similares vuelvan a cometerse, de conformidad con el deber del Estado de respetar y garantizar los derechos humanos. En particular, a</w:t>
      </w:r>
      <w:r w:rsidRPr="00D01AE3">
        <w:rPr>
          <w:rFonts w:eastAsia="Times New Roman"/>
          <w:color w:val="auto"/>
          <w:sz w:val="20"/>
          <w:szCs w:val="20"/>
          <w:bdr w:val="none" w:sz="0" w:space="0" w:color="auto"/>
          <w:lang w:val="es-CO"/>
        </w:rPr>
        <w:t>doptar las medidas que sean necesarias para prevenir y erradicar la criminalización de quienes ejercen el derecho de libertad de expresión y de asociación.</w:t>
      </w:r>
    </w:p>
    <w:p w:rsidR="00A14219" w:rsidRPr="00D01AE3" w:rsidRDefault="00A14219" w:rsidP="00A14219">
      <w:pPr>
        <w:pStyle w:val="ListParagraph"/>
        <w:rPr>
          <w:rFonts w:eastAsia="Times New Roman"/>
          <w:color w:val="auto"/>
          <w:sz w:val="20"/>
          <w:szCs w:val="20"/>
          <w:bdr w:val="none" w:sz="0" w:space="0" w:color="auto"/>
          <w:lang w:val="es-AR"/>
        </w:rPr>
      </w:pPr>
    </w:p>
    <w:p w:rsidR="00A14219" w:rsidRPr="00D01AE3" w:rsidRDefault="00A14219" w:rsidP="00A14219">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20"/>
          <w:szCs w:val="20"/>
          <w:bdr w:val="none" w:sz="0" w:space="0" w:color="auto"/>
          <w:lang w:val="es-CO"/>
        </w:rPr>
      </w:pPr>
      <w:r w:rsidRPr="00D01AE3">
        <w:rPr>
          <w:rFonts w:eastAsia="Times New Roman"/>
          <w:color w:val="auto"/>
          <w:sz w:val="20"/>
          <w:szCs w:val="20"/>
          <w:bdr w:val="none" w:sz="0" w:space="0" w:color="auto"/>
          <w:lang w:val="es-AR"/>
        </w:rPr>
        <w:lastRenderedPageBreak/>
        <w:t>Adecuar sus normas procesales a los estándares internacionales aplicables en materia de debido proceso, a fin de que las personas sometidas a procesos penales cuenten con todas las garantías legales necesarias para ejercer sus medios de defensa.</w:t>
      </w:r>
    </w:p>
    <w:p w:rsidR="00A14219" w:rsidRPr="00D01AE3" w:rsidRDefault="00A14219" w:rsidP="00A1421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O"/>
        </w:rPr>
      </w:pPr>
    </w:p>
    <w:p w:rsidR="00242246" w:rsidRPr="00D01AE3" w:rsidRDefault="00242246" w:rsidP="0024224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D01AE3">
        <w:rPr>
          <w:rFonts w:ascii="Cambria" w:hAnsi="Cambria"/>
          <w:sz w:val="20"/>
          <w:szCs w:val="20"/>
          <w:lang w:val="es-AR"/>
        </w:rPr>
        <w:t>La Comisión nota que el Estado no presentó información con posterioridad a la emisión del informe No. 75/17. La parte peticionari</w:t>
      </w:r>
      <w:r w:rsidR="005B46F7" w:rsidRPr="00D01AE3">
        <w:rPr>
          <w:rFonts w:ascii="Cambria" w:hAnsi="Cambria"/>
          <w:sz w:val="20"/>
          <w:szCs w:val="20"/>
          <w:lang w:val="es-AR"/>
        </w:rPr>
        <w:t>a</w:t>
      </w:r>
      <w:r w:rsidRPr="00D01AE3">
        <w:rPr>
          <w:rFonts w:ascii="Cambria" w:hAnsi="Cambria"/>
          <w:sz w:val="20"/>
          <w:szCs w:val="20"/>
          <w:lang w:val="es-AR"/>
        </w:rPr>
        <w:t xml:space="preserve"> informó</w:t>
      </w:r>
      <w:r w:rsidR="00187837" w:rsidRPr="00D01AE3">
        <w:rPr>
          <w:rFonts w:ascii="Cambria" w:hAnsi="Cambria"/>
          <w:sz w:val="20"/>
          <w:szCs w:val="20"/>
          <w:lang w:val="es-AR"/>
        </w:rPr>
        <w:t>,</w:t>
      </w:r>
      <w:r w:rsidRPr="00D01AE3">
        <w:rPr>
          <w:rFonts w:ascii="Cambria" w:hAnsi="Cambria"/>
          <w:sz w:val="20"/>
          <w:szCs w:val="20"/>
          <w:lang w:val="es-AR"/>
        </w:rPr>
        <w:t xml:space="preserve"> mediante comunicación telefónica</w:t>
      </w:r>
      <w:r w:rsidR="00187837" w:rsidRPr="00D01AE3">
        <w:rPr>
          <w:rFonts w:ascii="Cambria" w:hAnsi="Cambria"/>
          <w:sz w:val="20"/>
          <w:szCs w:val="20"/>
          <w:lang w:val="es-AR"/>
        </w:rPr>
        <w:t>,</w:t>
      </w:r>
      <w:r w:rsidRPr="00D01AE3">
        <w:rPr>
          <w:rFonts w:ascii="Cambria" w:hAnsi="Cambria"/>
          <w:sz w:val="20"/>
          <w:szCs w:val="20"/>
          <w:lang w:val="es-AR"/>
        </w:rPr>
        <w:t xml:space="preserve"> que deseaba conseguir el cumplimiento de las recomendaciones realizadas al Estado cubano en el presente caso.</w:t>
      </w:r>
    </w:p>
    <w:p w:rsidR="00242246" w:rsidRPr="00D01AE3" w:rsidRDefault="00242246" w:rsidP="0024224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O"/>
        </w:rPr>
      </w:pPr>
    </w:p>
    <w:p w:rsidR="00242246" w:rsidRPr="00D01AE3" w:rsidRDefault="00F328E3" w:rsidP="00242246">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D01AE3">
        <w:rPr>
          <w:rFonts w:ascii="Cambria" w:hAnsi="Cambria" w:cs="Verdana"/>
          <w:sz w:val="20"/>
          <w:szCs w:val="20"/>
          <w:lang w:val="es-ES" w:bidi="en-US"/>
        </w:rPr>
        <w:t xml:space="preserve">De la información disponible a la fecha de aprobación del presente informe, la Comisión advierte que Cuba no ha cumplido con las recomendaciones establecidas en su informe de fondo </w:t>
      </w:r>
      <w:r w:rsidR="00610B49" w:rsidRPr="00D01AE3">
        <w:rPr>
          <w:rFonts w:ascii="Cambria" w:hAnsi="Cambria" w:cs="Verdana"/>
          <w:sz w:val="20"/>
          <w:szCs w:val="20"/>
          <w:lang w:val="es-ES" w:bidi="en-US"/>
        </w:rPr>
        <w:t>No. 75/17</w:t>
      </w:r>
      <w:r w:rsidR="00242246" w:rsidRPr="00D01AE3">
        <w:rPr>
          <w:rFonts w:ascii="Cambria" w:hAnsi="Cambria" w:cs="Verdana"/>
          <w:sz w:val="20"/>
          <w:szCs w:val="20"/>
          <w:lang w:val="es-ES" w:bidi="en-US"/>
        </w:rPr>
        <w:t>.</w:t>
      </w:r>
    </w:p>
    <w:p w:rsidR="000D38A0" w:rsidRPr="008C5D79" w:rsidRDefault="000D38A0" w:rsidP="009B6B6B">
      <w:pPr>
        <w:pStyle w:val="Heading2"/>
        <w:numPr>
          <w:ilvl w:val="0"/>
          <w:numId w:val="56"/>
        </w:numPr>
        <w:rPr>
          <w:rFonts w:ascii="Cambria" w:hAnsi="Cambria"/>
          <w:i w:val="0"/>
          <w:sz w:val="20"/>
          <w:szCs w:val="20"/>
          <w:lang w:val="es-ES"/>
        </w:rPr>
      </w:pPr>
      <w:bookmarkStart w:id="18" w:name="_Toc505951350"/>
      <w:bookmarkStart w:id="19" w:name="_Toc489881861"/>
      <w:r w:rsidRPr="008C5D79">
        <w:rPr>
          <w:rFonts w:ascii="Cambria" w:hAnsi="Cambria"/>
          <w:i w:val="0"/>
          <w:sz w:val="20"/>
          <w:szCs w:val="20"/>
          <w:lang w:val="es-ES"/>
        </w:rPr>
        <w:t>ACTUACIONES POSTERIORES AL INFORME No. 134/17</w:t>
      </w:r>
      <w:bookmarkEnd w:id="18"/>
    </w:p>
    <w:p w:rsidR="000D38A0" w:rsidRPr="008C5D79" w:rsidRDefault="000D38A0" w:rsidP="000D38A0">
      <w:pPr>
        <w:rPr>
          <w:lang w:val="es-ES"/>
        </w:rPr>
      </w:pPr>
      <w:r w:rsidRPr="008C5D79">
        <w:rPr>
          <w:lang w:val="es-ES"/>
        </w:rPr>
        <w:t xml:space="preserve"> </w:t>
      </w:r>
    </w:p>
    <w:p w:rsidR="000D38A0" w:rsidRPr="008C5D79" w:rsidRDefault="000D38A0" w:rsidP="00D01AE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ES"/>
        </w:rPr>
      </w:pPr>
      <w:r w:rsidRPr="008C5D79">
        <w:rPr>
          <w:rFonts w:ascii="Cambria" w:hAnsi="Cambria"/>
          <w:sz w:val="20"/>
          <w:szCs w:val="20"/>
          <w:lang w:val="es-ES"/>
        </w:rPr>
        <w:t xml:space="preserve">El 25 de octubre de 2017, la Comisión Interamericana aprobó el informe </w:t>
      </w:r>
      <w:r w:rsidR="003D0CAE" w:rsidRPr="008C5D79">
        <w:rPr>
          <w:rFonts w:ascii="Cambria" w:hAnsi="Cambria"/>
          <w:sz w:val="20"/>
          <w:szCs w:val="20"/>
          <w:lang w:val="es-ES"/>
        </w:rPr>
        <w:t>No. 134/</w:t>
      </w:r>
      <w:r w:rsidR="00ED4C5B" w:rsidRPr="008C5D79">
        <w:rPr>
          <w:rFonts w:ascii="Cambria" w:hAnsi="Cambria"/>
          <w:sz w:val="20"/>
          <w:szCs w:val="20"/>
          <w:lang w:val="es-ES"/>
        </w:rPr>
        <w:t>17, en el cual reiteró las recomendaciones</w:t>
      </w:r>
      <w:r w:rsidR="00156255" w:rsidRPr="008C5D79">
        <w:rPr>
          <w:rFonts w:ascii="Cambria" w:hAnsi="Cambria"/>
          <w:sz w:val="20"/>
          <w:szCs w:val="20"/>
          <w:lang w:val="es-ES"/>
        </w:rPr>
        <w:t xml:space="preserve"> contenidas en el informe No. 75/17</w:t>
      </w:r>
      <w:r w:rsidR="00ED4C5B" w:rsidRPr="008C5D79">
        <w:rPr>
          <w:rFonts w:ascii="Cambria" w:hAnsi="Cambria"/>
          <w:sz w:val="20"/>
          <w:szCs w:val="20"/>
          <w:lang w:val="es-ES"/>
        </w:rPr>
        <w:t xml:space="preserve">, el cual fue debidamente notificado a las partes. </w:t>
      </w:r>
      <w:r w:rsidR="00D01AE3" w:rsidRPr="008C5D79">
        <w:rPr>
          <w:rFonts w:ascii="Cambria" w:hAnsi="Cambria"/>
          <w:sz w:val="20"/>
          <w:szCs w:val="20"/>
          <w:lang w:val="es-ES"/>
        </w:rPr>
        <w:t>De conformidad con el artículo 47.2 de su reglame</w:t>
      </w:r>
      <w:r w:rsidR="003D0CAE" w:rsidRPr="008C5D79">
        <w:rPr>
          <w:rFonts w:ascii="Cambria" w:hAnsi="Cambria"/>
          <w:sz w:val="20"/>
          <w:szCs w:val="20"/>
          <w:lang w:val="es-ES"/>
        </w:rPr>
        <w:t>n</w:t>
      </w:r>
      <w:r w:rsidR="00D01AE3" w:rsidRPr="008C5D79">
        <w:rPr>
          <w:rFonts w:ascii="Cambria" w:hAnsi="Cambria"/>
          <w:sz w:val="20"/>
          <w:szCs w:val="20"/>
          <w:lang w:val="es-ES"/>
        </w:rPr>
        <w:t>to, l</w:t>
      </w:r>
      <w:r w:rsidR="00ED4C5B" w:rsidRPr="008C5D79">
        <w:rPr>
          <w:rFonts w:ascii="Cambria" w:hAnsi="Cambria"/>
          <w:sz w:val="20"/>
          <w:szCs w:val="20"/>
          <w:lang w:val="es-ES"/>
        </w:rPr>
        <w:t xml:space="preserve">a CIDH otorgó </w:t>
      </w:r>
      <w:r w:rsidR="00D01AE3" w:rsidRPr="008C5D79">
        <w:rPr>
          <w:rFonts w:ascii="Cambria" w:hAnsi="Cambria"/>
          <w:sz w:val="20"/>
          <w:szCs w:val="20"/>
          <w:lang w:val="es-ES"/>
        </w:rPr>
        <w:t xml:space="preserve">a las partes </w:t>
      </w:r>
      <w:r w:rsidR="00ED4C5B" w:rsidRPr="008C5D79">
        <w:rPr>
          <w:rFonts w:ascii="Cambria" w:hAnsi="Cambria"/>
          <w:sz w:val="20"/>
          <w:szCs w:val="20"/>
          <w:lang w:val="es-ES"/>
        </w:rPr>
        <w:t xml:space="preserve">un plazo de un mes para presentar información acerca del cumplimiento de las recomendaciones finales contenidas en </w:t>
      </w:r>
      <w:r w:rsidR="00B07A05" w:rsidRPr="008C5D79">
        <w:rPr>
          <w:rFonts w:ascii="Cambria" w:hAnsi="Cambria"/>
          <w:sz w:val="20"/>
          <w:szCs w:val="20"/>
          <w:lang w:val="es-ES"/>
        </w:rPr>
        <w:t>el informe. La CIDH nota que ni el Estado ni los peticionarios presentaron la información solicitada</w:t>
      </w:r>
      <w:r w:rsidR="00D01AE3" w:rsidRPr="008C5D79">
        <w:rPr>
          <w:rFonts w:ascii="Cambria" w:hAnsi="Cambria"/>
          <w:sz w:val="20"/>
          <w:szCs w:val="20"/>
          <w:lang w:val="es-ES"/>
        </w:rPr>
        <w:t>.</w:t>
      </w:r>
    </w:p>
    <w:p w:rsidR="00242246" w:rsidRPr="008C5D79" w:rsidRDefault="00242246" w:rsidP="009B6B6B">
      <w:pPr>
        <w:pStyle w:val="Heading2"/>
        <w:numPr>
          <w:ilvl w:val="0"/>
          <w:numId w:val="56"/>
        </w:numPr>
        <w:rPr>
          <w:rFonts w:ascii="Cambria" w:hAnsi="Cambria"/>
          <w:i w:val="0"/>
          <w:sz w:val="20"/>
          <w:szCs w:val="20"/>
          <w:lang w:val="es-ES"/>
        </w:rPr>
      </w:pPr>
      <w:bookmarkStart w:id="20" w:name="_Toc505951351"/>
      <w:r w:rsidRPr="008C5D79">
        <w:rPr>
          <w:rFonts w:ascii="Cambria" w:hAnsi="Cambria"/>
          <w:i w:val="0"/>
          <w:sz w:val="20"/>
          <w:szCs w:val="20"/>
          <w:lang w:val="es-ES"/>
        </w:rPr>
        <w:t>CONCLUSIONES FINALES Y RECOMENDACIONES</w:t>
      </w:r>
      <w:bookmarkEnd w:id="19"/>
      <w:bookmarkEnd w:id="20"/>
    </w:p>
    <w:p w:rsidR="00242246" w:rsidRPr="008C5D79" w:rsidRDefault="00242246" w:rsidP="0024224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O"/>
        </w:rPr>
      </w:pPr>
    </w:p>
    <w:p w:rsidR="003142C9" w:rsidRPr="008C5D79" w:rsidRDefault="003142C9"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C5D79">
        <w:rPr>
          <w:rFonts w:ascii="Cambria" w:hAnsi="Cambria"/>
          <w:sz w:val="20"/>
          <w:szCs w:val="20"/>
          <w:lang w:val="es-CL"/>
        </w:rPr>
        <w:t>Con base en las consideraciones de hecho y de derecho contenidas en el presente informe, l</w:t>
      </w:r>
      <w:r w:rsidRPr="008C5D79">
        <w:rPr>
          <w:rFonts w:ascii="Cambria" w:hAnsi="Cambria"/>
          <w:sz w:val="20"/>
          <w:szCs w:val="20"/>
          <w:lang w:val="es-ES"/>
        </w:rPr>
        <w:t xml:space="preserve">a CIDH concluye que el Estado de Cuba violó, en perjuicio de  Vladimiro Roca Antúnez, </w:t>
      </w:r>
      <w:r w:rsidR="007364FC" w:rsidRPr="008C5D79">
        <w:rPr>
          <w:rFonts w:ascii="Cambria" w:hAnsi="Cambria"/>
          <w:sz w:val="20"/>
          <w:szCs w:val="20"/>
          <w:lang w:val="es-ES"/>
        </w:rPr>
        <w:t>René</w:t>
      </w:r>
      <w:r w:rsidRPr="008C5D79">
        <w:rPr>
          <w:rFonts w:ascii="Cambria" w:hAnsi="Cambria"/>
          <w:sz w:val="20"/>
          <w:szCs w:val="20"/>
          <w:lang w:val="es-ES"/>
        </w:rPr>
        <w:t xml:space="preserve"> Gómez Manzano, </w:t>
      </w:r>
      <w:r w:rsidR="00967821" w:rsidRPr="008C5D79">
        <w:rPr>
          <w:rFonts w:ascii="Cambria" w:hAnsi="Cambria"/>
          <w:sz w:val="20"/>
          <w:szCs w:val="20"/>
          <w:lang w:val="es-ES"/>
        </w:rPr>
        <w:t>Martha</w:t>
      </w:r>
      <w:r w:rsidRPr="008C5D79">
        <w:rPr>
          <w:rFonts w:ascii="Cambria" w:hAnsi="Cambria"/>
          <w:sz w:val="20"/>
          <w:szCs w:val="20"/>
          <w:lang w:val="es-ES"/>
        </w:rPr>
        <w:t xml:space="preserve"> Beatriz Roque Cabello y Félix Bonne Carcassés,</w:t>
      </w:r>
      <w:r w:rsidRPr="008C5D79">
        <w:rPr>
          <w:rFonts w:ascii="Cambria" w:hAnsi="Cambria" w:cs="Arial"/>
          <w:bCs/>
          <w:sz w:val="20"/>
          <w:szCs w:val="20"/>
          <w:lang w:val="es-CO"/>
        </w:rPr>
        <w:t xml:space="preserve"> los derechos </w:t>
      </w:r>
      <w:r w:rsidRPr="008C5D79">
        <w:rPr>
          <w:rFonts w:ascii="Cambria" w:hAnsi="Cambria"/>
          <w:sz w:val="20"/>
          <w:szCs w:val="20"/>
          <w:lang w:val="es-CO"/>
        </w:rPr>
        <w:t xml:space="preserve">consagrados en los artículos I (Derecho a la vida, a la libertad, a la seguridad e integridad de la persona), IV (Derecho de libertad de investigación, opinión, expresión y difusión), XXV (Derecho de protección contra la detención arbitraria), XXVI (Derecho a proceso </w:t>
      </w:r>
      <w:r w:rsidR="00864585" w:rsidRPr="008C5D79">
        <w:rPr>
          <w:rFonts w:ascii="Cambria" w:hAnsi="Cambria"/>
          <w:sz w:val="20"/>
          <w:szCs w:val="20"/>
          <w:lang w:val="es-CO"/>
        </w:rPr>
        <w:t>“</w:t>
      </w:r>
      <w:r w:rsidRPr="008C5D79">
        <w:rPr>
          <w:rFonts w:ascii="Cambria" w:hAnsi="Cambria"/>
          <w:sz w:val="20"/>
          <w:szCs w:val="20"/>
          <w:lang w:val="es-CO"/>
        </w:rPr>
        <w:t>regular)</w:t>
      </w:r>
      <w:r w:rsidRPr="008C5D79">
        <w:rPr>
          <w:rFonts w:ascii="Cambria" w:hAnsi="Cambria"/>
          <w:sz w:val="20"/>
          <w:szCs w:val="20"/>
          <w:lang w:val="es-AR"/>
        </w:rPr>
        <w:t xml:space="preserve"> y </w:t>
      </w:r>
      <w:r w:rsidR="00916016" w:rsidRPr="008C5D79">
        <w:rPr>
          <w:rFonts w:ascii="Cambria" w:hAnsi="Cambria"/>
          <w:sz w:val="20"/>
          <w:szCs w:val="20"/>
          <w:lang w:val="es-AR"/>
        </w:rPr>
        <w:t xml:space="preserve"> XXII (</w:t>
      </w:r>
      <w:r w:rsidRPr="008C5D79">
        <w:rPr>
          <w:rFonts w:ascii="Cambria" w:hAnsi="Cambria"/>
          <w:sz w:val="20"/>
          <w:szCs w:val="20"/>
          <w:lang w:val="es-AR"/>
        </w:rPr>
        <w:t>derecho de asociación)</w:t>
      </w:r>
      <w:r w:rsidRPr="008C5D79">
        <w:rPr>
          <w:rFonts w:ascii="Cambria" w:hAnsi="Cambria"/>
          <w:sz w:val="20"/>
          <w:szCs w:val="20"/>
          <w:lang w:val="es-CO"/>
        </w:rPr>
        <w:t xml:space="preserve"> de la Declaración Americana. </w:t>
      </w:r>
    </w:p>
    <w:p w:rsidR="00242246" w:rsidRPr="008C5D79" w:rsidRDefault="00242246" w:rsidP="0024224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CO"/>
        </w:rPr>
      </w:pPr>
    </w:p>
    <w:p w:rsidR="00242246" w:rsidRPr="008C5D79" w:rsidRDefault="00242246" w:rsidP="004F210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hAnsi="Cambria"/>
          <w:sz w:val="20"/>
          <w:szCs w:val="20"/>
          <w:lang w:val="es-CO"/>
        </w:rPr>
      </w:pPr>
      <w:r w:rsidRPr="008C5D79">
        <w:rPr>
          <w:rFonts w:ascii="Cambria" w:hAnsi="Cambria" w:cs="Verdana"/>
          <w:sz w:val="20"/>
          <w:szCs w:val="20"/>
          <w:lang w:val="es-ES" w:bidi="en-US"/>
        </w:rPr>
        <w:t>En virtud de las anteriores conclusiones,</w:t>
      </w:r>
    </w:p>
    <w:p w:rsidR="00242246" w:rsidRPr="008C5D79" w:rsidRDefault="00242246" w:rsidP="0024224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Verdana"/>
          <w:sz w:val="20"/>
          <w:szCs w:val="20"/>
          <w:lang w:val="es-ES" w:bidi="en-US"/>
        </w:rPr>
      </w:pPr>
    </w:p>
    <w:p w:rsidR="00242246" w:rsidRPr="008C5D79" w:rsidRDefault="00242246" w:rsidP="00242246">
      <w:pPr>
        <w:jc w:val="center"/>
        <w:rPr>
          <w:rFonts w:ascii="Cambria" w:hAnsi="Cambria"/>
          <w:b/>
          <w:sz w:val="20"/>
          <w:szCs w:val="20"/>
          <w:lang w:val="es-ES"/>
        </w:rPr>
      </w:pPr>
      <w:r w:rsidRPr="008C5D79">
        <w:rPr>
          <w:rFonts w:ascii="Cambria" w:hAnsi="Cambria"/>
          <w:b/>
          <w:sz w:val="20"/>
          <w:szCs w:val="20"/>
          <w:lang w:val="es-ES"/>
        </w:rPr>
        <w:t xml:space="preserve">LA COMISIÓN INTERAMERICANA DE DERECHOS HUMANOS </w:t>
      </w:r>
      <w:r w:rsidR="00610B49" w:rsidRPr="008C5D79">
        <w:rPr>
          <w:rFonts w:ascii="Cambria" w:hAnsi="Cambria"/>
          <w:b/>
          <w:sz w:val="20"/>
          <w:szCs w:val="20"/>
          <w:lang w:val="es-ES"/>
        </w:rPr>
        <w:t>REITERA</w:t>
      </w:r>
      <w:r w:rsidRPr="008C5D79">
        <w:rPr>
          <w:rFonts w:ascii="Cambria" w:hAnsi="Cambria"/>
          <w:b/>
          <w:sz w:val="20"/>
          <w:szCs w:val="20"/>
          <w:lang w:val="es-ES"/>
        </w:rPr>
        <w:t xml:space="preserve"> AL ESTADO CUBANO </w:t>
      </w:r>
      <w:r w:rsidR="00F328E3" w:rsidRPr="008C5D79">
        <w:rPr>
          <w:rFonts w:ascii="Cambria" w:hAnsi="Cambria"/>
          <w:b/>
          <w:sz w:val="20"/>
          <w:szCs w:val="20"/>
          <w:lang w:val="es-ES"/>
        </w:rPr>
        <w:t>SUS</w:t>
      </w:r>
      <w:r w:rsidRPr="008C5D79">
        <w:rPr>
          <w:rFonts w:ascii="Cambria" w:hAnsi="Cambria"/>
          <w:b/>
          <w:sz w:val="20"/>
          <w:szCs w:val="20"/>
          <w:lang w:val="es-ES"/>
        </w:rPr>
        <w:t xml:space="preserve"> RECOMENDACIONES,</w:t>
      </w:r>
    </w:p>
    <w:p w:rsidR="00242246" w:rsidRPr="008C5D79" w:rsidRDefault="00242246" w:rsidP="00242246">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3142C9" w:rsidRPr="008C5D79" w:rsidRDefault="003142C9" w:rsidP="003142C9">
      <w:pPr>
        <w:rPr>
          <w:rFonts w:ascii="Cambria" w:hAnsi="Cambria"/>
          <w:sz w:val="20"/>
          <w:szCs w:val="20"/>
          <w:lang w:val="es-CL"/>
        </w:rPr>
      </w:pPr>
    </w:p>
    <w:p w:rsidR="00242246" w:rsidRPr="008C5D79" w:rsidRDefault="00242246" w:rsidP="00242246">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20"/>
          <w:szCs w:val="20"/>
          <w:bdr w:val="none" w:sz="0" w:space="0" w:color="auto"/>
          <w:lang w:val="es-CO"/>
        </w:rPr>
      </w:pPr>
      <w:r w:rsidRPr="008C5D79">
        <w:rPr>
          <w:rFonts w:eastAsia="Times New Roman"/>
          <w:color w:val="auto"/>
          <w:sz w:val="20"/>
          <w:szCs w:val="20"/>
          <w:bdr w:val="none" w:sz="0" w:space="0" w:color="auto"/>
          <w:lang w:val="es-AR"/>
        </w:rPr>
        <w:t>Reparar a las víctimas y, de ser el caso, a sus familiares sobrevivientes, por el daño material e inmaterial sufrido en virtud de las violaciones a la Declaración Americana aquí establecidas.</w:t>
      </w:r>
    </w:p>
    <w:p w:rsidR="00242246" w:rsidRPr="008C5D79" w:rsidRDefault="00242246" w:rsidP="00242246">
      <w:pPr>
        <w:pStyle w:val="ListParagraph"/>
        <w:rPr>
          <w:rFonts w:eastAsia="Times New Roman"/>
          <w:color w:val="auto"/>
          <w:sz w:val="20"/>
          <w:szCs w:val="20"/>
          <w:bdr w:val="none" w:sz="0" w:space="0" w:color="auto"/>
          <w:lang w:val="es-CO"/>
        </w:rPr>
      </w:pPr>
    </w:p>
    <w:p w:rsidR="00242246" w:rsidRPr="008C5D79" w:rsidRDefault="00242246" w:rsidP="00242246">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20"/>
          <w:szCs w:val="20"/>
          <w:bdr w:val="none" w:sz="0" w:space="0" w:color="auto"/>
          <w:lang w:val="es-CO"/>
        </w:rPr>
      </w:pPr>
      <w:r w:rsidRPr="008C5D79">
        <w:rPr>
          <w:rFonts w:eastAsia="Times New Roman"/>
          <w:color w:val="auto"/>
          <w:sz w:val="20"/>
          <w:szCs w:val="20"/>
          <w:bdr w:val="none" w:sz="0" w:space="0" w:color="auto"/>
          <w:lang w:val="es-CO"/>
        </w:rPr>
        <w:t xml:space="preserve">Dejar sin efecto la condena penal impuesta a las víctimas en el presente caso y todas las consecuencias que de ella se deriven. </w:t>
      </w:r>
    </w:p>
    <w:p w:rsidR="00242246" w:rsidRPr="008C5D79" w:rsidRDefault="00242246" w:rsidP="00242246">
      <w:pPr>
        <w:pStyle w:val="ListParagraph"/>
        <w:rPr>
          <w:rFonts w:eastAsia="Times New Roman"/>
          <w:color w:val="auto"/>
          <w:sz w:val="20"/>
          <w:szCs w:val="20"/>
          <w:bdr w:val="none" w:sz="0" w:space="0" w:color="auto"/>
          <w:lang w:val="es-CO"/>
        </w:rPr>
      </w:pPr>
    </w:p>
    <w:p w:rsidR="00242246" w:rsidRPr="008C5D79" w:rsidRDefault="00242246" w:rsidP="00242246">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20"/>
          <w:szCs w:val="20"/>
          <w:bdr w:val="none" w:sz="0" w:space="0" w:color="auto"/>
          <w:lang w:val="es-CO"/>
        </w:rPr>
      </w:pPr>
      <w:r w:rsidRPr="008C5D79">
        <w:rPr>
          <w:sz w:val="20"/>
          <w:szCs w:val="20"/>
          <w:lang w:val="es-ES"/>
        </w:rPr>
        <w:t xml:space="preserve">Realizar un acto público de reconocimiento de su responsabilidad por </w:t>
      </w:r>
      <w:r w:rsidRPr="008C5D79">
        <w:rPr>
          <w:rFonts w:eastAsia="Times New Roman"/>
          <w:color w:val="auto"/>
          <w:sz w:val="20"/>
          <w:szCs w:val="20"/>
          <w:bdr w:val="none" w:sz="0" w:space="0" w:color="auto"/>
          <w:lang w:val="es-AR"/>
        </w:rPr>
        <w:t>las violaciones a la Declaración Americana aquí establecidas.</w:t>
      </w:r>
    </w:p>
    <w:p w:rsidR="00242246" w:rsidRPr="008C5D79" w:rsidRDefault="00242246" w:rsidP="00242246">
      <w:pPr>
        <w:pStyle w:val="ListParagraph"/>
        <w:rPr>
          <w:rFonts w:eastAsia="Times New Roman"/>
          <w:color w:val="auto"/>
          <w:sz w:val="20"/>
          <w:szCs w:val="20"/>
          <w:bdr w:val="none" w:sz="0" w:space="0" w:color="auto"/>
          <w:lang w:val="es-CO"/>
        </w:rPr>
      </w:pPr>
    </w:p>
    <w:p w:rsidR="00242246" w:rsidRPr="008C5D79" w:rsidRDefault="00242246" w:rsidP="00242246">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20"/>
          <w:szCs w:val="20"/>
          <w:bdr w:val="none" w:sz="0" w:space="0" w:color="auto"/>
          <w:lang w:val="es-CO"/>
        </w:rPr>
      </w:pPr>
      <w:r w:rsidRPr="008C5D79">
        <w:rPr>
          <w:rFonts w:eastAsia="Times New Roman"/>
          <w:color w:val="auto"/>
          <w:sz w:val="20"/>
          <w:szCs w:val="20"/>
          <w:bdr w:val="none" w:sz="0" w:space="0" w:color="auto"/>
          <w:lang w:val="es-CO"/>
        </w:rPr>
        <w:t>Adoptar las medidas necesarias para adecuar sus leyes, procedimientos y prácticas a las normas internacionales sobre derechos humanos. En particular, derogar las figuras penales que, como el delito de sedición y el delito de incitaci</w:t>
      </w:r>
      <w:r w:rsidRPr="008C5D79">
        <w:rPr>
          <w:rFonts w:eastAsia="Times New Roman"/>
          <w:color w:val="auto"/>
          <w:sz w:val="20"/>
          <w:szCs w:val="20"/>
          <w:bdr w:val="none" w:sz="0" w:space="0" w:color="auto"/>
          <w:lang w:val="es-ES"/>
        </w:rPr>
        <w:t xml:space="preserve">ón </w:t>
      </w:r>
      <w:r w:rsidRPr="008C5D79">
        <w:rPr>
          <w:rFonts w:eastAsia="Times New Roman"/>
          <w:color w:val="auto"/>
          <w:sz w:val="20"/>
          <w:szCs w:val="20"/>
          <w:bdr w:val="none" w:sz="0" w:space="0" w:color="auto"/>
          <w:lang w:val="es-CO"/>
        </w:rPr>
        <w:t>previstos en los artículos 100 y 125 del Código Penal, respectivamente, resultan incompatibles con el ejercicio de los derechos a la libertad de expresión y asociación.</w:t>
      </w:r>
    </w:p>
    <w:p w:rsidR="00242246" w:rsidRPr="008C5D79" w:rsidRDefault="00242246" w:rsidP="00242246">
      <w:pPr>
        <w:pStyle w:val="ListParagraph"/>
        <w:rPr>
          <w:rFonts w:eastAsia="Times New Roman"/>
          <w:color w:val="auto"/>
          <w:sz w:val="20"/>
          <w:szCs w:val="20"/>
          <w:bdr w:val="none" w:sz="0" w:space="0" w:color="auto"/>
          <w:lang w:val="es-CO"/>
        </w:rPr>
      </w:pPr>
    </w:p>
    <w:p w:rsidR="00242246" w:rsidRPr="008C5D79" w:rsidRDefault="00242246" w:rsidP="00242246">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20"/>
          <w:szCs w:val="20"/>
          <w:bdr w:val="none" w:sz="0" w:space="0" w:color="auto"/>
          <w:lang w:val="es-CO"/>
        </w:rPr>
      </w:pPr>
      <w:r w:rsidRPr="008C5D79">
        <w:rPr>
          <w:rFonts w:eastAsia="Times New Roman"/>
          <w:color w:val="auto"/>
          <w:sz w:val="20"/>
          <w:szCs w:val="20"/>
          <w:bdr w:val="none" w:sz="0" w:space="0" w:color="auto"/>
          <w:lang w:val="es-AR"/>
        </w:rPr>
        <w:t>Adoptar las medidas necesarias para evitar que hechos similares vuelvan a cometerse, de conformidad con el deber del Estado de respetar y garantizar los derechos humanos. En particular, a</w:t>
      </w:r>
      <w:r w:rsidRPr="008C5D79">
        <w:rPr>
          <w:rFonts w:eastAsia="Times New Roman"/>
          <w:color w:val="auto"/>
          <w:sz w:val="20"/>
          <w:szCs w:val="20"/>
          <w:bdr w:val="none" w:sz="0" w:space="0" w:color="auto"/>
          <w:lang w:val="es-CO"/>
        </w:rPr>
        <w:t>doptar las medidas que sean necesarias para prevenir y erradicar la criminalización de quienes ejercen el derecho de libertad de expresión y de asociación.</w:t>
      </w:r>
    </w:p>
    <w:p w:rsidR="00242246" w:rsidRPr="008C5D79" w:rsidRDefault="00242246" w:rsidP="00242246">
      <w:pPr>
        <w:pStyle w:val="ListParagraph"/>
        <w:rPr>
          <w:rFonts w:eastAsia="Times New Roman"/>
          <w:color w:val="auto"/>
          <w:sz w:val="20"/>
          <w:szCs w:val="20"/>
          <w:bdr w:val="none" w:sz="0" w:space="0" w:color="auto"/>
          <w:lang w:val="es-AR"/>
        </w:rPr>
      </w:pPr>
    </w:p>
    <w:p w:rsidR="005E469D" w:rsidRPr="008C5D79" w:rsidRDefault="00242246" w:rsidP="005E469D">
      <w:pPr>
        <w:pStyle w:val="ListParagraph"/>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olor w:val="auto"/>
          <w:sz w:val="20"/>
          <w:szCs w:val="20"/>
          <w:bdr w:val="none" w:sz="0" w:space="0" w:color="auto"/>
          <w:lang w:val="es-CO"/>
        </w:rPr>
      </w:pPr>
      <w:r w:rsidRPr="008C5D79">
        <w:rPr>
          <w:rFonts w:eastAsia="Times New Roman"/>
          <w:color w:val="auto"/>
          <w:sz w:val="20"/>
          <w:szCs w:val="20"/>
          <w:bdr w:val="none" w:sz="0" w:space="0" w:color="auto"/>
          <w:lang w:val="es-AR"/>
        </w:rPr>
        <w:lastRenderedPageBreak/>
        <w:t>Adecuar sus normas procesales a los estándares internacionales aplicables en materia de debido proceso, a fin de que las personas sometidas a procesos penales cuenten con todas las garantías legales necesarias para ejercer sus medios de defensa.</w:t>
      </w:r>
    </w:p>
    <w:p w:rsidR="00D01AE3" w:rsidRPr="008C5D79" w:rsidRDefault="00D01AE3" w:rsidP="00D01AE3">
      <w:pPr>
        <w:pStyle w:val="Heading2"/>
        <w:numPr>
          <w:ilvl w:val="0"/>
          <w:numId w:val="56"/>
        </w:numPr>
        <w:rPr>
          <w:rFonts w:ascii="Cambria" w:hAnsi="Cambria"/>
          <w:i w:val="0"/>
          <w:sz w:val="20"/>
          <w:szCs w:val="20"/>
          <w:lang w:val="es-ES"/>
        </w:rPr>
      </w:pPr>
      <w:bookmarkStart w:id="21" w:name="_Toc505951352"/>
      <w:r w:rsidRPr="008C5D79">
        <w:rPr>
          <w:rFonts w:ascii="Cambria" w:hAnsi="Cambria"/>
          <w:i w:val="0"/>
          <w:sz w:val="20"/>
          <w:szCs w:val="20"/>
          <w:lang w:val="es-ES"/>
        </w:rPr>
        <w:t>PUBLICACIÓN</w:t>
      </w:r>
      <w:bookmarkEnd w:id="21"/>
      <w:r w:rsidRPr="008C5D79">
        <w:rPr>
          <w:rFonts w:ascii="Cambria" w:hAnsi="Cambria"/>
          <w:i w:val="0"/>
          <w:sz w:val="20"/>
          <w:szCs w:val="20"/>
          <w:lang w:val="es-ES"/>
        </w:rPr>
        <w:t xml:space="preserve"> </w:t>
      </w:r>
    </w:p>
    <w:p w:rsidR="00D01AE3" w:rsidRPr="008C5D79" w:rsidRDefault="00D01AE3" w:rsidP="005E469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D01AE3" w:rsidRPr="008C5D79" w:rsidRDefault="00D01AE3" w:rsidP="004B2DE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s>
        <w:jc w:val="both"/>
        <w:rPr>
          <w:rFonts w:ascii="Cambria" w:eastAsia="Times New Roman" w:hAnsi="Cambria"/>
          <w:sz w:val="20"/>
          <w:szCs w:val="20"/>
          <w:bdr w:val="none" w:sz="0" w:space="0" w:color="auto"/>
          <w:lang w:val="es-ES"/>
        </w:rPr>
      </w:pPr>
      <w:r w:rsidRPr="008C5D79">
        <w:rPr>
          <w:rFonts w:ascii="Cambria" w:hAnsi="Cambria"/>
          <w:sz w:val="20"/>
          <w:szCs w:val="20"/>
          <w:lang w:val="es-ES"/>
        </w:rPr>
        <w:t>Con base en las consideraciones presentadas y de conformidad con el artículo 47.3 de su Reglamento, la CIDH decide publicar el presente informe e incluirlo en su Informe Anual a la Asamblea General de la Organización de los Estados Americanos. La Comisión Interamericana, conforme a las normas de los instrumentos que rigen su mandato, seguirá evaluando el cumplimiento de las referidas recomendaciones por parte del Estado cubano hasta que determine que las mismas se han cumplido de forma plena.</w:t>
      </w:r>
    </w:p>
    <w:p w:rsidR="008C5D79" w:rsidRDefault="008C5D79" w:rsidP="008C5D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7557CA" w:rsidRPr="00A37B82" w:rsidRDefault="007557CA" w:rsidP="007557CA">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ab/>
      </w: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Bogotá, Colombia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24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febrero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2018</w:t>
      </w:r>
      <w:r w:rsidRPr="00A37B82">
        <w:rPr>
          <w:rFonts w:asciiTheme="majorHAnsi" w:hAnsiTheme="majorHAnsi" w:cs="Arial"/>
          <w:noProof/>
          <w:spacing w:val="-2"/>
          <w:sz w:val="20"/>
          <w:szCs w:val="20"/>
          <w:lang w:val="es-CL"/>
        </w:rPr>
        <w:t xml:space="preserve">.  (Firmado):, </w:t>
      </w:r>
      <w:r w:rsidR="00DF551A">
        <w:rPr>
          <w:rFonts w:asciiTheme="majorHAnsi" w:hAnsiTheme="majorHAnsi" w:cs="Arial"/>
          <w:noProof/>
          <w:spacing w:val="-2"/>
          <w:sz w:val="20"/>
          <w:szCs w:val="20"/>
          <w:lang w:val="es-CL"/>
        </w:rPr>
        <w:t>Margarette May Macaulay, Presidenta</w:t>
      </w:r>
      <w:r>
        <w:rPr>
          <w:rFonts w:asciiTheme="majorHAnsi" w:hAnsiTheme="majorHAnsi" w:cs="Arial"/>
          <w:noProof/>
          <w:spacing w:val="-2"/>
          <w:sz w:val="20"/>
          <w:szCs w:val="20"/>
          <w:lang w:val="es-CL"/>
        </w:rPr>
        <w:t>;</w:t>
      </w:r>
      <w:r w:rsidR="00DF551A">
        <w:rPr>
          <w:rFonts w:asciiTheme="majorHAnsi" w:hAnsiTheme="majorHAnsi" w:cs="Arial"/>
          <w:noProof/>
          <w:spacing w:val="-2"/>
          <w:sz w:val="20"/>
          <w:szCs w:val="20"/>
          <w:lang w:val="es-CL"/>
        </w:rPr>
        <w:t xml:space="preserve"> </w:t>
      </w:r>
      <w:r w:rsidR="00DF551A" w:rsidRPr="00FE6D56">
        <w:rPr>
          <w:rFonts w:asciiTheme="majorHAnsi" w:hAnsiTheme="majorHAnsi" w:cs="Arial"/>
          <w:noProof/>
          <w:spacing w:val="-2"/>
          <w:sz w:val="20"/>
          <w:szCs w:val="20"/>
          <w:lang w:val="es-CL"/>
        </w:rPr>
        <w:t>Esmeralda E. Arosem</w:t>
      </w:r>
      <w:r w:rsidR="00DF551A">
        <w:rPr>
          <w:rFonts w:asciiTheme="majorHAnsi" w:hAnsiTheme="majorHAnsi" w:cs="Arial"/>
          <w:noProof/>
          <w:spacing w:val="-2"/>
          <w:sz w:val="20"/>
          <w:szCs w:val="20"/>
          <w:lang w:val="es-CL"/>
        </w:rPr>
        <w:t>en</w:t>
      </w:r>
      <w:r w:rsidR="00DF551A" w:rsidRPr="00FE6D56">
        <w:rPr>
          <w:rFonts w:asciiTheme="majorHAnsi" w:hAnsiTheme="majorHAnsi" w:cs="Arial"/>
          <w:noProof/>
          <w:spacing w:val="-2"/>
          <w:sz w:val="20"/>
          <w:szCs w:val="20"/>
          <w:lang w:val="es-CL"/>
        </w:rPr>
        <w:t>a Bernal de Troitiño</w:t>
      </w:r>
      <w:r w:rsidR="00DF551A">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Primera Vicepresidenta</w:t>
      </w:r>
      <w:r w:rsidRPr="00A37B82">
        <w:rPr>
          <w:rFonts w:asciiTheme="majorHAnsi" w:hAnsiTheme="majorHAnsi" w:cs="Arial"/>
          <w:noProof/>
          <w:spacing w:val="-2"/>
          <w:sz w:val="20"/>
          <w:szCs w:val="20"/>
          <w:lang w:val="es-CL"/>
        </w:rPr>
        <w:t>;</w:t>
      </w:r>
      <w:r w:rsidR="00DF551A" w:rsidRPr="00DF551A">
        <w:rPr>
          <w:rFonts w:asciiTheme="majorHAnsi" w:hAnsiTheme="majorHAnsi" w:cs="Arial"/>
          <w:noProof/>
          <w:spacing w:val="-2"/>
          <w:sz w:val="20"/>
          <w:szCs w:val="20"/>
          <w:lang w:val="es-CL"/>
        </w:rPr>
        <w:t xml:space="preserve"> </w:t>
      </w:r>
      <w:r w:rsidR="00DF551A">
        <w:rPr>
          <w:rFonts w:asciiTheme="majorHAnsi" w:hAnsiTheme="majorHAnsi" w:cs="Arial"/>
          <w:noProof/>
          <w:spacing w:val="-2"/>
          <w:sz w:val="20"/>
          <w:szCs w:val="20"/>
          <w:lang w:val="es-CL"/>
        </w:rPr>
        <w:t>Luis Ernesto Vargas Silva, Segundo Vicepresidente</w:t>
      </w:r>
      <w:r>
        <w:rPr>
          <w:rFonts w:asciiTheme="majorHAnsi" w:hAnsiTheme="majorHAnsi" w:cs="Arial"/>
          <w:noProof/>
          <w:spacing w:val="-2"/>
          <w:sz w:val="20"/>
          <w:szCs w:val="20"/>
          <w:lang w:val="es-CL"/>
        </w:rPr>
        <w:t xml:space="preserve">; </w:t>
      </w:r>
      <w:r w:rsidR="00DF551A">
        <w:rPr>
          <w:rFonts w:asciiTheme="majorHAnsi" w:hAnsiTheme="majorHAnsi" w:cs="Arial"/>
          <w:noProof/>
          <w:spacing w:val="-2"/>
          <w:sz w:val="20"/>
          <w:szCs w:val="20"/>
          <w:lang w:val="es-CL"/>
        </w:rPr>
        <w:t xml:space="preserve">Francisco José Eguiguren Praeli, </w:t>
      </w:r>
      <w:r>
        <w:rPr>
          <w:rFonts w:asciiTheme="majorHAnsi" w:hAnsiTheme="majorHAnsi" w:cs="Arial"/>
          <w:noProof/>
          <w:spacing w:val="-2"/>
          <w:sz w:val="20"/>
          <w:szCs w:val="20"/>
          <w:lang w:val="es-CL"/>
        </w:rPr>
        <w:t>Joel Hernández García,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Antonia Urrejola, y Flávia Piovesan,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7557CA" w:rsidRPr="00A37B82" w:rsidRDefault="007557CA" w:rsidP="007557CA">
      <w:pPr>
        <w:suppressAutoHyphens/>
        <w:ind w:firstLine="720"/>
        <w:jc w:val="both"/>
        <w:rPr>
          <w:rFonts w:asciiTheme="majorHAnsi" w:hAnsiTheme="majorHAnsi" w:cs="Arial"/>
          <w:noProof/>
          <w:spacing w:val="-2"/>
          <w:sz w:val="20"/>
          <w:szCs w:val="20"/>
          <w:lang w:val="es-CL"/>
        </w:rPr>
      </w:pPr>
    </w:p>
    <w:p w:rsidR="007557CA" w:rsidRPr="00A37B82" w:rsidRDefault="00DD6CF9" w:rsidP="002843BD">
      <w:pPr>
        <w:tabs>
          <w:tab w:val="left" w:pos="1440"/>
        </w:tabs>
        <w:ind w:firstLine="720"/>
        <w:jc w:val="both"/>
        <w:rPr>
          <w:rFonts w:asciiTheme="majorHAnsi" w:hAnsiTheme="majorHAnsi" w:cs="Arial"/>
          <w:noProof/>
          <w:spacing w:val="-2"/>
          <w:sz w:val="20"/>
          <w:szCs w:val="20"/>
          <w:lang w:val="es-CL"/>
        </w:rPr>
      </w:pPr>
      <w:r>
        <w:rPr>
          <w:rFonts w:asciiTheme="majorHAnsi" w:hAnsiTheme="majorHAnsi" w:cs="Arial"/>
          <w:noProof/>
          <w:sz w:val="20"/>
          <w:szCs w:val="20"/>
          <w:lang w:val="es-CL"/>
        </w:rPr>
        <w:tab/>
      </w:r>
    </w:p>
    <w:p w:rsidR="008C5D79" w:rsidRPr="008C5D79" w:rsidRDefault="008C5D79" w:rsidP="008C5D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sz w:val="20"/>
          <w:szCs w:val="20"/>
          <w:bdr w:val="none" w:sz="0" w:space="0" w:color="auto"/>
          <w:lang w:val="es-ES"/>
        </w:rPr>
      </w:pPr>
    </w:p>
    <w:sectPr w:rsidR="008C5D79" w:rsidRPr="008C5D7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7C8" w:rsidRDefault="00DE07C8">
      <w:r>
        <w:separator/>
      </w:r>
    </w:p>
  </w:endnote>
  <w:endnote w:type="continuationSeparator" w:id="0">
    <w:p w:rsidR="00DE07C8" w:rsidRDefault="00DE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17" w:rsidRDefault="00BB47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8C5D79" w:rsidRPr="00934A2C" w:rsidRDefault="008C5D7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87EC4">
          <w:rPr>
            <w:noProof/>
            <w:sz w:val="16"/>
            <w:szCs w:val="22"/>
          </w:rPr>
          <w:t>1</w:t>
        </w:r>
        <w:r w:rsidRPr="00934A2C">
          <w:rPr>
            <w:noProof/>
            <w:sz w:val="16"/>
            <w:szCs w:val="22"/>
          </w:rPr>
          <w:fldChar w:fldCharType="end"/>
        </w:r>
      </w:p>
    </w:sdtContent>
  </w:sdt>
  <w:p w:rsidR="008C5D79" w:rsidRDefault="008C5D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79" w:rsidRPr="00934A2C" w:rsidRDefault="008C5D79">
    <w:pPr>
      <w:pStyle w:val="Footer"/>
      <w:jc w:val="center"/>
      <w:rPr>
        <w:sz w:val="16"/>
        <w:szCs w:val="22"/>
      </w:rPr>
    </w:pPr>
  </w:p>
  <w:p w:rsidR="008C5D79" w:rsidRDefault="008C5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7C8" w:rsidRPr="000F35ED" w:rsidRDefault="00DE07C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E07C8" w:rsidRPr="000F35ED" w:rsidRDefault="00DE07C8" w:rsidP="000F35ED">
      <w:pPr>
        <w:rPr>
          <w:rFonts w:asciiTheme="majorHAnsi" w:hAnsiTheme="majorHAnsi"/>
          <w:sz w:val="16"/>
          <w:szCs w:val="16"/>
        </w:rPr>
      </w:pPr>
      <w:r w:rsidRPr="000F35ED">
        <w:rPr>
          <w:rFonts w:asciiTheme="majorHAnsi" w:hAnsiTheme="majorHAnsi"/>
          <w:sz w:val="16"/>
          <w:szCs w:val="16"/>
        </w:rPr>
        <w:separator/>
      </w:r>
    </w:p>
    <w:p w:rsidR="00DE07C8" w:rsidRPr="000F35ED" w:rsidRDefault="00DE07C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DE07C8" w:rsidRPr="000F35ED" w:rsidRDefault="00DE07C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El 30 de septiembre de 1999, en el marco del 104º período ordinario de sesiones de la Comisión, se llevó a cabo la audiencia, en la cual estuvieron presentes los peticionarios.</w:t>
      </w:r>
    </w:p>
  </w:footnote>
  <w:footnote w:id="3">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Fiscalía General. Conclusiones Provisionales Acusatorias del Fiscal. Expediente de fase preparatoria No. 39-97. D.S.E (Acusados: Vladimiro Roca Antúnez, René Gómez Manzano, Felix Antonio Bonne Carcases y Beatriz Roque Cabello). 16 de septiembre de 1998.</w:t>
      </w:r>
    </w:p>
  </w:footnote>
  <w:footnote w:id="4">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Sala de los Delitos contra la Seguridad del Estado del Tribunal Provincial de la Habana. Sentencia No. 2.999. 4 de marzo de 1999.</w:t>
      </w:r>
    </w:p>
  </w:footnote>
  <w:footnote w:id="5">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Tribunal Supremo Popular. Sala de Delitos contra la Seguridad del Estado. Sentencia No. 4.  9 de febrero de 2000.</w:t>
      </w:r>
    </w:p>
  </w:footnote>
  <w:footnote w:id="6">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CO"/>
        </w:rPr>
        <w:t xml:space="preserve"> Comisión Interamericana de Derechos Humanos. Audiencia del caso 12.127 Vladimiro Roca Antúnez y otros. Cuba. 30 de septiembre de 1999; Grupo de Trabajo de la Disidencia Interna. Un juicio cubano. 1999. </w:t>
      </w:r>
      <w:r w:rsidRPr="005258B5">
        <w:rPr>
          <w:rFonts w:ascii="Cambria" w:hAnsi="Cambria"/>
          <w:sz w:val="16"/>
          <w:szCs w:val="16"/>
          <w:lang w:val="es-ES"/>
        </w:rPr>
        <w:t xml:space="preserve">Anexo a comunicación de los peticionarios de 25 de marzo de 1999. </w:t>
      </w:r>
    </w:p>
  </w:footnote>
  <w:footnote w:id="7">
    <w:p w:rsidR="008C5D79" w:rsidRPr="005258B5" w:rsidRDefault="008C5D79" w:rsidP="005258B5">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rPr>
          <w:rFonts w:ascii="Cambria" w:hAnsi="Cambria"/>
          <w:sz w:val="16"/>
          <w:szCs w:val="16"/>
          <w:lang w:val="es-CO"/>
        </w:rPr>
      </w:pPr>
      <w:r w:rsidRPr="005258B5">
        <w:rPr>
          <w:rStyle w:val="FootnoteReference"/>
          <w:rFonts w:ascii="Cambria" w:hAnsi="Cambria"/>
          <w:sz w:val="16"/>
          <w:szCs w:val="16"/>
        </w:rPr>
        <w:footnoteRef/>
      </w:r>
      <w:r w:rsidRPr="005258B5">
        <w:rPr>
          <w:rFonts w:ascii="Cambria" w:hAnsi="Cambria"/>
          <w:sz w:val="16"/>
          <w:szCs w:val="16"/>
          <w:lang w:val="es-ES"/>
        </w:rPr>
        <w:t xml:space="preserve"> Además de los hechos abordados en esta petición, </w:t>
      </w:r>
      <w:r>
        <w:rPr>
          <w:rFonts w:ascii="Cambria" w:hAnsi="Cambria"/>
          <w:sz w:val="16"/>
          <w:szCs w:val="16"/>
          <w:lang w:val="es-ES"/>
        </w:rPr>
        <w:t>Martha</w:t>
      </w:r>
      <w:r w:rsidRPr="005258B5">
        <w:rPr>
          <w:rFonts w:ascii="Cambria" w:hAnsi="Cambria"/>
          <w:sz w:val="16"/>
          <w:szCs w:val="16"/>
          <w:lang w:val="es-ES"/>
        </w:rPr>
        <w:t xml:space="preserve"> Roque Cabello fue detenida posteriormente, en 19 de marzo de 2003, y juzgada en un proceso sumarísimo y condenada a 20 años de prisión por haber “divulgado informaciones parciales y tergiversadas de la realidad económica y sociopolítica cubana contribuyendo a las campañas de descrédito que afectarían la integridad del Estado cubano”.  La CIDH se pronunció sobre estos hechos en el informe Nº 67/06 de 21 de octubre de 2006, sobre el caso 12.476, Oscar Elías Biscet y otros vs. Cuba. Disponible en: </w:t>
      </w:r>
      <w:hyperlink r:id="rId1" w:history="1">
        <w:r w:rsidRPr="005258B5">
          <w:rPr>
            <w:rStyle w:val="Hyperlink"/>
            <w:rFonts w:ascii="Cambria" w:hAnsi="Cambria"/>
            <w:sz w:val="16"/>
            <w:szCs w:val="16"/>
            <w:lang w:val="es-ES"/>
          </w:rPr>
          <w:t>http://www.cidh.oas.org/annualrep/2006sp/Cuba12476sp.htm</w:t>
        </w:r>
      </w:hyperlink>
      <w:r w:rsidRPr="005258B5">
        <w:rPr>
          <w:rFonts w:ascii="Cambria" w:hAnsi="Cambria"/>
          <w:sz w:val="16"/>
          <w:szCs w:val="16"/>
          <w:lang w:val="es-ES"/>
        </w:rPr>
        <w:t xml:space="preserve"> </w:t>
      </w:r>
      <w:r w:rsidRPr="005258B5">
        <w:rPr>
          <w:rFonts w:ascii="Cambria" w:hAnsi="Cambria"/>
          <w:sz w:val="16"/>
          <w:szCs w:val="16"/>
          <w:lang w:val="es-CO"/>
        </w:rPr>
        <w:t xml:space="preserve"> </w:t>
      </w:r>
    </w:p>
  </w:footnote>
  <w:footnote w:id="8">
    <w:p w:rsidR="008C5D79" w:rsidRPr="005258B5" w:rsidRDefault="008C5D79" w:rsidP="005258B5">
      <w:pPr>
        <w:pStyle w:val="FootnoteText"/>
        <w:spacing w:after="120"/>
        <w:ind w:firstLine="720"/>
        <w:jc w:val="both"/>
        <w:rPr>
          <w:rFonts w:ascii="Cambria" w:hAnsi="Cambria"/>
          <w:color w:val="auto"/>
          <w:sz w:val="16"/>
          <w:szCs w:val="16"/>
          <w:lang w:val="es-CO"/>
        </w:rPr>
      </w:pPr>
      <w:r w:rsidRPr="005258B5">
        <w:rPr>
          <w:rStyle w:val="FootnoteReference"/>
          <w:rFonts w:ascii="Cambria" w:hAnsi="Cambria"/>
          <w:color w:val="auto"/>
          <w:sz w:val="16"/>
          <w:szCs w:val="16"/>
        </w:rPr>
        <w:footnoteRef/>
      </w:r>
      <w:r w:rsidRPr="005258B5">
        <w:rPr>
          <w:rFonts w:ascii="Cambria" w:hAnsi="Cambria"/>
          <w:color w:val="auto"/>
          <w:sz w:val="16"/>
          <w:szCs w:val="16"/>
          <w:lang w:val="es-CO"/>
        </w:rPr>
        <w:t xml:space="preserve"> Cubanet. 7 de enero de 2017. </w:t>
      </w:r>
      <w:hyperlink r:id="rId2" w:history="1">
        <w:r w:rsidRPr="005258B5">
          <w:rPr>
            <w:rStyle w:val="Hyperlink"/>
            <w:rFonts w:ascii="Cambria" w:hAnsi="Cambria"/>
            <w:bCs/>
            <w:i/>
            <w:color w:val="auto"/>
            <w:sz w:val="16"/>
            <w:szCs w:val="16"/>
            <w:lang w:val="es-CO"/>
          </w:rPr>
          <w:t>Fallece el opositor cubano Félix Bonne Carcassés</w:t>
        </w:r>
      </w:hyperlink>
      <w:r w:rsidRPr="005258B5">
        <w:rPr>
          <w:rFonts w:ascii="Cambria" w:hAnsi="Cambria"/>
          <w:bCs/>
          <w:color w:val="auto"/>
          <w:sz w:val="16"/>
          <w:szCs w:val="16"/>
          <w:lang w:val="es-CO"/>
        </w:rPr>
        <w:t xml:space="preserve">; Martí Noticias. 7 de denero de 2017. </w:t>
      </w:r>
      <w:hyperlink r:id="rId3" w:history="1">
        <w:r w:rsidRPr="005258B5">
          <w:rPr>
            <w:rStyle w:val="Hyperlink"/>
            <w:rFonts w:ascii="Cambria" w:hAnsi="Cambria"/>
            <w:bCs/>
            <w:i/>
            <w:color w:val="auto"/>
            <w:sz w:val="16"/>
            <w:szCs w:val="16"/>
            <w:lang w:val="es-CO"/>
          </w:rPr>
          <w:t>Falleció de un infarto el disidente cubano Félix Bonne Carcassés</w:t>
        </w:r>
      </w:hyperlink>
      <w:r w:rsidRPr="005258B5">
        <w:rPr>
          <w:rFonts w:ascii="Cambria" w:hAnsi="Cambria"/>
          <w:bCs/>
          <w:color w:val="auto"/>
          <w:sz w:val="16"/>
          <w:szCs w:val="16"/>
          <w:lang w:val="es-CO"/>
        </w:rPr>
        <w:t xml:space="preserve">; 14 y medio. 7 de enero de 2016. </w:t>
      </w:r>
      <w:hyperlink r:id="rId4" w:history="1">
        <w:r w:rsidRPr="005258B5">
          <w:rPr>
            <w:rStyle w:val="Hyperlink"/>
            <w:rFonts w:ascii="Cambria" w:hAnsi="Cambria"/>
            <w:bCs/>
            <w:i/>
            <w:color w:val="auto"/>
            <w:sz w:val="16"/>
            <w:szCs w:val="16"/>
            <w:lang w:val="es-CO"/>
          </w:rPr>
          <w:t>Fallece el disidente Félix Bonne Carcassés, firmante de ‘La Patria es de Todos’</w:t>
        </w:r>
      </w:hyperlink>
      <w:r w:rsidRPr="005258B5">
        <w:rPr>
          <w:rFonts w:ascii="Cambria" w:hAnsi="Cambria"/>
          <w:bCs/>
          <w:color w:val="auto"/>
          <w:sz w:val="16"/>
          <w:szCs w:val="16"/>
          <w:lang w:val="es-CO"/>
        </w:rPr>
        <w:t xml:space="preserve">. </w:t>
      </w:r>
    </w:p>
  </w:footnote>
  <w:footnote w:id="9">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Style w:val="FootnoteReference"/>
          <w:rFonts w:ascii="Cambria" w:hAnsi="Cambria"/>
          <w:sz w:val="16"/>
          <w:szCs w:val="16"/>
        </w:rPr>
        <w:footnoteRef/>
      </w:r>
      <w:r w:rsidRPr="005258B5">
        <w:rPr>
          <w:rFonts w:ascii="Cambria" w:hAnsi="Cambria"/>
          <w:sz w:val="16"/>
          <w:szCs w:val="16"/>
          <w:lang w:val="es-ES"/>
        </w:rPr>
        <w:t xml:space="preserve"> Grupo de Trabajo de la Disidencia Interna. Plataforma para la Transición. Ciudad de la Habana. Agosto 1996. Anexo a comunicación de los peticionarios de 25 de marzo de 1999. </w:t>
      </w:r>
    </w:p>
  </w:footnote>
  <w:footnote w:id="10">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Grupo de Trabajo de la Disidencia Interna. Plataforma para la Transición. Ciudad de la Habana. Agosto 1996. Anexo a comunicación de los peticionarios de 25 de marzo de 1999. </w:t>
      </w:r>
    </w:p>
  </w:footnote>
  <w:footnote w:id="11">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Principios Arcos.  Proyecto conjunto de Gustavo Arcos Bergnes en nombre del </w:t>
      </w:r>
      <w:r w:rsidRPr="005258B5">
        <w:rPr>
          <w:rFonts w:ascii="Cambria" w:hAnsi="Cambria" w:cs="Arial"/>
          <w:sz w:val="16"/>
          <w:szCs w:val="16"/>
          <w:lang w:val="es-CO"/>
        </w:rPr>
        <w:t xml:space="preserve">Comité Cubano Pro Derechos Humanos, de la Sociedad Internacional para los Derechos Humanos y de la solidaridad de los trabajadores Cubanos. Autores: Rolando H. Castañeda y George Plinio Moltalván. 31 de enero de 1995. </w:t>
      </w:r>
      <w:r w:rsidRPr="005258B5">
        <w:rPr>
          <w:rFonts w:ascii="Cambria" w:hAnsi="Cambria"/>
          <w:sz w:val="16"/>
          <w:szCs w:val="16"/>
          <w:lang w:val="es-ES"/>
        </w:rPr>
        <w:t xml:space="preserve">Anexo a comunicación de los peticionarios de 25 de marzo de 1999. </w:t>
      </w:r>
    </w:p>
  </w:footnote>
  <w:footnote w:id="12">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Grupo de Trabajo de la Disidencia Interna. </w:t>
      </w:r>
      <w:r w:rsidRPr="005258B5">
        <w:rPr>
          <w:rFonts w:ascii="Cambria" w:hAnsi="Cambria" w:cs="Arial"/>
          <w:sz w:val="16"/>
          <w:szCs w:val="16"/>
          <w:lang w:val="es-CO"/>
        </w:rPr>
        <w:t xml:space="preserve">Carta a los inversionistas. 12 de abril de 1997. </w:t>
      </w:r>
      <w:r w:rsidRPr="005258B5">
        <w:rPr>
          <w:rFonts w:ascii="Cambria" w:hAnsi="Cambria"/>
          <w:sz w:val="16"/>
          <w:szCs w:val="16"/>
          <w:lang w:val="es-ES"/>
        </w:rPr>
        <w:t xml:space="preserve">Anexo a comunicación de los peticionarios de 25 de marzo de 1999. </w:t>
      </w:r>
    </w:p>
  </w:footnote>
  <w:footnote w:id="13">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Grupo de Trabajo de la Disidencia Interna. Llamamiento al Exilio. 18 de abril de 1997. Anexo a comunicación de los peticionarios de 25 de marzo de 1999. </w:t>
      </w:r>
    </w:p>
  </w:footnote>
  <w:footnote w:id="14">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Grupo de Trabajo de la Disidencia Interna. Llamamiento a la abstención electoral. 15 de mayo de 1997. Anexo a comunicación de los peticionarios de 25 de marzo de 1999.</w:t>
      </w:r>
    </w:p>
  </w:footnote>
  <w:footnote w:id="15">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Grupo de Trabajo de la Disidencia Interna. La Patria es de Todos. 27 de junio de 1997. Anexo a comunicación de los peticionarios de 25 de marzo de 1999.</w:t>
      </w:r>
    </w:p>
  </w:footnote>
  <w:footnote w:id="16">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Grupo de Trabajo de la Disidencia Interna. La Patria es de Todos. 27 de junio de 1997. Anexo a la comunicación de los peticionarios de 25 de marzo de 1999. </w:t>
      </w:r>
    </w:p>
  </w:footnote>
  <w:footnote w:id="17">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color w:val="auto"/>
          <w:sz w:val="16"/>
          <w:szCs w:val="16"/>
          <w:lang w:val="es-ES"/>
        </w:rPr>
        <w:t xml:space="preserve">Sala de los Delitos contra la Seguridad del Estado del Tribunal Provincial de la Habana. Sentencia No. 2.999. 4 de marzo de 1999. Anexo a la </w:t>
      </w:r>
      <w:r w:rsidRPr="005258B5">
        <w:rPr>
          <w:rFonts w:ascii="Cambria" w:hAnsi="Cambria"/>
          <w:sz w:val="16"/>
          <w:szCs w:val="16"/>
          <w:lang w:val="es-ES"/>
        </w:rPr>
        <w:t xml:space="preserve"> comunicación de los peticionarios de 14 de octubre de 1999. </w:t>
      </w:r>
    </w:p>
  </w:footnote>
  <w:footnote w:id="18">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color w:val="auto"/>
          <w:sz w:val="16"/>
          <w:szCs w:val="16"/>
          <w:lang w:val="es-CO"/>
        </w:rPr>
        <w:t xml:space="preserve">Grupo de Trabajo de la Disidencia Interna. Un juicio cubano. 1999.  </w:t>
      </w:r>
      <w:r w:rsidRPr="005258B5">
        <w:rPr>
          <w:rFonts w:ascii="Cambria" w:hAnsi="Cambria"/>
          <w:sz w:val="16"/>
          <w:szCs w:val="16"/>
          <w:lang w:val="es-ES"/>
        </w:rPr>
        <w:t>Anexo a la comunicación de los peticionarios de 14 de octubre de 1999.</w:t>
      </w:r>
    </w:p>
  </w:footnote>
  <w:footnote w:id="19">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Comunicación de 21 de septiembre de 1998 dirigida a la Fiscalía General de la República por Magaly de Armas y Jorge R. Gómez Manzano, familiares de las presuntas víctimas. Anexo a la comunicación de los peticionarios de 14 de octubre de 1999.</w:t>
      </w:r>
    </w:p>
  </w:footnote>
  <w:footnote w:id="20">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CO"/>
        </w:rPr>
        <w:t xml:space="preserve"> Grupo de Trabajo de la Disidencia Interna. Un juicio cubano. 1999.  </w:t>
      </w:r>
      <w:r w:rsidRPr="005258B5">
        <w:rPr>
          <w:rFonts w:ascii="Cambria" w:hAnsi="Cambria"/>
          <w:sz w:val="16"/>
          <w:szCs w:val="16"/>
          <w:lang w:val="es-ES"/>
        </w:rPr>
        <w:t xml:space="preserve">Anexo a la comunicación de los peticionarios de 14 de octubre de 1999. Anexo a la comunicación de los peticionarios de 14 de octubre de 1999. </w:t>
      </w:r>
    </w:p>
  </w:footnote>
  <w:footnote w:id="21">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Recurso de Habeas Corpus interpuesto ante la Sala de los Delitos contra la Seguridad del Estado por los familiares de los cuatro detenidos.  30 de julio de 1998. Anexo a la comunicación de los peticionarios de 14 de octubre de 1999. </w:t>
      </w:r>
    </w:p>
  </w:footnote>
  <w:footnote w:id="22">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Documento titulado “Gestiones realizadas en Tribunales, etc., por familiares de los cuatro y sus respuestas o falta de ellas”. Anexo a la comunicación de los peticionarios de 14 de octubre de 1999. Anexo a la comunicación de los peticionarios de 14 de octubre de 1999.</w:t>
      </w:r>
    </w:p>
  </w:footnote>
  <w:footnote w:id="23">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Comunicación de 21 de septiembre de 1998 dirigida a la Fiscalía General de la República por Magaly de Armas y Jorge R. Gómez Manzano, familiares de los detenidos. Anexo a la comunicación de los peticionarios de 14 de octubre de 1999.</w:t>
      </w:r>
    </w:p>
  </w:footnote>
  <w:footnote w:id="24">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color w:val="auto"/>
          <w:sz w:val="16"/>
          <w:szCs w:val="16"/>
          <w:lang w:val="es-ES"/>
        </w:rPr>
        <w:t xml:space="preserve">Fiscalía General. Conclusiones Provisionales Acusatorias del Fiscal. Expediente de fase preparatoria No. 39-97. D.S.E (Acusados: Vladimiro Roca Antúnez, René Gómez Manzano, Felix Antonio Bonne Carcases y Beatriz Roque Cabello). 16 de septiembre de 1998. </w:t>
      </w:r>
      <w:r w:rsidRPr="005258B5">
        <w:rPr>
          <w:rFonts w:ascii="Cambria" w:hAnsi="Cambria"/>
          <w:sz w:val="16"/>
          <w:szCs w:val="16"/>
          <w:lang w:val="es-ES"/>
        </w:rPr>
        <w:t xml:space="preserve">Anexo a la comunicación de los peticionarios de 14 de octubre de 1999. </w:t>
      </w:r>
    </w:p>
  </w:footnote>
  <w:footnote w:id="25">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color w:val="auto"/>
          <w:sz w:val="16"/>
          <w:szCs w:val="16"/>
          <w:lang w:val="es-ES"/>
        </w:rPr>
        <w:t xml:space="preserve">Fiscalía General. Conclusiones Provisionales Acusatorias del Fiscal. Expediente de fase preparatoria No. 39-97. D.S.E (Acusados: Vladimiro Roca Antúnez, René Gómez Manzano, Felix Antonio Bonne Carcases y Beatriz Roque Cabello). 16 de septiembre de 1998. </w:t>
      </w:r>
      <w:r w:rsidRPr="005258B5">
        <w:rPr>
          <w:rFonts w:ascii="Cambria" w:hAnsi="Cambria"/>
          <w:sz w:val="16"/>
          <w:szCs w:val="16"/>
          <w:lang w:val="es-ES"/>
        </w:rPr>
        <w:t>Anexo a la comunicación de los peticionarios de 14 de octubre de 1999.</w:t>
      </w:r>
    </w:p>
  </w:footnote>
  <w:footnote w:id="26">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color w:val="auto"/>
          <w:sz w:val="16"/>
          <w:szCs w:val="16"/>
          <w:lang w:val="es-ES"/>
        </w:rPr>
        <w:t xml:space="preserve">Fiscalía General. Conclusiones Provisionales Acusatorias del Fiscal. Expediente de fase preparatoria No. 39-97. D.S.E (Acusados: Vladimiro Roca Antúnez, René Gómez Manzano, Felix Antonio Bonne Carcases y Beatriz Roque Cabello). 16 de septiembre de 1998. </w:t>
      </w:r>
      <w:r w:rsidRPr="005258B5">
        <w:rPr>
          <w:rFonts w:ascii="Cambria" w:hAnsi="Cambria"/>
          <w:sz w:val="16"/>
          <w:szCs w:val="16"/>
          <w:lang w:val="es-ES"/>
        </w:rPr>
        <w:t>Anexo a la comunicación de los peticionarios de 14 de octubre de 1999.</w:t>
      </w:r>
    </w:p>
  </w:footnote>
  <w:footnote w:id="27">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Comunicación de 9 de octubre de 1998 dirigida a la Sala de delitos contra la Seguridad del Estado del Tribunal Provincial, por María Dominguez, Magaly de Armas y Jorge R. Gómez, familiares de los detenidos. Anexo a la comunicación de los peticionarios de 14 de octubre de 1999.</w:t>
      </w:r>
    </w:p>
  </w:footnote>
  <w:footnote w:id="28">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Documento titulado “Gestiones realizadas en Tribunales, etc., por familiares de los cuatro y sus respuestas o falta de ellas”. Anexo a la comunicación de los peticionarios de 14 de octubre de 1999. Anexo a la comunicación de los peticionarios de 14 de octubre de 1999. </w:t>
      </w:r>
    </w:p>
  </w:footnote>
  <w:footnote w:id="29">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Recurso de </w:t>
      </w:r>
      <w:r w:rsidRPr="005258B5">
        <w:rPr>
          <w:rFonts w:ascii="Cambria" w:hAnsi="Cambria"/>
          <w:i/>
          <w:sz w:val="16"/>
          <w:szCs w:val="16"/>
          <w:lang w:val="es-ES"/>
        </w:rPr>
        <w:t>Habeas Corpus</w:t>
      </w:r>
      <w:r w:rsidRPr="005258B5">
        <w:rPr>
          <w:rFonts w:ascii="Cambria" w:hAnsi="Cambria"/>
          <w:sz w:val="16"/>
          <w:szCs w:val="16"/>
          <w:lang w:val="es-ES"/>
        </w:rPr>
        <w:t xml:space="preserve"> interpuesto por los familiares de los detenidos ante el Tribunal Supremo Popular con fecha de 14 de octubre de 1998.  Anexo a la comunicación de los peticionarios de 14 de octubre de 1999. </w:t>
      </w:r>
    </w:p>
  </w:footnote>
  <w:footnote w:id="30">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Documento titulado “Gestiones realizadas en Tribunales, etc., por familiares de los cuatro y sus respuestas o falta de ellas”. Anexo a la comunicación de los peticionarios de 14 de octubre de 1999. </w:t>
      </w:r>
    </w:p>
  </w:footnote>
  <w:footnote w:id="31">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Escrito de 21 de diciembre de 1998 dirigido por Jorge R. Gómez Manzano al presidente del Tribunal Supremo Popular y documento titulado “Gestiones realizadas en Tribunales, etc., por familiares de los cuatro y sus respuestas o falta de ellas”. Anexo a la comunicación de los peticionarios de 14 de octubre de 1999. </w:t>
      </w:r>
    </w:p>
  </w:footnote>
  <w:footnote w:id="32">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Escrito dirigido por los familiares de los detenidos a la Sala de Delitos de Seguridad Nacional del Tribunal Provincial de fecha de 21 de diciembre de 1998. Anexo a la comunicación de los peticionarios de 14 de octubre de 1999.</w:t>
      </w:r>
    </w:p>
  </w:footnote>
  <w:footnote w:id="33">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Documento titulado “Gestiones realizadas en Tribunales, etc., por familiares de los cuatro y sus respuestas o falta de ellas”. Anexo a la comunicación de los peticionarios de 14 de octubre de 1999.</w:t>
      </w:r>
    </w:p>
  </w:footnote>
  <w:footnote w:id="34">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color w:val="auto"/>
          <w:sz w:val="16"/>
          <w:szCs w:val="16"/>
          <w:lang w:val="es-CO"/>
        </w:rPr>
        <w:t xml:space="preserve">Grupo de Trabajo de la Disidencia Interna. Un juicio cubano. 1999.  </w:t>
      </w:r>
      <w:r w:rsidRPr="005258B5">
        <w:rPr>
          <w:rFonts w:ascii="Cambria" w:hAnsi="Cambria"/>
          <w:sz w:val="16"/>
          <w:szCs w:val="16"/>
          <w:lang w:val="es-ES"/>
        </w:rPr>
        <w:t>Anexo a la comunicación de los peticionarios de 14 de octubre de 1999.</w:t>
      </w:r>
    </w:p>
  </w:footnote>
  <w:footnote w:id="35">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color w:val="auto"/>
          <w:sz w:val="16"/>
          <w:szCs w:val="16"/>
          <w:lang w:val="es-ES"/>
        </w:rPr>
        <w:t xml:space="preserve">Tribunal Supremo Popular. Sala de Delitos contra la Seguridad del Estado. Sentencia No. 4.  9 de febrero de 2000.  Anexo a la comunicación de los peticionarios con fecha de 8 de abril de 2000. </w:t>
      </w:r>
    </w:p>
  </w:footnote>
  <w:footnote w:id="36">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color w:val="auto"/>
          <w:sz w:val="16"/>
          <w:szCs w:val="16"/>
          <w:lang w:val="es-ES"/>
        </w:rPr>
        <w:t xml:space="preserve"> Sala de los Delitos contra la Seguridad del Estado del Tribunal Provincial de la Habana. Sentencia No. 2.999. 4 de marzo de 1999. Anexo a la comunicación de los peticionarios con fecha de 8 de abril de 2000.</w:t>
      </w:r>
    </w:p>
  </w:footnote>
  <w:footnote w:id="37">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color w:val="auto"/>
          <w:sz w:val="16"/>
          <w:szCs w:val="16"/>
          <w:lang w:val="es-ES"/>
        </w:rPr>
        <w:t>Sala de los Delitos contra la Seguridad del Estado del Tribunal Provincial de la Habana. Sentencia No. 2.999. 4 de marzo de 1999. Anexo a la comunicación de los peticionarios con fecha de 8 de abril de 2000.</w:t>
      </w:r>
    </w:p>
  </w:footnote>
  <w:footnote w:id="38">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color w:val="auto"/>
          <w:sz w:val="16"/>
          <w:szCs w:val="16"/>
          <w:lang w:val="es-ES"/>
        </w:rPr>
        <w:t>Sala de los Delitos contra la Seguridad del Estado del Tribunal Provincial de la Habana. Sentencia No. 2.999. 4 de marzo de 1999. Anexo a la comunicación de los peticionarios con fecha de 8 de abril de 2000.</w:t>
      </w:r>
    </w:p>
  </w:footnote>
  <w:footnote w:id="39">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color w:val="auto"/>
          <w:sz w:val="16"/>
          <w:szCs w:val="16"/>
          <w:lang w:val="es-ES"/>
        </w:rPr>
        <w:t>Sala de los Delitos contra la Seguridad del Estado del Tribunal Provincial de la Habana. Sentencia No. 2.999. 4 de marzo de 1999. Anexo a la comunicación de los peticionarios con fecha de 8 de abril de 2000.</w:t>
      </w:r>
    </w:p>
  </w:footnote>
  <w:footnote w:id="40">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color w:val="auto"/>
          <w:sz w:val="16"/>
          <w:szCs w:val="16"/>
          <w:lang w:val="es-ES"/>
        </w:rPr>
        <w:t>Sala de los Delitos contra la Seguridad del Estado del Tribunal Provincial de la Habana. Sentencia No. 2.999. 4 de marzo de 1999. Anexo a la comunicación de los peticionarios con fecha de 8 de abril de 2000.</w:t>
      </w:r>
    </w:p>
  </w:footnote>
  <w:footnote w:id="41">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color w:val="auto"/>
          <w:sz w:val="16"/>
          <w:szCs w:val="16"/>
          <w:lang w:val="es-ES"/>
        </w:rPr>
        <w:t>Tribunal Supremo Popular. Sala de Delitos contra la Seguridad del Estado. Sentencia No. 4.  9 de febrero de 2000 y recurso de casación interpuesto ante el Tribunal Supremo Popular (por conducto de la Sala de los Delitos contra la Seguridad del Estado del Tribunal Provincial Provincial Popular de Ciudad de la Habana) por el abogado de René Jesús Gómez. Anexo a la comunicación de los peticionarios con fecha de 8 de abril de 2000.</w:t>
      </w:r>
      <w:r w:rsidRPr="005258B5">
        <w:rPr>
          <w:rFonts w:ascii="Cambria" w:hAnsi="Cambria"/>
          <w:sz w:val="16"/>
          <w:szCs w:val="16"/>
          <w:lang w:val="es-ES"/>
        </w:rPr>
        <w:t xml:space="preserve"> </w:t>
      </w:r>
    </w:p>
  </w:footnote>
  <w:footnote w:id="42">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Comunicación de 16 de diciembre de 1999 dirigida al Tribunal Supremo Popular por los familiares de los detenidos. </w:t>
      </w:r>
      <w:r w:rsidRPr="005258B5">
        <w:rPr>
          <w:rFonts w:ascii="Cambria" w:hAnsi="Cambria"/>
          <w:color w:val="auto"/>
          <w:sz w:val="16"/>
          <w:szCs w:val="16"/>
          <w:lang w:val="es-ES"/>
        </w:rPr>
        <w:t>Anexo a la comunicación de los peticionarios con fecha de 8 de abril de 2000.</w:t>
      </w:r>
    </w:p>
  </w:footnote>
  <w:footnote w:id="43">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Comunicación de 29 de diciembre de 1999 del Director de Atención a la Población y Colaboración Judicial del Tribunal Supremo Popular dirigida al señor Jorge R. Gómez Manzano, hermano de un René Gómez Manzano. </w:t>
      </w:r>
      <w:r w:rsidRPr="005258B5">
        <w:rPr>
          <w:rFonts w:ascii="Cambria" w:hAnsi="Cambria"/>
          <w:color w:val="auto"/>
          <w:sz w:val="16"/>
          <w:szCs w:val="16"/>
          <w:lang w:val="es-ES"/>
        </w:rPr>
        <w:t xml:space="preserve">Sala de los Delitos contra la Seguridad del Estado del Tribunal Provincial de la Habana. Sentencia No. 2.999. 4 de marzo de 1999. Anexo a la comunicación de los peticionarios con fecha de 8 de abril de 2000. </w:t>
      </w:r>
    </w:p>
  </w:footnote>
  <w:footnote w:id="44">
    <w:p w:rsidR="008C5D79" w:rsidRPr="005258B5"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color w:val="auto"/>
          <w:sz w:val="16"/>
          <w:szCs w:val="16"/>
          <w:lang w:val="es-ES"/>
        </w:rPr>
        <w:t>Tribunal Supremo Popular. Sala de Delitos contra la Seguridad del Estado. Sentencia No. 4.  9 de febrero de 2000. Anexo a la comunicación de los peticionarios con fecha de 8 de abril de 2000.</w:t>
      </w:r>
    </w:p>
  </w:footnote>
  <w:footnote w:id="45">
    <w:p w:rsidR="008C5D79" w:rsidRPr="005258B5" w:rsidRDefault="008C5D79" w:rsidP="005258B5">
      <w:pPr>
        <w:pStyle w:val="FootnoteText"/>
        <w:spacing w:after="120"/>
        <w:ind w:firstLine="720"/>
        <w:jc w:val="both"/>
        <w:rPr>
          <w:rFonts w:ascii="Cambria" w:hAnsi="Cambria"/>
          <w:color w:val="auto"/>
          <w:sz w:val="16"/>
          <w:szCs w:val="16"/>
          <w:lang w:val="es-CO"/>
        </w:rPr>
      </w:pPr>
      <w:r w:rsidRPr="005258B5">
        <w:rPr>
          <w:rStyle w:val="FootnoteReference"/>
          <w:rFonts w:ascii="Cambria" w:hAnsi="Cambria"/>
          <w:color w:val="auto"/>
          <w:sz w:val="16"/>
          <w:szCs w:val="16"/>
        </w:rPr>
        <w:footnoteRef/>
      </w:r>
      <w:r w:rsidRPr="005258B5">
        <w:rPr>
          <w:rFonts w:ascii="Cambria" w:hAnsi="Cambria"/>
          <w:color w:val="auto"/>
          <w:sz w:val="16"/>
          <w:szCs w:val="16"/>
          <w:lang w:val="es-CO"/>
        </w:rPr>
        <w:t xml:space="preserve"> Grupo de Trabajo de la Disidencia Interna. Un juicio cubano. 1999; Martha Beatriz Roque Cabello. Un día cualquiera. Febrero de 1998. </w:t>
      </w:r>
    </w:p>
  </w:footnote>
  <w:footnote w:id="46">
    <w:p w:rsidR="008C5D79" w:rsidRPr="005258B5" w:rsidRDefault="008C5D79" w:rsidP="005258B5">
      <w:pPr>
        <w:pStyle w:val="FootnoteText"/>
        <w:spacing w:after="120"/>
        <w:ind w:firstLine="720"/>
        <w:jc w:val="both"/>
        <w:rPr>
          <w:rFonts w:ascii="Cambria" w:hAnsi="Cambria"/>
          <w:color w:val="auto"/>
          <w:sz w:val="16"/>
          <w:szCs w:val="16"/>
          <w:lang w:val="es-CO"/>
        </w:rPr>
      </w:pPr>
      <w:r w:rsidRPr="005258B5">
        <w:rPr>
          <w:rStyle w:val="FootnoteReference"/>
          <w:rFonts w:ascii="Cambria" w:hAnsi="Cambria"/>
          <w:color w:val="auto"/>
          <w:sz w:val="16"/>
          <w:szCs w:val="16"/>
        </w:rPr>
        <w:footnoteRef/>
      </w:r>
      <w:r w:rsidRPr="005258B5">
        <w:rPr>
          <w:rFonts w:ascii="Cambria" w:hAnsi="Cambria"/>
          <w:color w:val="auto"/>
          <w:sz w:val="16"/>
          <w:szCs w:val="16"/>
          <w:lang w:val="es-CO"/>
        </w:rPr>
        <w:t xml:space="preserve"> Comisión Interamericana de Derechos Humanos. Audiencia del caso 12.127 Vladimiro Roca Antúnez y otros. Cuba. 30 de septiembre de 1999; Grupo de Trabajo de la Disidencia Interna. Un juicio cubano. 1999 y Grupo de Trabajo de la Disidencia Interna. Un juicio cubano. 1999.  </w:t>
      </w:r>
      <w:r w:rsidRPr="005258B5">
        <w:rPr>
          <w:rFonts w:ascii="Cambria" w:hAnsi="Cambria"/>
          <w:sz w:val="16"/>
          <w:szCs w:val="16"/>
          <w:lang w:val="es-ES"/>
        </w:rPr>
        <w:t>Anexo a la comunicación de los peticionarios de 14 de octubre de 1999.</w:t>
      </w:r>
    </w:p>
  </w:footnote>
  <w:footnote w:id="47">
    <w:p w:rsidR="008C5D79" w:rsidRPr="005258B5" w:rsidRDefault="008C5D79" w:rsidP="005258B5">
      <w:pPr>
        <w:pStyle w:val="FootnoteText"/>
        <w:spacing w:after="120"/>
        <w:ind w:firstLine="720"/>
        <w:jc w:val="both"/>
        <w:rPr>
          <w:rFonts w:ascii="Cambria" w:hAnsi="Cambria"/>
          <w:color w:val="auto"/>
          <w:sz w:val="16"/>
          <w:szCs w:val="16"/>
          <w:lang w:val="es-CO"/>
        </w:rPr>
      </w:pPr>
      <w:r w:rsidRPr="005258B5">
        <w:rPr>
          <w:rStyle w:val="FootnoteReference"/>
          <w:rFonts w:ascii="Cambria" w:hAnsi="Cambria"/>
          <w:color w:val="auto"/>
          <w:sz w:val="16"/>
          <w:szCs w:val="16"/>
        </w:rPr>
        <w:footnoteRef/>
      </w:r>
      <w:r w:rsidRPr="005258B5">
        <w:rPr>
          <w:rFonts w:ascii="Cambria" w:hAnsi="Cambria"/>
          <w:color w:val="auto"/>
          <w:sz w:val="16"/>
          <w:szCs w:val="16"/>
          <w:lang w:val="es-CO"/>
        </w:rPr>
        <w:t xml:space="preserve"> Comisión Interamericana de Derechos Humanos. Audiencia del caso 12.127 Vladimiro Roca Antúnez y otros. Cuba. 30 de septiembre de 1999; Grupo de Trabajo de la Disidencia Interna. Un juicio cubano. 1999 y Grupo de Trabajo de la Disidencia Interna. Un juicio cubano. 1999.  </w:t>
      </w:r>
      <w:r w:rsidRPr="005258B5">
        <w:rPr>
          <w:rFonts w:ascii="Cambria" w:hAnsi="Cambria"/>
          <w:sz w:val="16"/>
          <w:szCs w:val="16"/>
          <w:lang w:val="es-ES"/>
        </w:rPr>
        <w:t>Anexo a la comunicación de los peticionarios de 14 de octubre de 1999.</w:t>
      </w:r>
    </w:p>
  </w:footnote>
  <w:footnote w:id="48">
    <w:p w:rsidR="008C5D79" w:rsidRPr="005258B5" w:rsidRDefault="008C5D79" w:rsidP="005258B5">
      <w:pPr>
        <w:pStyle w:val="FootnoteText"/>
        <w:spacing w:after="120"/>
        <w:ind w:firstLine="720"/>
        <w:jc w:val="both"/>
        <w:rPr>
          <w:rFonts w:ascii="Cambria" w:hAnsi="Cambria"/>
          <w:color w:val="auto"/>
          <w:sz w:val="16"/>
          <w:szCs w:val="16"/>
          <w:lang w:val="es-CO"/>
        </w:rPr>
      </w:pPr>
      <w:r w:rsidRPr="005258B5">
        <w:rPr>
          <w:rStyle w:val="FootnoteReference"/>
          <w:rFonts w:ascii="Cambria" w:hAnsi="Cambria"/>
          <w:color w:val="auto"/>
          <w:sz w:val="16"/>
          <w:szCs w:val="16"/>
        </w:rPr>
        <w:footnoteRef/>
      </w:r>
      <w:r w:rsidRPr="005258B5">
        <w:rPr>
          <w:rFonts w:ascii="Cambria" w:hAnsi="Cambria"/>
          <w:color w:val="auto"/>
          <w:sz w:val="16"/>
          <w:szCs w:val="16"/>
          <w:lang w:val="es-CO"/>
        </w:rPr>
        <w:t xml:space="preserve"> Comisión Interamericana de Derechos Humanos. Audiencia del caso 12.127 Vladimiro Roca Antúnez y otros. Cuba. 30 de septiembre de 1999; Grupo de Trabajo de la Disidencia Interna. Un juicio cubano. 1999 y Grupo de Trabajo de la Disidencia Interna. Un juicio cubano. 1999.  </w:t>
      </w:r>
      <w:r w:rsidRPr="005258B5">
        <w:rPr>
          <w:rFonts w:ascii="Cambria" w:hAnsi="Cambria"/>
          <w:sz w:val="16"/>
          <w:szCs w:val="16"/>
          <w:lang w:val="es-ES"/>
        </w:rPr>
        <w:t>Anexo a la comunicación de los peticionarios de 14 de octubre de 1999.</w:t>
      </w:r>
    </w:p>
  </w:footnote>
  <w:footnote w:id="49">
    <w:p w:rsidR="008C5D79" w:rsidRPr="005258B5" w:rsidRDefault="008C5D79" w:rsidP="005258B5">
      <w:pPr>
        <w:pStyle w:val="FootnoteText"/>
        <w:spacing w:after="120"/>
        <w:ind w:firstLine="720"/>
        <w:jc w:val="both"/>
        <w:rPr>
          <w:rFonts w:ascii="Cambria" w:hAnsi="Cambria"/>
          <w:color w:val="auto"/>
          <w:sz w:val="16"/>
          <w:szCs w:val="16"/>
          <w:lang w:val="es-CO"/>
        </w:rPr>
      </w:pPr>
      <w:r w:rsidRPr="005258B5">
        <w:rPr>
          <w:rStyle w:val="FootnoteReference"/>
          <w:rFonts w:ascii="Cambria" w:hAnsi="Cambria"/>
          <w:color w:val="auto"/>
          <w:sz w:val="16"/>
          <w:szCs w:val="16"/>
        </w:rPr>
        <w:footnoteRef/>
      </w:r>
      <w:r w:rsidRPr="005258B5">
        <w:rPr>
          <w:rFonts w:ascii="Cambria" w:hAnsi="Cambria"/>
          <w:color w:val="auto"/>
          <w:sz w:val="16"/>
          <w:szCs w:val="16"/>
          <w:lang w:val="es-CO"/>
        </w:rPr>
        <w:t xml:space="preserve"> </w:t>
      </w:r>
      <w:r>
        <w:rPr>
          <w:rFonts w:ascii="Cambria" w:hAnsi="Cambria"/>
          <w:color w:val="auto"/>
          <w:sz w:val="16"/>
          <w:szCs w:val="16"/>
          <w:lang w:val="es-CO"/>
        </w:rPr>
        <w:t>Martha</w:t>
      </w:r>
      <w:r w:rsidRPr="005258B5">
        <w:rPr>
          <w:rFonts w:ascii="Cambria" w:hAnsi="Cambria"/>
          <w:color w:val="auto"/>
          <w:sz w:val="16"/>
          <w:szCs w:val="16"/>
          <w:lang w:val="es-CO"/>
        </w:rPr>
        <w:t xml:space="preserve"> Beatriz Roque Cabello fue detenida nuevamente en abril de 2003, junto a otros 74 disidentes del Gobierno cubano y condenada a 20 años de prisión. </w:t>
      </w:r>
      <w:r>
        <w:rPr>
          <w:rFonts w:ascii="Cambria" w:hAnsi="Cambria"/>
          <w:color w:val="auto"/>
          <w:sz w:val="16"/>
          <w:szCs w:val="16"/>
          <w:lang w:val="es-CO"/>
        </w:rPr>
        <w:t>Martha</w:t>
      </w:r>
      <w:r w:rsidRPr="005258B5">
        <w:rPr>
          <w:rFonts w:ascii="Cambria" w:hAnsi="Cambria"/>
          <w:color w:val="auto"/>
          <w:sz w:val="16"/>
          <w:szCs w:val="16"/>
          <w:lang w:val="es-CO"/>
        </w:rPr>
        <w:t xml:space="preserve"> Beatriz Roque Cabello había estado encarcelada por poco más de quince meses cuando fue liberada el 22 de julio de 2004, presuntamente debido a sus graves problemas de salud. La segunda detención de </w:t>
      </w:r>
      <w:r>
        <w:rPr>
          <w:rFonts w:ascii="Cambria" w:hAnsi="Cambria"/>
          <w:color w:val="auto"/>
          <w:sz w:val="16"/>
          <w:szCs w:val="16"/>
          <w:lang w:val="es-CO"/>
        </w:rPr>
        <w:t>Martha</w:t>
      </w:r>
      <w:r w:rsidRPr="005258B5">
        <w:rPr>
          <w:rFonts w:ascii="Cambria" w:hAnsi="Cambria"/>
          <w:color w:val="auto"/>
          <w:sz w:val="16"/>
          <w:szCs w:val="16"/>
          <w:lang w:val="es-CO"/>
        </w:rPr>
        <w:t xml:space="preserve"> Beatriz Roque Cabello y las otras 74 personas fue objeto de un análisis por la CIDH en el informe de fondo 67/06 y fue beneficiaria de medidas cautelares MC 528-03. </w:t>
      </w:r>
    </w:p>
  </w:footnote>
  <w:footnote w:id="50">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CIDH. Informe Anual 1997. Capítulo V (Desarrollo de los derechos humanos en la región: Cuba). OEA/Ser.L/V/II.98. Doc. 6. 17 febrero 1998. Párrs. 5-17.</w:t>
      </w:r>
    </w:p>
  </w:footnote>
  <w:footnote w:id="51">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CIDH. Informe Annual 1997. Capítulo V (Desarrollo de los derechos humanos en la región: Cuba). OEA/Ser.L/V/II.98. Doc. 6. 17 febrero 1998. Párr. 5.</w:t>
      </w:r>
    </w:p>
  </w:footnote>
  <w:footnote w:id="52">
    <w:p w:rsidR="008C5D79" w:rsidRPr="005258B5" w:rsidRDefault="008C5D79" w:rsidP="005258B5">
      <w:pPr>
        <w:pStyle w:val="FootnoteText"/>
        <w:spacing w:after="120"/>
        <w:ind w:firstLine="720"/>
        <w:jc w:val="both"/>
        <w:rPr>
          <w:rFonts w:ascii="Cambria" w:hAnsi="Cambria"/>
          <w:color w:val="auto"/>
          <w:sz w:val="16"/>
          <w:szCs w:val="16"/>
          <w:lang w:val="es-CO"/>
        </w:rPr>
      </w:pPr>
      <w:r w:rsidRPr="005258B5">
        <w:rPr>
          <w:rStyle w:val="FootnoteReference"/>
          <w:rFonts w:ascii="Cambria" w:hAnsi="Cambria"/>
          <w:color w:val="auto"/>
          <w:sz w:val="16"/>
          <w:szCs w:val="16"/>
        </w:rPr>
        <w:footnoteRef/>
      </w:r>
      <w:r w:rsidRPr="005258B5">
        <w:rPr>
          <w:rFonts w:ascii="Cambria" w:hAnsi="Cambria"/>
          <w:color w:val="auto"/>
          <w:sz w:val="16"/>
          <w:szCs w:val="16"/>
          <w:lang w:val="es-CO"/>
        </w:rPr>
        <w:t xml:space="preserve"> </w:t>
      </w:r>
      <w:r w:rsidRPr="005258B5">
        <w:rPr>
          <w:rFonts w:ascii="Cambria" w:hAnsi="Cambria"/>
          <w:color w:val="auto"/>
          <w:sz w:val="16"/>
          <w:szCs w:val="16"/>
          <w:lang w:val="es-ES"/>
        </w:rPr>
        <w:t>CIDH. Informe Anual 1997. Capítulo V (Desarrollo de los derechos humanos en la región: Cuba). OEA/Ser.L/V/II.98. Doc. 6. 17 febrero 1998. Párrs. 5-7, 10 y 11.</w:t>
      </w:r>
    </w:p>
  </w:footnote>
  <w:footnote w:id="53">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CIDH. Informe Anual 1998. Capítulo IV (Desarrollo de los derechos humanos en la región: Cuba) OEA/Ser.L/V/II.102. Doc. 6 rev. 16 abril 1999. Párrs. 12.</w:t>
      </w:r>
    </w:p>
  </w:footnote>
  <w:footnote w:id="54">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CIDH. Informe Anual 1998. Capítulo IV (Desarrollo de los derechos humanos en la región: Cuba) OEA/Ser.L/V/II.102. Doc. 6 rev. 16 abril 1999. Párrs. 12 -16.</w:t>
      </w:r>
    </w:p>
  </w:footnote>
  <w:footnote w:id="55">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w:t>
      </w:r>
      <w:r w:rsidRPr="005258B5">
        <w:rPr>
          <w:rFonts w:ascii="Cambria" w:hAnsi="Cambria"/>
          <w:color w:val="auto"/>
          <w:sz w:val="16"/>
          <w:szCs w:val="16"/>
          <w:lang w:val="es-CO"/>
        </w:rPr>
        <w:t xml:space="preserve">CIDH. Informe Nº 67/06. Caso 12.476. Oscar Elías Biscet y Otros (Cuba). 21 de octubre de 2006. Párrs. 40-44; Informe N° 68/06. Caso 12.477. Fondo. Lorenzo Enrique Copello Castillo y Otros. Cuba. 21 de octubre de 2006. Párrs 49 y 52; </w:t>
      </w:r>
      <w:r w:rsidRPr="005258B5">
        <w:rPr>
          <w:rFonts w:ascii="Cambria" w:hAnsi="Cambria"/>
          <w:color w:val="auto"/>
          <w:sz w:val="16"/>
          <w:szCs w:val="16"/>
          <w:lang w:val="es-ES"/>
        </w:rPr>
        <w:t xml:space="preserve">CIDH: Informe de Fondo Nº 47/96, Caso 11.436, Remolcador “13 de marzo”, 16 de octubre de 1996; Informe de Fondo Nº 86/99, Caso 11.589, Armando Alejandre Jr., Carlos Costa, Mario de la Peña y Pablo Morales, 29 de septiembre de 1999. </w:t>
      </w:r>
      <w:r w:rsidRPr="005258B5">
        <w:rPr>
          <w:rFonts w:ascii="Cambria" w:hAnsi="Cambria"/>
          <w:color w:val="auto"/>
          <w:sz w:val="16"/>
          <w:szCs w:val="16"/>
          <w:lang w:val="es-CO"/>
        </w:rPr>
        <w:t xml:space="preserve">La Comisión ha sostenido reiteradamente que el Estado cubano “es responsable jurídicamente ante la Comisión Interamericana en lo concerniente a los derechos humanos” puesto que “es parte de los instrumentos internacionales que se establecieron inicialmente en el ámbito del hemisferio americano a fin de proteger los derechos humanos” y porque la Resolución VI de la Octava Reunión de Consulta “excluyó al gobierno de Cuba, y no al Estado, de su participación en el sistema interamericano”. Al respecto, la CIDH expuso que “[...] siempre ha considerado que el propósito de la Organización de los Estados Americanos al excluir a Cuba del sistema interamericano no fue dejar sin protección al pueblo cubano. La exclusión de este Gobierno del sistema regional no implica de modo alguno que pueda dejar de cumplir con sus obligaciones internacionales en materia de derechos humanos”. Veáse CIDH. Informe Anual 2016.  Capítulo IV.b (Situación de los derechos humanos en Cuba). Párr. 12. </w:t>
      </w:r>
    </w:p>
  </w:footnote>
  <w:footnote w:id="56">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w:t>
      </w:r>
      <w:r w:rsidRPr="005258B5">
        <w:rPr>
          <w:rFonts w:ascii="Cambria" w:hAnsi="Cambria"/>
          <w:color w:val="auto"/>
          <w:sz w:val="16"/>
          <w:szCs w:val="16"/>
          <w:lang w:val="es-CO"/>
        </w:rPr>
        <w:t>CIDH. Informe Nº 67/06. Caso 12.476. Oscar Elías Biscet y Otros (Cuba). 21 de octubre de 2006. Párrs. 41; Informe N° 68/06. Caso 12.477. Fondo. Lorenzo Enrique Copello Castillo y Otros. Cuba. 21 de octubre de 2006. Párr. 50.</w:t>
      </w:r>
    </w:p>
  </w:footnote>
  <w:footnote w:id="57">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w:t>
      </w:r>
      <w:r w:rsidRPr="005258B5">
        <w:rPr>
          <w:rFonts w:ascii="Cambria" w:hAnsi="Cambria"/>
          <w:color w:val="auto"/>
          <w:sz w:val="16"/>
          <w:szCs w:val="16"/>
          <w:lang w:val="es-CO"/>
        </w:rPr>
        <w:t>CIDH. Informe Nº 67/06. Caso 12.476. Oscar Elías Biscet y Otros (Cuba). 21 de octubre de 2006. Párrs. 42; Informe N° 68/06. Caso 12.477. Fondo. Lorenzo Enrique Copello Castillo y Otros. Cuba. 21 de octubre de 2006. Párr. 51.</w:t>
      </w:r>
    </w:p>
  </w:footnote>
  <w:footnote w:id="58">
    <w:p w:rsidR="008C5D79" w:rsidRPr="005258B5" w:rsidRDefault="008C5D79" w:rsidP="005258B5">
      <w:pPr>
        <w:pStyle w:val="FootnoteText"/>
        <w:spacing w:after="120"/>
        <w:ind w:firstLine="720"/>
        <w:jc w:val="both"/>
        <w:rPr>
          <w:rFonts w:ascii="Cambria" w:hAnsi="Cambria"/>
          <w:color w:val="auto"/>
          <w:sz w:val="16"/>
          <w:szCs w:val="16"/>
          <w:lang w:val="es-CO"/>
        </w:rPr>
      </w:pPr>
      <w:r w:rsidRPr="005258B5">
        <w:rPr>
          <w:rStyle w:val="FootnoteReference"/>
          <w:rFonts w:ascii="Cambria" w:hAnsi="Cambria"/>
          <w:color w:val="auto"/>
          <w:sz w:val="16"/>
          <w:szCs w:val="16"/>
        </w:rPr>
        <w:footnoteRef/>
      </w:r>
      <w:r w:rsidRPr="005258B5">
        <w:rPr>
          <w:rFonts w:ascii="Cambria" w:hAnsi="Cambria"/>
          <w:color w:val="auto"/>
          <w:sz w:val="16"/>
          <w:szCs w:val="16"/>
          <w:lang w:val="es-CO"/>
        </w:rPr>
        <w:t xml:space="preserve"> CIDH. Informe Nº 67/06. Caso 12.476. Oscar Elías Biscet y Otros (Cuba). 21 de octubre de 2006. Párr. 43; Informe N° 68/06. Caso 12.477. Fondo. Lorenzo Enrique Copello Castillo y Otros. Cuba. 21 de octubre de 2006. Párr. 52.  </w:t>
      </w:r>
    </w:p>
    <w:p w:rsidR="008C5D79" w:rsidRPr="005258B5" w:rsidRDefault="008C5D79" w:rsidP="005258B5">
      <w:pPr>
        <w:pStyle w:val="FootnoteText"/>
        <w:spacing w:after="120"/>
        <w:ind w:firstLine="720"/>
        <w:jc w:val="both"/>
        <w:rPr>
          <w:rFonts w:ascii="Cambria" w:hAnsi="Cambria"/>
          <w:color w:val="auto"/>
          <w:sz w:val="16"/>
          <w:szCs w:val="16"/>
          <w:lang w:val="es-CO"/>
        </w:rPr>
      </w:pPr>
    </w:p>
  </w:footnote>
  <w:footnote w:id="59">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w:t>
      </w:r>
      <w:r w:rsidRPr="005258B5">
        <w:rPr>
          <w:rFonts w:ascii="Cambria" w:hAnsi="Cambria"/>
          <w:color w:val="auto"/>
          <w:sz w:val="16"/>
          <w:szCs w:val="16"/>
          <w:lang w:val="es-AR"/>
        </w:rPr>
        <w:t>CIDH</w:t>
      </w:r>
      <w:r w:rsidRPr="005258B5">
        <w:rPr>
          <w:rFonts w:ascii="Cambria" w:hAnsi="Cambria"/>
          <w:color w:val="auto"/>
          <w:sz w:val="16"/>
          <w:szCs w:val="16"/>
          <w:lang w:val="es-UY"/>
        </w:rPr>
        <w:t xml:space="preserve">. </w:t>
      </w:r>
      <w:hyperlink r:id="rId5" w:history="1">
        <w:r w:rsidRPr="005258B5">
          <w:rPr>
            <w:rStyle w:val="Hyperlink"/>
            <w:rFonts w:ascii="Cambria" w:hAnsi="Cambria"/>
            <w:color w:val="auto"/>
            <w:sz w:val="16"/>
            <w:szCs w:val="16"/>
            <w:lang w:val="es-UY"/>
          </w:rPr>
          <w:t>Informe Anual 2009. Informe de la Relatoría Especial para la Libertad de Expresión</w:t>
        </w:r>
      </w:hyperlink>
      <w:r w:rsidRPr="005258B5">
        <w:rPr>
          <w:rFonts w:ascii="Cambria" w:hAnsi="Cambria"/>
          <w:color w:val="auto"/>
          <w:sz w:val="16"/>
          <w:szCs w:val="16"/>
          <w:lang w:val="es-UY"/>
        </w:rPr>
        <w:t xml:space="preserve">. </w:t>
      </w:r>
      <w:r w:rsidRPr="005258B5">
        <w:rPr>
          <w:rFonts w:ascii="Cambria" w:hAnsi="Cambria"/>
          <w:color w:val="auto"/>
          <w:sz w:val="16"/>
          <w:szCs w:val="16"/>
          <w:lang w:val="es-ES_tradnl"/>
        </w:rPr>
        <w:t>Capítulo III (Marco Jurídico Interamericano del Derecho a la Libertad de Expresión). OEA/Ser.L/V/II. Doc. 51. 30 de diciembre de 2009. Párr. 7.</w:t>
      </w:r>
    </w:p>
  </w:footnote>
  <w:footnote w:id="60">
    <w:p w:rsidR="008C5D79" w:rsidRPr="005258B5" w:rsidRDefault="008C5D79" w:rsidP="005258B5">
      <w:pPr>
        <w:pStyle w:val="FootnoteText"/>
        <w:spacing w:after="120"/>
        <w:ind w:firstLine="720"/>
        <w:jc w:val="both"/>
        <w:rPr>
          <w:rFonts w:ascii="Cambria" w:hAnsi="Cambria"/>
          <w:color w:val="auto"/>
          <w:sz w:val="16"/>
          <w:szCs w:val="16"/>
          <w:lang w:val="es-US"/>
        </w:rPr>
      </w:pPr>
      <w:r w:rsidRPr="005258B5">
        <w:rPr>
          <w:rStyle w:val="FootnoteReference"/>
          <w:rFonts w:ascii="Cambria" w:hAnsi="Cambria"/>
          <w:color w:val="auto"/>
          <w:sz w:val="16"/>
          <w:szCs w:val="16"/>
        </w:rPr>
        <w:footnoteRef/>
      </w:r>
      <w:r w:rsidRPr="005258B5">
        <w:rPr>
          <w:rFonts w:ascii="Cambria" w:hAnsi="Cambria"/>
          <w:color w:val="auto"/>
          <w:sz w:val="16"/>
          <w:szCs w:val="16"/>
          <w:lang w:val="es-US"/>
        </w:rPr>
        <w:t xml:space="preserve"> CIDH, Informe No. 103/13, Caso 12.816. Fondo. Adán Guillermo López Lone y Otros. Honduras. 5 de noviembre de 2013. Párr. 210; </w:t>
      </w:r>
      <w:r w:rsidRPr="005258B5">
        <w:rPr>
          <w:rFonts w:ascii="Cambria" w:hAnsi="Cambria"/>
          <w:color w:val="auto"/>
          <w:sz w:val="16"/>
          <w:szCs w:val="16"/>
          <w:lang w:val="es-ES"/>
        </w:rPr>
        <w:t xml:space="preserve">CIDH, Informe No. 27/15, Caso 12.795. Fondo. Alfredo Lagos del Campo. Perú. 21 de julio de 2015. Párr. 75; </w:t>
      </w:r>
      <w:r w:rsidRPr="005258B5">
        <w:rPr>
          <w:rFonts w:ascii="Cambria" w:hAnsi="Cambria"/>
          <w:color w:val="auto"/>
          <w:sz w:val="16"/>
          <w:szCs w:val="16"/>
          <w:lang w:val="es-PE"/>
        </w:rPr>
        <w:t>CIDH. Alegatos ante la Corte Interamericana en el caso Ivcher Bronstein Vs. Per</w:t>
      </w:r>
      <w:r>
        <w:rPr>
          <w:rFonts w:ascii="Cambria" w:hAnsi="Cambria"/>
          <w:color w:val="auto"/>
          <w:sz w:val="16"/>
          <w:szCs w:val="16"/>
          <w:lang w:val="es-PE"/>
        </w:rPr>
        <w:t>ú. Transcritos en: Corte I.D.H..</w:t>
      </w:r>
      <w:r w:rsidRPr="005258B5">
        <w:rPr>
          <w:rFonts w:ascii="Cambria" w:hAnsi="Cambria"/>
          <w:color w:val="auto"/>
          <w:sz w:val="16"/>
          <w:szCs w:val="16"/>
          <w:lang w:val="es-PE"/>
        </w:rPr>
        <w:t xml:space="preserve"> Caso Ivcher Bronstein Vs. Perú. Sentencia de 6 de febrero de 2001. Serie C No. 74, párr. 143. d); CIDH. Alegatos ante la Corte Interamericana en el caso "La Última Tentación de Cristo" (Olmedo Bustos y otros) Vs. Chile. Transcritos en: Corte I.D.H., Caso "La Última Tentación de Cristo" (Olmedo Bustos y otros) Vs. Chile. Sentencia de 5 de f</w:t>
      </w:r>
      <w:r>
        <w:rPr>
          <w:rFonts w:ascii="Cambria" w:hAnsi="Cambria"/>
          <w:color w:val="auto"/>
          <w:sz w:val="16"/>
          <w:szCs w:val="16"/>
          <w:lang w:val="es-PE"/>
        </w:rPr>
        <w:t>ebrero de 2001. Serie C No. 73. P</w:t>
      </w:r>
      <w:r w:rsidRPr="005258B5">
        <w:rPr>
          <w:rFonts w:ascii="Cambria" w:hAnsi="Cambria"/>
          <w:color w:val="auto"/>
          <w:sz w:val="16"/>
          <w:szCs w:val="16"/>
          <w:lang w:val="es-PE"/>
        </w:rPr>
        <w:t>árr. 61. b).</w:t>
      </w:r>
    </w:p>
  </w:footnote>
  <w:footnote w:id="61">
    <w:p w:rsidR="008C5D79" w:rsidRPr="005258B5" w:rsidRDefault="008C5D79" w:rsidP="005258B5">
      <w:pPr>
        <w:pStyle w:val="FootnoteText"/>
        <w:spacing w:after="120"/>
        <w:ind w:firstLine="720"/>
        <w:jc w:val="both"/>
        <w:rPr>
          <w:rFonts w:ascii="Cambria" w:hAnsi="Cambria"/>
          <w:color w:val="auto"/>
          <w:spacing w:val="-4"/>
          <w:sz w:val="16"/>
          <w:szCs w:val="16"/>
          <w:lang w:val="es-ES"/>
        </w:rPr>
      </w:pPr>
      <w:r w:rsidRPr="005258B5">
        <w:rPr>
          <w:rStyle w:val="FootnoteReference"/>
          <w:rFonts w:ascii="Cambria" w:hAnsi="Cambria"/>
          <w:color w:val="auto"/>
          <w:spacing w:val="-4"/>
          <w:sz w:val="16"/>
          <w:szCs w:val="16"/>
        </w:rPr>
        <w:footnoteRef/>
      </w:r>
      <w:r w:rsidRPr="005258B5">
        <w:rPr>
          <w:rFonts w:ascii="Cambria" w:hAnsi="Cambria"/>
          <w:color w:val="auto"/>
          <w:spacing w:val="-4"/>
          <w:sz w:val="16"/>
          <w:szCs w:val="16"/>
          <w:lang w:val="es-ES"/>
        </w:rPr>
        <w:t xml:space="preserve">  Corte IDH. La Colegiación Obligatoria de Periodistas (arts. 13 y 29 Convención Americana sobre Derechos Humanos). Opinión Consultiva OC-5/85, </w:t>
      </w:r>
      <w:r w:rsidRPr="005258B5">
        <w:rPr>
          <w:rStyle w:val="Strong"/>
          <w:rFonts w:ascii="Cambria" w:hAnsi="Cambria"/>
          <w:b w:val="0"/>
          <w:color w:val="auto"/>
          <w:sz w:val="16"/>
          <w:szCs w:val="16"/>
          <w:shd w:val="clear" w:color="auto" w:fill="FFFFFF"/>
          <w:lang w:val="es-ES"/>
        </w:rPr>
        <w:t>del 13 de noviembre de 1985. Serie A No. 5, párr. 70</w:t>
      </w:r>
      <w:r w:rsidRPr="005258B5">
        <w:rPr>
          <w:rFonts w:ascii="Cambria" w:hAnsi="Cambria"/>
          <w:color w:val="auto"/>
          <w:spacing w:val="-4"/>
          <w:sz w:val="16"/>
          <w:szCs w:val="16"/>
          <w:lang w:val="es-ES"/>
        </w:rPr>
        <w:t>, y Corte IDH.</w:t>
      </w:r>
      <w:r w:rsidRPr="005258B5">
        <w:rPr>
          <w:rStyle w:val="apple-converted-space"/>
          <w:rFonts w:ascii="Cambria" w:hAnsi="Cambria"/>
          <w:bCs/>
          <w:color w:val="auto"/>
          <w:sz w:val="16"/>
          <w:szCs w:val="16"/>
          <w:shd w:val="clear" w:color="auto" w:fill="FFFFFF"/>
          <w:lang w:val="es-ES"/>
        </w:rPr>
        <w:t> </w:t>
      </w:r>
      <w:r w:rsidRPr="005258B5">
        <w:rPr>
          <w:rStyle w:val="Strong"/>
          <w:rFonts w:ascii="Cambria" w:hAnsi="Cambria"/>
          <w:b w:val="0"/>
          <w:color w:val="auto"/>
          <w:sz w:val="16"/>
          <w:szCs w:val="16"/>
          <w:shd w:val="clear" w:color="auto" w:fill="FFFFFF"/>
          <w:lang w:val="es-ES"/>
        </w:rPr>
        <w:t>Caso Granier y otros (Radio Caracas Televisión) Vs. Venezuela. Excepciones Preliminares, Fondo, Reparaciones y Costas. Sentencia de 22 de junio de 2015. Serie C No. 293, párr. 140.</w:t>
      </w:r>
    </w:p>
  </w:footnote>
  <w:footnote w:id="62">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w:t>
      </w:r>
      <w:r w:rsidRPr="005258B5">
        <w:rPr>
          <w:rFonts w:ascii="Cambria" w:hAnsi="Cambria"/>
          <w:color w:val="auto"/>
          <w:sz w:val="16"/>
          <w:szCs w:val="16"/>
          <w:lang w:val="es-CO"/>
        </w:rPr>
        <w:t xml:space="preserve">CIDH. Informe Nº 67/06. Caso 12.476. Oscar Elías Biscet y Otros (Cuba). 21 de octubre de 2006. Párr. 198. </w:t>
      </w:r>
    </w:p>
  </w:footnote>
  <w:footnote w:id="63">
    <w:p w:rsidR="008C5D79" w:rsidRPr="005258B5" w:rsidRDefault="008C5D79" w:rsidP="005258B5">
      <w:pPr>
        <w:tabs>
          <w:tab w:val="left" w:pos="567"/>
        </w:tabs>
        <w:spacing w:after="120"/>
        <w:ind w:firstLine="720"/>
        <w:jc w:val="both"/>
        <w:rPr>
          <w:rFonts w:ascii="Cambria" w:hAnsi="Cambria"/>
          <w:spacing w:val="-4"/>
          <w:sz w:val="16"/>
          <w:szCs w:val="16"/>
          <w:lang w:val="es-ES"/>
        </w:rPr>
      </w:pPr>
      <w:r w:rsidRPr="005258B5">
        <w:rPr>
          <w:rStyle w:val="FootnoteReference"/>
          <w:rFonts w:ascii="Cambria" w:hAnsi="Cambria"/>
          <w:spacing w:val="-4"/>
          <w:sz w:val="16"/>
          <w:szCs w:val="16"/>
        </w:rPr>
        <w:footnoteRef/>
      </w:r>
      <w:r w:rsidRPr="005258B5">
        <w:rPr>
          <w:rFonts w:ascii="Cambria" w:hAnsi="Cambria"/>
          <w:spacing w:val="-4"/>
          <w:sz w:val="16"/>
          <w:szCs w:val="16"/>
          <w:lang w:val="es-ES"/>
        </w:rPr>
        <w:t xml:space="preserve"> Corte IDH. </w:t>
      </w:r>
      <w:r w:rsidRPr="005258B5">
        <w:rPr>
          <w:rFonts w:ascii="Cambria" w:hAnsi="Cambria"/>
          <w:sz w:val="16"/>
          <w:szCs w:val="16"/>
          <w:lang w:val="es-ES"/>
        </w:rPr>
        <w:t xml:space="preserve">Caso “La Última Tentación de Cristo” (Olmedo Bustos y otros) Vs. Chile. Párr. 67, y Corte IDH. </w:t>
      </w:r>
      <w:r w:rsidRPr="005258B5">
        <w:rPr>
          <w:rStyle w:val="Strong"/>
          <w:rFonts w:ascii="Cambria" w:hAnsi="Cambria"/>
          <w:b w:val="0"/>
          <w:sz w:val="16"/>
          <w:szCs w:val="16"/>
          <w:shd w:val="clear" w:color="auto" w:fill="FFFFFF"/>
          <w:lang w:val="es-ES"/>
        </w:rPr>
        <w:t>Caso Granier y otros (Radio Caracas Televisión) Vs. Venezuela. Párr. 135.</w:t>
      </w:r>
    </w:p>
  </w:footnote>
  <w:footnote w:id="64">
    <w:p w:rsidR="008C5D79" w:rsidRPr="005258B5" w:rsidRDefault="008C5D79" w:rsidP="005258B5">
      <w:pPr>
        <w:pStyle w:val="FootnoteText"/>
        <w:spacing w:after="120"/>
        <w:ind w:firstLine="720"/>
        <w:jc w:val="both"/>
        <w:rPr>
          <w:rFonts w:ascii="Cambria" w:hAnsi="Cambria"/>
          <w:color w:val="auto"/>
          <w:spacing w:val="-4"/>
          <w:sz w:val="16"/>
          <w:szCs w:val="16"/>
          <w:lang w:val="es-ES"/>
        </w:rPr>
      </w:pPr>
      <w:r w:rsidRPr="005258B5">
        <w:rPr>
          <w:rStyle w:val="FootnoteReference"/>
          <w:rFonts w:ascii="Cambria" w:eastAsiaTheme="majorEastAsia" w:hAnsi="Cambria"/>
          <w:color w:val="auto"/>
          <w:spacing w:val="-4"/>
          <w:sz w:val="16"/>
          <w:szCs w:val="16"/>
        </w:rPr>
        <w:footnoteRef/>
      </w:r>
      <w:r w:rsidRPr="005258B5">
        <w:rPr>
          <w:rFonts w:ascii="Cambria" w:hAnsi="Cambria"/>
          <w:color w:val="auto"/>
          <w:spacing w:val="-4"/>
          <w:sz w:val="16"/>
          <w:szCs w:val="16"/>
          <w:lang w:val="es-ES"/>
        </w:rPr>
        <w:t xml:space="preserve">  Corte IDH. La Colegiación Obligatoria de Periodistas (Arts. 13 y 29 de la Convención Americana sobre Derechos Humanos),</w:t>
      </w:r>
      <w:r w:rsidRPr="005258B5">
        <w:rPr>
          <w:rFonts w:ascii="Cambria" w:hAnsi="Cambria"/>
          <w:i/>
          <w:color w:val="auto"/>
          <w:spacing w:val="-4"/>
          <w:sz w:val="16"/>
          <w:szCs w:val="16"/>
          <w:lang w:val="es-ES"/>
        </w:rPr>
        <w:t xml:space="preserve"> </w:t>
      </w:r>
      <w:r w:rsidRPr="005258B5">
        <w:rPr>
          <w:rFonts w:ascii="Cambria" w:hAnsi="Cambria"/>
          <w:color w:val="auto"/>
          <w:spacing w:val="-4"/>
          <w:sz w:val="16"/>
          <w:szCs w:val="16"/>
          <w:lang w:val="es-ES"/>
        </w:rPr>
        <w:t>párr. 30, y Corte IDH.</w:t>
      </w:r>
      <w:r w:rsidRPr="005258B5">
        <w:rPr>
          <w:rFonts w:ascii="Cambria" w:hAnsi="Cambria"/>
          <w:i/>
          <w:color w:val="auto"/>
          <w:spacing w:val="-4"/>
          <w:sz w:val="16"/>
          <w:szCs w:val="16"/>
          <w:lang w:val="es-ES"/>
        </w:rPr>
        <w:t xml:space="preserve"> </w:t>
      </w:r>
      <w:r w:rsidRPr="005258B5">
        <w:rPr>
          <w:rStyle w:val="Strong"/>
          <w:rFonts w:ascii="Cambria" w:hAnsi="Cambria"/>
          <w:b w:val="0"/>
          <w:color w:val="auto"/>
          <w:sz w:val="16"/>
          <w:szCs w:val="16"/>
          <w:shd w:val="clear" w:color="auto" w:fill="FFFFFF"/>
          <w:lang w:val="es-ES"/>
        </w:rPr>
        <w:t>Caso Granier y otros (Radio Caracas Televisión) Vs. Venezuela</w:t>
      </w:r>
      <w:r w:rsidRPr="005258B5">
        <w:rPr>
          <w:rStyle w:val="Strong"/>
          <w:rFonts w:ascii="Cambria" w:hAnsi="Cambria"/>
          <w:b w:val="0"/>
          <w:i/>
          <w:color w:val="auto"/>
          <w:sz w:val="16"/>
          <w:szCs w:val="16"/>
          <w:shd w:val="clear" w:color="auto" w:fill="FFFFFF"/>
          <w:lang w:val="es-ES"/>
        </w:rPr>
        <w:t xml:space="preserve">, </w:t>
      </w:r>
      <w:r w:rsidRPr="005258B5">
        <w:rPr>
          <w:rStyle w:val="Strong"/>
          <w:rFonts w:ascii="Cambria" w:hAnsi="Cambria"/>
          <w:b w:val="0"/>
          <w:color w:val="auto"/>
          <w:sz w:val="16"/>
          <w:szCs w:val="16"/>
          <w:shd w:val="clear" w:color="auto" w:fill="FFFFFF"/>
          <w:lang w:val="es-ES"/>
        </w:rPr>
        <w:t>párr. 136</w:t>
      </w:r>
      <w:r w:rsidRPr="005258B5">
        <w:rPr>
          <w:rFonts w:ascii="Cambria" w:hAnsi="Cambria"/>
          <w:color w:val="auto"/>
          <w:spacing w:val="-4"/>
          <w:sz w:val="16"/>
          <w:szCs w:val="16"/>
          <w:lang w:val="es-ES"/>
        </w:rPr>
        <w:t>.</w:t>
      </w:r>
    </w:p>
  </w:footnote>
  <w:footnote w:id="65">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Naciones Unidas. Comité de Derechos Humanos. Viktor Korneenko y otros. CCPR/C/88/D/1274/2004. 10 de noviembre de 2006. Párr. 7.3.</w:t>
      </w:r>
    </w:p>
  </w:footnote>
  <w:footnote w:id="66">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CIDH. Demanda ante la Corte Interamericana de Derechos Humanos. Caso de Manuel Cepeda Vargas (Caso 12.531)  contra la República de Colombia. 14 de noviembre de 2008. Párr. 93.</w:t>
      </w:r>
    </w:p>
  </w:footnote>
  <w:footnote w:id="67">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CIDH, Informe No. 27/15, Caso 12.795. Fondo. Alfredo Lagos del Campo. Perú. 21 de julio de 2015. Párr. 75.</w:t>
      </w:r>
    </w:p>
  </w:footnote>
  <w:footnote w:id="68">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CIDH, Informe No. 27/15, Caso 12.795. Fondo. Alfredo Lagos del Campo. Perú. 21 de julio de 2015. Párr. 75.</w:t>
      </w:r>
    </w:p>
  </w:footnote>
  <w:footnote w:id="69">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En este sentido, ver, CIDH. Comunicado de Prensa. 17 de septiembre de 2015. Relatores de ONU y la CIDH condenan medidas para disolver a una destacada organización en Ecuador. Disponible en: </w:t>
      </w:r>
      <w:hyperlink r:id="rId6" w:history="1">
        <w:r w:rsidRPr="005258B5">
          <w:rPr>
            <w:rStyle w:val="Hyperlink"/>
            <w:rFonts w:ascii="Cambria" w:hAnsi="Cambria"/>
            <w:color w:val="auto"/>
            <w:sz w:val="16"/>
            <w:szCs w:val="16"/>
            <w:lang w:val="es-ES"/>
          </w:rPr>
          <w:t>http://www.oas.org/es/cidh/prensa/comunicados/2015/103.asp</w:t>
        </w:r>
      </w:hyperlink>
      <w:r w:rsidRPr="005258B5">
        <w:rPr>
          <w:rFonts w:ascii="Cambria" w:hAnsi="Cambria"/>
          <w:color w:val="auto"/>
          <w:sz w:val="16"/>
          <w:szCs w:val="16"/>
          <w:lang w:val="es-ES"/>
        </w:rPr>
        <w:t xml:space="preserve">  </w:t>
      </w:r>
    </w:p>
  </w:footnote>
  <w:footnote w:id="70">
    <w:p w:rsidR="008C5D79" w:rsidRPr="005258B5" w:rsidRDefault="008C5D79" w:rsidP="005258B5">
      <w:pPr>
        <w:pStyle w:val="FootnoteText"/>
        <w:spacing w:after="120"/>
        <w:ind w:firstLine="720"/>
        <w:jc w:val="both"/>
        <w:rPr>
          <w:rFonts w:ascii="Cambria" w:hAnsi="Cambria"/>
          <w:color w:val="auto"/>
          <w:spacing w:val="-4"/>
          <w:sz w:val="16"/>
          <w:szCs w:val="16"/>
          <w:lang w:val="es-ES"/>
        </w:rPr>
      </w:pPr>
      <w:r w:rsidRPr="005258B5">
        <w:rPr>
          <w:rStyle w:val="FootnoteReference"/>
          <w:rFonts w:ascii="Cambria" w:hAnsi="Cambria"/>
          <w:color w:val="auto"/>
          <w:spacing w:val="-4"/>
          <w:sz w:val="16"/>
          <w:szCs w:val="16"/>
        </w:rPr>
        <w:footnoteRef/>
      </w:r>
      <w:r w:rsidRPr="005258B5">
        <w:rPr>
          <w:rFonts w:ascii="Cambria" w:hAnsi="Cambria"/>
          <w:color w:val="auto"/>
          <w:spacing w:val="-4"/>
          <w:sz w:val="16"/>
          <w:szCs w:val="16"/>
          <w:lang w:val="es-ES"/>
        </w:rPr>
        <w:t xml:space="preserve"> Corte IDH. La Colegiación Obligatoria de Periodistas (arts. 13 y 29 Convención Americana sobre Derechos Humanos). Opinión Consultiva OC-5/85 del 13 de noviembre de 1985. Serie A No. 5; Corte IDH. Caso “La Última Tentación de Cristo” (Olmedo Bustos y otros) Vs. Chile. Sentencia de 5 de febrero de 2001. Serie C No. 73; Corte IDH. Caso Herrera Ulloa Vs. Costa Rica. Sentencia de 2 de julio de 2004. Serie C No. 107;</w:t>
      </w:r>
      <w:r w:rsidRPr="005258B5">
        <w:rPr>
          <w:rFonts w:ascii="Cambria" w:hAnsi="Cambria"/>
          <w:color w:val="auto"/>
          <w:sz w:val="16"/>
          <w:szCs w:val="16"/>
          <w:lang w:val="es-ES"/>
        </w:rPr>
        <w:t xml:space="preserve"> Corte IDH. </w:t>
      </w:r>
      <w:r w:rsidRPr="005258B5">
        <w:rPr>
          <w:rFonts w:ascii="Cambria" w:hAnsi="Cambria"/>
          <w:bCs/>
          <w:i/>
          <w:color w:val="auto"/>
          <w:sz w:val="16"/>
          <w:szCs w:val="16"/>
          <w:lang w:val="es-ES"/>
        </w:rPr>
        <w:t>Caso Kimel Vs. Argentina.</w:t>
      </w:r>
      <w:r w:rsidRPr="005258B5">
        <w:rPr>
          <w:rFonts w:ascii="Cambria" w:hAnsi="Cambria"/>
          <w:bCs/>
          <w:color w:val="auto"/>
          <w:sz w:val="16"/>
          <w:szCs w:val="16"/>
          <w:lang w:val="es-ES"/>
        </w:rPr>
        <w:t xml:space="preserve"> </w:t>
      </w:r>
      <w:r w:rsidRPr="005258B5">
        <w:rPr>
          <w:rFonts w:ascii="Cambria" w:hAnsi="Cambria"/>
          <w:color w:val="auto"/>
          <w:sz w:val="16"/>
          <w:szCs w:val="16"/>
          <w:lang w:val="es-ES"/>
        </w:rPr>
        <w:t>Fondo, Reparaciones y Costas. Sentencia de 2 de mayo de 2008 Serie C No. 177</w:t>
      </w:r>
      <w:r w:rsidRPr="005258B5">
        <w:rPr>
          <w:rFonts w:ascii="Cambria" w:hAnsi="Cambria"/>
          <w:color w:val="auto"/>
          <w:spacing w:val="-4"/>
          <w:sz w:val="16"/>
          <w:szCs w:val="16"/>
          <w:lang w:val="es-ES"/>
        </w:rPr>
        <w:t>; CIDH, Informe sobre la Compatibilidad entre las Leyes de Desacato y la Convención Americana sobre Derechos Humanos., OEA/ser L/V/II.88, Doc.9 rev (1995), páginas 210 a 223. Anexo D; CIDH. Alegatos ante la Corte Interamericana en el caso Herrera Ulloa Vs. Costa Rica. Transcritos en: Corte I.D.H.</w:t>
      </w:r>
      <w:r w:rsidRPr="005258B5">
        <w:rPr>
          <w:rFonts w:ascii="Cambria" w:hAnsi="Cambria"/>
          <w:color w:val="auto"/>
          <w:sz w:val="16"/>
          <w:szCs w:val="16"/>
          <w:lang w:val="es-ES"/>
        </w:rPr>
        <w:t xml:space="preserve"> </w:t>
      </w:r>
      <w:r w:rsidRPr="005258B5">
        <w:rPr>
          <w:rFonts w:ascii="Cambria" w:hAnsi="Cambria"/>
          <w:color w:val="auto"/>
          <w:spacing w:val="-4"/>
          <w:sz w:val="16"/>
          <w:szCs w:val="16"/>
          <w:lang w:val="es-ES"/>
        </w:rPr>
        <w:t xml:space="preserve">Corte I.D.H., Caso Herrera Ulloa Vs. Costa Rica. Sentencia de 2 de julio de 2004. Serie C No. 107; </w:t>
      </w:r>
      <w:r w:rsidRPr="005258B5">
        <w:rPr>
          <w:rFonts w:ascii="Cambria" w:hAnsi="Cambria"/>
          <w:color w:val="auto"/>
          <w:sz w:val="16"/>
          <w:szCs w:val="16"/>
          <w:lang w:val="es-ES"/>
        </w:rPr>
        <w:t xml:space="preserve">CIDH, Informe No. 103/13, Caso 12.816. </w:t>
      </w:r>
      <w:r w:rsidRPr="005258B5">
        <w:rPr>
          <w:rFonts w:ascii="Cambria" w:hAnsi="Cambria"/>
          <w:color w:val="auto"/>
          <w:sz w:val="16"/>
          <w:szCs w:val="16"/>
          <w:lang w:val="es-US"/>
        </w:rPr>
        <w:t xml:space="preserve">Fondo. Adán Guillermo López Lone y Otros. Honduras. 5 de noviembre de 2013; </w:t>
      </w:r>
      <w:r w:rsidRPr="005258B5">
        <w:rPr>
          <w:rFonts w:ascii="Cambria" w:hAnsi="Cambria"/>
          <w:color w:val="auto"/>
          <w:sz w:val="16"/>
          <w:szCs w:val="16"/>
          <w:lang w:val="es-ES"/>
        </w:rPr>
        <w:t xml:space="preserve">CIDH, Informe No. 27/15, Caso 12.795. Fondo. Alfredo Lagos del Campo. Perú. 21 de julio de 2015. </w:t>
      </w:r>
    </w:p>
  </w:footnote>
  <w:footnote w:id="71">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Naciones Unidas. Comité de Derechos Humanos. Observación general Nº 34: Artículo 19 Libertad de opinión y libertad de expresión. 12 de septiembre de 2011.</w:t>
      </w:r>
    </w:p>
  </w:footnote>
  <w:footnote w:id="72">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CIDH. Informe Nº 67/06, adoptado el 21 de octubre de 2006, en el caso 12.476 Oscar Elías Biscet y Otros (Cuba).</w:t>
      </w:r>
    </w:p>
  </w:footnote>
  <w:footnote w:id="73">
    <w:p w:rsidR="008C5D79" w:rsidRPr="005258B5" w:rsidRDefault="008C5D79" w:rsidP="005258B5">
      <w:pPr>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sz w:val="16"/>
          <w:szCs w:val="16"/>
          <w:lang w:val="es-AR"/>
        </w:rPr>
        <w:t>CIDH</w:t>
      </w:r>
      <w:r w:rsidRPr="005258B5">
        <w:rPr>
          <w:rFonts w:ascii="Cambria" w:hAnsi="Cambria"/>
          <w:sz w:val="16"/>
          <w:szCs w:val="16"/>
          <w:lang w:val="es-UY"/>
        </w:rPr>
        <w:t xml:space="preserve">. </w:t>
      </w:r>
      <w:hyperlink r:id="rId7" w:history="1">
        <w:r w:rsidRPr="005258B5">
          <w:rPr>
            <w:rStyle w:val="Hyperlink"/>
            <w:rFonts w:ascii="Cambria" w:hAnsi="Cambria"/>
            <w:sz w:val="16"/>
            <w:szCs w:val="16"/>
            <w:lang w:val="es-UY"/>
          </w:rPr>
          <w:t>Informe Anual 2009. Informe de la Relatoría Especial para la Libertad de Expresión</w:t>
        </w:r>
      </w:hyperlink>
      <w:r w:rsidRPr="005258B5">
        <w:rPr>
          <w:rFonts w:ascii="Cambria" w:hAnsi="Cambria"/>
          <w:sz w:val="16"/>
          <w:szCs w:val="16"/>
          <w:lang w:val="es-UY"/>
        </w:rPr>
        <w:t xml:space="preserve">. </w:t>
      </w:r>
      <w:r w:rsidRPr="005258B5">
        <w:rPr>
          <w:rFonts w:ascii="Cambria" w:hAnsi="Cambria"/>
          <w:sz w:val="16"/>
          <w:szCs w:val="16"/>
          <w:lang w:val="es-ES_tradnl"/>
        </w:rPr>
        <w:t xml:space="preserve">Capítulo III (Marco Jurídico Interamericano del Derecho a la Libertad de Expresión). OEA/Ser.L/V/II. Doc. 51. 30 de diciembre de 2009. Párr </w:t>
      </w:r>
      <w:r w:rsidRPr="005258B5">
        <w:rPr>
          <w:rFonts w:ascii="Cambria" w:hAnsi="Cambria"/>
          <w:sz w:val="16"/>
          <w:szCs w:val="16"/>
          <w:lang w:val="es-ES"/>
        </w:rPr>
        <w:t>100; y</w:t>
      </w:r>
      <w:r w:rsidRPr="005258B5">
        <w:rPr>
          <w:rFonts w:ascii="Cambria" w:hAnsi="Cambria" w:cs="Arial"/>
          <w:sz w:val="16"/>
          <w:szCs w:val="16"/>
          <w:lang w:val="es-ES"/>
        </w:rPr>
        <w:t xml:space="preserve"> CIDH. Informe Anual 1994. Capítulo V: Informe sobre la Compatibilidad entre las Leyes de Desacato y la Convención Americana sobre Derechos Humanos.  OEA/Ser. L/V/II.88. doc. 9 rev. 17 de febrero de 1995.</w:t>
      </w:r>
    </w:p>
  </w:footnote>
  <w:footnote w:id="74">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w:t>
      </w:r>
      <w:r w:rsidRPr="005258B5">
        <w:rPr>
          <w:rFonts w:ascii="Cambria" w:hAnsi="Cambria"/>
          <w:color w:val="auto"/>
          <w:sz w:val="16"/>
          <w:szCs w:val="16"/>
          <w:lang w:val="es-AR"/>
        </w:rPr>
        <w:t>CIDH</w:t>
      </w:r>
      <w:r w:rsidRPr="005258B5">
        <w:rPr>
          <w:rFonts w:ascii="Cambria" w:hAnsi="Cambria"/>
          <w:color w:val="auto"/>
          <w:sz w:val="16"/>
          <w:szCs w:val="16"/>
          <w:lang w:val="es-UY"/>
        </w:rPr>
        <w:t xml:space="preserve">. </w:t>
      </w:r>
      <w:hyperlink r:id="rId8" w:history="1">
        <w:r w:rsidRPr="005258B5">
          <w:rPr>
            <w:rStyle w:val="Hyperlink"/>
            <w:rFonts w:ascii="Cambria" w:hAnsi="Cambria"/>
            <w:color w:val="auto"/>
            <w:sz w:val="16"/>
            <w:szCs w:val="16"/>
            <w:lang w:val="es-UY"/>
          </w:rPr>
          <w:t>Informe Anual 2009. Informe de la Relatoría Especial para la Libertad de Expresión</w:t>
        </w:r>
      </w:hyperlink>
      <w:r w:rsidRPr="005258B5">
        <w:rPr>
          <w:rFonts w:ascii="Cambria" w:hAnsi="Cambria"/>
          <w:color w:val="auto"/>
          <w:sz w:val="16"/>
          <w:szCs w:val="16"/>
          <w:lang w:val="es-UY"/>
        </w:rPr>
        <w:t xml:space="preserve">. </w:t>
      </w:r>
      <w:r w:rsidRPr="005258B5">
        <w:rPr>
          <w:rFonts w:ascii="Cambria" w:hAnsi="Cambria"/>
          <w:color w:val="auto"/>
          <w:sz w:val="16"/>
          <w:szCs w:val="16"/>
          <w:lang w:val="es-ES_tradnl"/>
        </w:rPr>
        <w:t xml:space="preserve">Capítulo III (Marco Jurídico Interamericano del Derecho a la Libertad de Expresión). OEA/Ser.L/V/II. Doc. 51. 30 de diciembre de 2009. Párr </w:t>
      </w:r>
      <w:r w:rsidRPr="005258B5">
        <w:rPr>
          <w:rFonts w:ascii="Cambria" w:hAnsi="Cambria"/>
          <w:color w:val="auto"/>
          <w:sz w:val="16"/>
          <w:szCs w:val="16"/>
          <w:lang w:val="es-ES"/>
        </w:rPr>
        <w:t>114.</w:t>
      </w:r>
    </w:p>
  </w:footnote>
  <w:footnote w:id="75">
    <w:p w:rsidR="008C5D79" w:rsidRPr="002843BD"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lang w:val="es-CO"/>
        </w:rPr>
        <w:footnoteRef/>
      </w:r>
      <w:r w:rsidRPr="005258B5">
        <w:rPr>
          <w:rFonts w:ascii="Cambria" w:hAnsi="Cambria"/>
          <w:color w:val="auto"/>
          <w:sz w:val="16"/>
          <w:szCs w:val="16"/>
          <w:lang w:val="es-ES"/>
        </w:rPr>
        <w:t xml:space="preserve"> </w:t>
      </w:r>
      <w:r w:rsidRPr="005258B5">
        <w:rPr>
          <w:rFonts w:ascii="Cambria" w:hAnsi="Cambria"/>
          <w:color w:val="auto"/>
          <w:sz w:val="16"/>
          <w:szCs w:val="16"/>
          <w:lang w:val="es-CO"/>
        </w:rPr>
        <w:t xml:space="preserve">CIDH. Informe Anual 1994. Capítulo V: Informe sobre la Compatibilidad entre las Leyes de Desacato y la Convención Americana sobre Derechos Humanos. Título IV. OEA/Ser. L/V/II.88. doc. 9 rev. 17 de febrero de 1995; CIDH. Informe No. 11/96. Caso No. 11.230. Francisco Martorell. Chile. 3 de mayo de 1996, párr. 55; CIDH. Alegatos ante la Corte Interamericana en el caso Ricardo Canese Vs. Paraguay. Transcritos en: Corte I.D.H., Caso Ricardo Canese Vs. Paraguay. </w:t>
      </w:r>
      <w:r w:rsidRPr="002843BD">
        <w:rPr>
          <w:rFonts w:ascii="Cambria" w:hAnsi="Cambria"/>
          <w:color w:val="auto"/>
          <w:sz w:val="16"/>
          <w:szCs w:val="16"/>
          <w:lang w:val="es-CO"/>
        </w:rPr>
        <w:t xml:space="preserve">Sentencia de 31 de agosto de 2004. Serie C No. 111, párr. </w:t>
      </w:r>
      <w:r w:rsidRPr="002843BD">
        <w:rPr>
          <w:rFonts w:ascii="Cambria" w:hAnsi="Cambria"/>
          <w:color w:val="auto"/>
          <w:sz w:val="16"/>
          <w:szCs w:val="16"/>
          <w:lang w:val="es-ES"/>
        </w:rPr>
        <w:t>72. a).</w:t>
      </w:r>
    </w:p>
  </w:footnote>
  <w:footnote w:id="76">
    <w:p w:rsidR="008C5D79" w:rsidRPr="002843BD"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lang w:val="es-CO"/>
        </w:rPr>
        <w:footnoteRef/>
      </w:r>
      <w:r w:rsidRPr="002843BD">
        <w:rPr>
          <w:rFonts w:ascii="Cambria" w:hAnsi="Cambria"/>
          <w:color w:val="auto"/>
          <w:sz w:val="16"/>
          <w:szCs w:val="16"/>
          <w:lang w:val="es-ES"/>
        </w:rPr>
        <w:t xml:space="preserve"> CIDH. Informe Anual 1994. </w:t>
      </w:r>
      <w:r w:rsidRPr="005258B5">
        <w:rPr>
          <w:rFonts w:ascii="Cambria" w:hAnsi="Cambria"/>
          <w:color w:val="auto"/>
          <w:sz w:val="16"/>
          <w:szCs w:val="16"/>
          <w:lang w:val="es-CO"/>
        </w:rPr>
        <w:t xml:space="preserve">Capítulo V: Informe sobre la Compatibilidad entre las Leyes de Desacato y la Convención Americana sobre Derechos Humanos. Título IV. OEA/Ser. L/V/II.88. doc. 9 rev. 17 de febrero de 1995; CIDH. Informe No. 11/96. Caso No. 11.230. Francisco Martorell. Chile. 3 de mayo de 1996, párr. 55; CIDH. Alegatos ante la Corte Interamericana en el caso Ricardo Canese Vs. Paraguay. Transcritos en: Corte I.D.H., Caso Ricardo Canese Vs. Paraguay. </w:t>
      </w:r>
      <w:r w:rsidRPr="002843BD">
        <w:rPr>
          <w:rFonts w:ascii="Cambria" w:hAnsi="Cambria"/>
          <w:color w:val="auto"/>
          <w:sz w:val="16"/>
          <w:szCs w:val="16"/>
          <w:lang w:val="es-CO"/>
        </w:rPr>
        <w:t xml:space="preserve">Sentencia de 31 de agosto de 2004. Serie C No. 111, párr. </w:t>
      </w:r>
      <w:r w:rsidRPr="002843BD">
        <w:rPr>
          <w:rFonts w:ascii="Cambria" w:hAnsi="Cambria"/>
          <w:color w:val="auto"/>
          <w:sz w:val="16"/>
          <w:szCs w:val="16"/>
          <w:lang w:val="es-ES"/>
        </w:rPr>
        <w:t xml:space="preserve">72. a). </w:t>
      </w:r>
    </w:p>
  </w:footnote>
  <w:footnote w:id="77">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lang w:val="es-CO"/>
        </w:rPr>
        <w:footnoteRef/>
      </w:r>
      <w:r w:rsidRPr="002843BD">
        <w:rPr>
          <w:rFonts w:ascii="Cambria" w:hAnsi="Cambria"/>
          <w:color w:val="auto"/>
          <w:sz w:val="16"/>
          <w:szCs w:val="16"/>
          <w:lang w:val="es-ES"/>
        </w:rPr>
        <w:t xml:space="preserve"> CIDH. Informe Anual 1994. </w:t>
      </w:r>
      <w:r w:rsidRPr="005258B5">
        <w:rPr>
          <w:rFonts w:ascii="Cambria" w:hAnsi="Cambria"/>
          <w:color w:val="auto"/>
          <w:sz w:val="16"/>
          <w:szCs w:val="16"/>
          <w:lang w:val="es-CO"/>
        </w:rPr>
        <w:t xml:space="preserve">Capítulo V: Informe sobre la Compatibilidad entre las Leyes de Desacato y la Convención Americana sobre Derechos Humanos. Título IV. OEA/Ser. L/V/II.88. doc. 9 rev. 17 de febrero de 1995; CIDH. Informe No. 11/96. Caso No. 11.230. Francisco Martorell. Chile. 3 de mayo de 1996, párr. 55; CIDH. Alegatos ante la Corte Interamericana en el caso Ricardo Canese Vs. Paraguay. Transcritos en: Corte I.D.H., Caso Ricardo Canese Vs. Paraguay. Sentencia de 31 de agosto de 2004. Serie C No. 111, párr. </w:t>
      </w:r>
      <w:r w:rsidRPr="005258B5">
        <w:rPr>
          <w:rFonts w:ascii="Cambria" w:hAnsi="Cambria"/>
          <w:color w:val="auto"/>
          <w:sz w:val="16"/>
          <w:szCs w:val="16"/>
          <w:lang w:val="es-ES"/>
        </w:rPr>
        <w:t>72. a).</w:t>
      </w:r>
    </w:p>
  </w:footnote>
  <w:footnote w:id="78">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Véase, Asamblea Nacional del Poder Popular de la República de Cuba. Ley Nº 62. Código Penal. 29 de diciembre de 1987.</w:t>
      </w:r>
    </w:p>
  </w:footnote>
  <w:footnote w:id="79">
    <w:p w:rsidR="008C5D79" w:rsidRPr="005258B5" w:rsidRDefault="008C5D79" w:rsidP="005258B5">
      <w:pPr>
        <w:pStyle w:val="FootnoteText"/>
        <w:spacing w:after="120"/>
        <w:ind w:firstLine="720"/>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color w:val="auto"/>
          <w:sz w:val="16"/>
          <w:szCs w:val="16"/>
          <w:lang w:val="es-ES"/>
        </w:rPr>
        <w:t>Véase, Asamblea Nacional del Poder Popular de la República de Cuba. Ley Nº 62. Código Penal. 29 de diciembre de 1987.</w:t>
      </w:r>
    </w:p>
  </w:footnote>
  <w:footnote w:id="80">
    <w:p w:rsidR="008C5D79" w:rsidRPr="005258B5" w:rsidRDefault="008C5D79" w:rsidP="005258B5">
      <w:pPr>
        <w:pStyle w:val="FootnoteText"/>
        <w:spacing w:after="120"/>
        <w:ind w:firstLine="720"/>
        <w:jc w:val="both"/>
        <w:rPr>
          <w:rFonts w:ascii="Cambria" w:hAnsi="Cambria"/>
          <w:sz w:val="16"/>
          <w:szCs w:val="16"/>
          <w:lang w:val="es-US"/>
        </w:rPr>
      </w:pPr>
      <w:r w:rsidRPr="005258B5">
        <w:rPr>
          <w:rStyle w:val="FootnoteReference"/>
          <w:rFonts w:ascii="Cambria" w:hAnsi="Cambria"/>
          <w:sz w:val="16"/>
          <w:szCs w:val="16"/>
        </w:rPr>
        <w:footnoteRef/>
      </w:r>
      <w:r w:rsidRPr="005258B5">
        <w:rPr>
          <w:rFonts w:ascii="Cambria" w:hAnsi="Cambria"/>
          <w:sz w:val="16"/>
          <w:szCs w:val="16"/>
          <w:lang w:val="es-US"/>
        </w:rPr>
        <w:t xml:space="preserve"> </w:t>
      </w:r>
      <w:r w:rsidRPr="005258B5">
        <w:rPr>
          <w:rFonts w:ascii="Cambria" w:hAnsi="Cambria" w:cs="Arial"/>
          <w:sz w:val="16"/>
          <w:szCs w:val="16"/>
          <w:lang w:val="es-ES"/>
        </w:rPr>
        <w:t xml:space="preserve">Al respecto, ver los siguientes casos del Tribunal </w:t>
      </w:r>
      <w:r w:rsidRPr="005258B5">
        <w:rPr>
          <w:rFonts w:ascii="Cambria" w:hAnsi="Cambria" w:cs="Arial"/>
          <w:sz w:val="16"/>
          <w:szCs w:val="16"/>
          <w:lang w:val="es-ES_tradnl"/>
        </w:rPr>
        <w:t xml:space="preserve">Europeo: </w:t>
      </w:r>
      <w:r w:rsidRPr="005258B5">
        <w:rPr>
          <w:rFonts w:ascii="Cambria" w:hAnsi="Cambria" w:cs="Arial"/>
          <w:sz w:val="16"/>
          <w:szCs w:val="16"/>
          <w:lang w:val="es-ES"/>
        </w:rPr>
        <w:t xml:space="preserve">Karatas v. Turquía [GC], no. 23168/94. ECHR 1999-IV; Gerger v.Turquía [GC], no. 24919/94, 8 de julio de 1999; Okçuoglu v. Turquía [GC], no. 24246/94, 8 de julio de 1999; Arslan v. Turquía [GC], no. 23462/94, 8 de julio de 1999, Erdogdu v. Tuquía, no. 25723/94, § 69, ECHR 2000 – VI. Asimismo: </w:t>
      </w:r>
      <w:r w:rsidRPr="005258B5">
        <w:rPr>
          <w:rFonts w:ascii="Cambria" w:hAnsi="Cambria" w:cs="Arial"/>
          <w:sz w:val="16"/>
          <w:szCs w:val="16"/>
          <w:lang w:val="es-ES_tradnl"/>
        </w:rPr>
        <w:t xml:space="preserve">Corte I.D.H., </w:t>
      </w:r>
      <w:r w:rsidRPr="005258B5">
        <w:rPr>
          <w:rFonts w:ascii="Cambria" w:hAnsi="Cambria" w:cs="Arial"/>
          <w:i/>
          <w:iCs/>
          <w:sz w:val="16"/>
          <w:szCs w:val="16"/>
          <w:lang w:val="es-ES"/>
        </w:rPr>
        <w:t>La Colegiación Obligatoria de Periodistas</w:t>
      </w:r>
      <w:r w:rsidRPr="005258B5">
        <w:rPr>
          <w:rFonts w:ascii="Cambria" w:hAnsi="Cambria" w:cs="Arial"/>
          <w:iCs/>
          <w:sz w:val="16"/>
          <w:szCs w:val="16"/>
          <w:lang w:val="es-ES"/>
        </w:rPr>
        <w:t xml:space="preserve"> (arts. 13 y 29 Convención Americana sobre Derechos Humanos). Opinión Consultiva OC-5/85</w:t>
      </w:r>
      <w:r w:rsidRPr="005258B5">
        <w:rPr>
          <w:rFonts w:ascii="Cambria" w:hAnsi="Cambria" w:cs="Arial"/>
          <w:i/>
          <w:iCs/>
          <w:sz w:val="16"/>
          <w:szCs w:val="16"/>
          <w:lang w:val="es-ES"/>
        </w:rPr>
        <w:t xml:space="preserve"> </w:t>
      </w:r>
      <w:r w:rsidRPr="005258B5">
        <w:rPr>
          <w:rFonts w:ascii="Cambria" w:hAnsi="Cambria" w:cs="Arial"/>
          <w:sz w:val="16"/>
          <w:szCs w:val="16"/>
          <w:lang w:val="es-ES"/>
        </w:rPr>
        <w:t>del 13 de noviembre de 1985. Serie A No. 5, párr. 77.</w:t>
      </w:r>
    </w:p>
  </w:footnote>
  <w:footnote w:id="81">
    <w:p w:rsidR="008C5D79" w:rsidRPr="00DD1EEE" w:rsidRDefault="008C5D79" w:rsidP="005258B5">
      <w:pPr>
        <w:pStyle w:val="FootnoteText"/>
        <w:spacing w:after="120"/>
        <w:ind w:firstLine="720"/>
        <w:jc w:val="both"/>
        <w:rPr>
          <w:rFonts w:ascii="Cambria" w:hAnsi="Cambria"/>
          <w:sz w:val="16"/>
          <w:szCs w:val="16"/>
          <w:lang w:val="es-US"/>
        </w:rPr>
      </w:pPr>
      <w:r w:rsidRPr="005258B5">
        <w:rPr>
          <w:rStyle w:val="FootnoteReference"/>
          <w:rFonts w:ascii="Cambria" w:hAnsi="Cambria"/>
          <w:sz w:val="16"/>
          <w:szCs w:val="16"/>
        </w:rPr>
        <w:footnoteRef/>
      </w:r>
      <w:r>
        <w:rPr>
          <w:rFonts w:ascii="Cambria" w:hAnsi="Cambria"/>
          <w:sz w:val="16"/>
          <w:szCs w:val="16"/>
          <w:lang w:val="es-AR"/>
        </w:rPr>
        <w:t xml:space="preserve"> </w:t>
      </w:r>
      <w:r w:rsidRPr="005258B5">
        <w:rPr>
          <w:rFonts w:ascii="Cambria" w:hAnsi="Cambria"/>
          <w:sz w:val="16"/>
          <w:szCs w:val="16"/>
          <w:lang w:val="es-AR"/>
        </w:rPr>
        <w:t>CIDH</w:t>
      </w:r>
      <w:r w:rsidRPr="005258B5">
        <w:rPr>
          <w:rFonts w:ascii="Cambria" w:hAnsi="Cambria"/>
          <w:sz w:val="16"/>
          <w:szCs w:val="16"/>
          <w:lang w:val="es-UY"/>
        </w:rPr>
        <w:t xml:space="preserve">. </w:t>
      </w:r>
      <w:r w:rsidRPr="00237F17">
        <w:rPr>
          <w:rFonts w:ascii="Cambria" w:hAnsi="Cambria"/>
          <w:sz w:val="16"/>
          <w:szCs w:val="16"/>
          <w:lang w:val="es-UY"/>
        </w:rPr>
        <w:t xml:space="preserve">Informe Anual 2009. Informe de la Relatoría Especial para la Libertad de </w:t>
      </w:r>
      <w:r w:rsidRPr="00DD1EEE">
        <w:rPr>
          <w:rFonts w:ascii="Cambria" w:hAnsi="Cambria"/>
          <w:sz w:val="16"/>
          <w:szCs w:val="16"/>
          <w:lang w:val="es-UY"/>
        </w:rPr>
        <w:t xml:space="preserve">Expresión. </w:t>
      </w:r>
      <w:r w:rsidRPr="00DD1EEE">
        <w:rPr>
          <w:rFonts w:ascii="Cambria" w:hAnsi="Cambria"/>
          <w:sz w:val="16"/>
          <w:szCs w:val="16"/>
          <w:lang w:val="es-ES_tradnl"/>
        </w:rPr>
        <w:t xml:space="preserve">Capítulo III (Marco Jurídico Interamericano del Derecho a la Libertad de Expresión). OEA/Ser.L/V/II. Doc. 51. 30 de diciembre de 2009. Párr. </w:t>
      </w:r>
      <w:r w:rsidRPr="00DD1EEE">
        <w:rPr>
          <w:rFonts w:ascii="Cambria" w:hAnsi="Cambria"/>
          <w:sz w:val="16"/>
          <w:szCs w:val="16"/>
          <w:lang w:val="es-US"/>
        </w:rPr>
        <w:t>58.</w:t>
      </w:r>
    </w:p>
  </w:footnote>
  <w:footnote w:id="82">
    <w:p w:rsidR="008C5D79" w:rsidRPr="00DD1EEE" w:rsidRDefault="008C5D79" w:rsidP="005258B5">
      <w:pPr>
        <w:pStyle w:val="FootnoteText"/>
        <w:spacing w:after="120"/>
        <w:ind w:firstLine="720"/>
        <w:jc w:val="both"/>
        <w:rPr>
          <w:rFonts w:ascii="Cambria" w:hAnsi="Cambria"/>
          <w:color w:val="auto"/>
          <w:sz w:val="16"/>
          <w:szCs w:val="16"/>
          <w:lang w:val="es-ES"/>
        </w:rPr>
      </w:pPr>
      <w:r w:rsidRPr="00DD1EEE">
        <w:rPr>
          <w:rStyle w:val="FootnoteReference"/>
          <w:rFonts w:ascii="Cambria" w:hAnsi="Cambria"/>
          <w:color w:val="auto"/>
          <w:sz w:val="16"/>
          <w:szCs w:val="16"/>
        </w:rPr>
        <w:footnoteRef/>
      </w:r>
      <w:r w:rsidRPr="00DD1EEE">
        <w:rPr>
          <w:rFonts w:ascii="Cambria" w:hAnsi="Cambria"/>
          <w:color w:val="auto"/>
          <w:sz w:val="16"/>
          <w:szCs w:val="16"/>
          <w:lang w:val="es-ES"/>
        </w:rPr>
        <w:t xml:space="preserve"> </w:t>
      </w:r>
      <w:r w:rsidRPr="00DD1EEE">
        <w:rPr>
          <w:rFonts w:ascii="Cambria" w:hAnsi="Cambria" w:cs="Times New Roman"/>
          <w:color w:val="auto"/>
          <w:sz w:val="16"/>
          <w:szCs w:val="16"/>
          <w:lang w:val="es-ES"/>
        </w:rPr>
        <w:t xml:space="preserve">CIDH, </w:t>
      </w:r>
      <w:r w:rsidRPr="00DD1EEE">
        <w:rPr>
          <w:rFonts w:ascii="Cambria" w:eastAsia="Times New Roman" w:hAnsi="Cambria" w:cs="Times New Roman"/>
          <w:color w:val="auto"/>
          <w:sz w:val="16"/>
          <w:szCs w:val="16"/>
          <w:lang w:val="es-ES"/>
        </w:rPr>
        <w:t>Criminalización de defensoras y defensores de derechos humanos, OEA/Ser.L/V/II. Doc. 49/15, 31 de diciembre de 2015, párr. 141.</w:t>
      </w:r>
    </w:p>
  </w:footnote>
  <w:footnote w:id="83">
    <w:p w:rsidR="008C5D79" w:rsidRPr="005258B5" w:rsidRDefault="008C5D79" w:rsidP="005258B5">
      <w:pPr>
        <w:pStyle w:val="FootnoteText"/>
        <w:spacing w:after="120"/>
        <w:ind w:firstLine="720"/>
        <w:jc w:val="both"/>
        <w:rPr>
          <w:rFonts w:ascii="Cambria" w:hAnsi="Cambria"/>
          <w:sz w:val="16"/>
          <w:szCs w:val="16"/>
          <w:lang w:val="es-ES"/>
        </w:rPr>
      </w:pPr>
      <w:r w:rsidRPr="00DD1EEE">
        <w:rPr>
          <w:rStyle w:val="FootnoteReference"/>
          <w:rFonts w:ascii="Cambria" w:hAnsi="Cambria"/>
          <w:sz w:val="16"/>
          <w:szCs w:val="16"/>
        </w:rPr>
        <w:footnoteRef/>
      </w:r>
      <w:r w:rsidRPr="00DD1EEE">
        <w:rPr>
          <w:rFonts w:ascii="Cambria" w:hAnsi="Cambria"/>
          <w:sz w:val="16"/>
          <w:szCs w:val="16"/>
          <w:lang w:val="es-US"/>
        </w:rPr>
        <w:t xml:space="preserve"> </w:t>
      </w:r>
      <w:r w:rsidRPr="00DD1EEE">
        <w:rPr>
          <w:rFonts w:ascii="Cambria" w:hAnsi="Cambria"/>
          <w:sz w:val="16"/>
          <w:szCs w:val="16"/>
          <w:lang w:val="es-AR"/>
        </w:rPr>
        <w:t>CIDH</w:t>
      </w:r>
      <w:r w:rsidRPr="00DD1EEE">
        <w:rPr>
          <w:rFonts w:ascii="Cambria" w:hAnsi="Cambria"/>
          <w:sz w:val="16"/>
          <w:szCs w:val="16"/>
          <w:lang w:val="es-UY"/>
        </w:rPr>
        <w:t xml:space="preserve">. Informe Anual 2009. Informe de la Relatoría Especial para la Libertad de Expresión. </w:t>
      </w:r>
      <w:r w:rsidRPr="00DD1EEE">
        <w:rPr>
          <w:rFonts w:ascii="Cambria" w:hAnsi="Cambria"/>
          <w:sz w:val="16"/>
          <w:szCs w:val="16"/>
          <w:lang w:val="es-ES_tradnl"/>
        </w:rPr>
        <w:t xml:space="preserve">Capítulo III (Marco Jurídico Interamericano del Derecho a la Libertad de Expresión). OEA/Ser.L/V/II. Doc. 51. 30 de diciembre de 2009. Párr. </w:t>
      </w:r>
      <w:r w:rsidRPr="00DD1EEE">
        <w:rPr>
          <w:rFonts w:ascii="Cambria" w:hAnsi="Cambria"/>
          <w:sz w:val="16"/>
          <w:szCs w:val="16"/>
          <w:lang w:val="es-ES"/>
        </w:rPr>
        <w:t>58.</w:t>
      </w:r>
    </w:p>
  </w:footnote>
  <w:footnote w:id="84">
    <w:p w:rsidR="008C5D79" w:rsidRPr="005258B5" w:rsidRDefault="008C5D79" w:rsidP="005258B5">
      <w:pPr>
        <w:spacing w:after="120"/>
        <w:ind w:firstLine="720"/>
        <w:jc w:val="both"/>
        <w:rPr>
          <w:rFonts w:ascii="Cambria" w:hAnsi="Cambria"/>
          <w:sz w:val="16"/>
          <w:szCs w:val="16"/>
        </w:rPr>
      </w:pPr>
      <w:r w:rsidRPr="005258B5">
        <w:rPr>
          <w:rStyle w:val="FootnoteReference"/>
          <w:rFonts w:ascii="Cambria" w:hAnsi="Cambria"/>
          <w:sz w:val="16"/>
          <w:szCs w:val="16"/>
        </w:rPr>
        <w:footnoteRef/>
      </w:r>
      <w:r w:rsidRPr="005258B5">
        <w:rPr>
          <w:rFonts w:ascii="Cambria" w:hAnsi="Cambria"/>
          <w:sz w:val="16"/>
          <w:szCs w:val="16"/>
          <w:lang w:val="es-ES"/>
        </w:rPr>
        <w:t xml:space="preserve"> </w:t>
      </w:r>
      <w:r w:rsidRPr="005258B5">
        <w:rPr>
          <w:rFonts w:ascii="Cambria" w:hAnsi="Cambria"/>
          <w:sz w:val="16"/>
          <w:szCs w:val="16"/>
          <w:lang w:val="es-AR"/>
        </w:rPr>
        <w:t>CIDH</w:t>
      </w:r>
      <w:r w:rsidRPr="005258B5">
        <w:rPr>
          <w:rFonts w:ascii="Cambria" w:hAnsi="Cambria"/>
          <w:sz w:val="16"/>
          <w:szCs w:val="16"/>
          <w:lang w:val="es-UY"/>
        </w:rPr>
        <w:t xml:space="preserve">. </w:t>
      </w:r>
      <w:r w:rsidRPr="00237F17">
        <w:rPr>
          <w:rFonts w:ascii="Cambria" w:hAnsi="Cambria"/>
          <w:sz w:val="16"/>
          <w:szCs w:val="16"/>
          <w:lang w:val="es-UY"/>
        </w:rPr>
        <w:t>Informe Anual 2009. Informe de la Relatoría Especial para la Libertad de Expresión</w:t>
      </w:r>
      <w:r w:rsidRPr="005258B5">
        <w:rPr>
          <w:rFonts w:ascii="Cambria" w:hAnsi="Cambria"/>
          <w:sz w:val="16"/>
          <w:szCs w:val="16"/>
          <w:lang w:val="es-UY"/>
        </w:rPr>
        <w:t xml:space="preserve">. </w:t>
      </w:r>
      <w:r w:rsidRPr="005258B5">
        <w:rPr>
          <w:rFonts w:ascii="Cambria" w:hAnsi="Cambria"/>
          <w:sz w:val="16"/>
          <w:szCs w:val="16"/>
          <w:lang w:val="es-ES_tradnl"/>
        </w:rPr>
        <w:t xml:space="preserve">Capítulo III (Marco Jurídico Interamericano del Derecho a la Libertad de Expresión). OEA/Ser.L/V/II. Doc. 51. 30 de diciembre de 2009. Párr. 75. </w:t>
      </w:r>
      <w:r w:rsidRPr="005258B5">
        <w:rPr>
          <w:rFonts w:ascii="Cambria" w:hAnsi="Cambria"/>
          <w:sz w:val="16"/>
          <w:szCs w:val="16"/>
          <w:lang w:val="es-ES"/>
        </w:rPr>
        <w:t xml:space="preserve">Ver, por ejemplo, Corte I.D.H., </w:t>
      </w:r>
      <w:r w:rsidRPr="005258B5">
        <w:rPr>
          <w:rFonts w:ascii="Cambria" w:hAnsi="Cambria"/>
          <w:i/>
          <w:sz w:val="16"/>
          <w:szCs w:val="16"/>
          <w:lang w:val="es-ES"/>
        </w:rPr>
        <w:t xml:space="preserve">Caso Molina Theissen Vs. </w:t>
      </w:r>
      <w:r w:rsidRPr="005258B5">
        <w:rPr>
          <w:rFonts w:ascii="Cambria" w:hAnsi="Cambria"/>
          <w:i/>
          <w:sz w:val="16"/>
          <w:szCs w:val="16"/>
          <w:lang w:val="es-AR"/>
        </w:rPr>
        <w:t>Guatemala. Fondo</w:t>
      </w:r>
      <w:r w:rsidRPr="005258B5">
        <w:rPr>
          <w:rFonts w:ascii="Cambria" w:hAnsi="Cambria"/>
          <w:sz w:val="16"/>
          <w:szCs w:val="16"/>
          <w:lang w:val="es-AR"/>
        </w:rPr>
        <w:t>. Sentencia de 4 de mayo de 2004. Serie C No. 106., párr. 40.2 (donde la Corte IDH reconoció que la represión instaurada en Guatemala hacia fines de la década del 70 y principios de la del 80 se basaba en una interpretación del concepto de seguridad nacional conocida como “doctrina de seguridad nacional”). Asimismo,  De acuerdo con los Principios globales sobre seguridad nacional y el derechoa la información (“Principios de Tshwane”) adoptados el 12 de junio de 2013,</w:t>
      </w:r>
      <w:r w:rsidRPr="005258B5">
        <w:rPr>
          <w:rFonts w:ascii="Cambria" w:hAnsi="Cambria"/>
          <w:sz w:val="16"/>
          <w:szCs w:val="16"/>
          <w:lang w:val="es-ES"/>
        </w:rPr>
        <w:t xml:space="preserve"> “</w:t>
      </w:r>
      <w:r w:rsidRPr="005258B5">
        <w:rPr>
          <w:rFonts w:ascii="Cambria" w:hAnsi="Cambria"/>
          <w:sz w:val="16"/>
          <w:szCs w:val="16"/>
          <w:lang w:val="es-AR"/>
        </w:rPr>
        <w:t xml:space="preserve">Se considera buena práctica para la seguridad nacional, cuando la misma es empleada para limitar el derecho a la información, que se defina con precisión en el ordenamiento jurídico de un país de forma consistente con una sociedad democrática”. </w:t>
      </w:r>
      <w:r w:rsidRPr="005258B5">
        <w:rPr>
          <w:rFonts w:ascii="Cambria" w:hAnsi="Cambria"/>
          <w:sz w:val="16"/>
          <w:szCs w:val="16"/>
        </w:rPr>
        <w:t xml:space="preserve">Disponible en: </w:t>
      </w:r>
      <w:hyperlink r:id="rId9" w:history="1">
        <w:r w:rsidRPr="005258B5">
          <w:rPr>
            <w:rStyle w:val="Hyperlink"/>
            <w:rFonts w:ascii="Cambria" w:hAnsi="Cambria"/>
            <w:sz w:val="16"/>
            <w:szCs w:val="16"/>
          </w:rPr>
          <w:t>https://www.opensocietyfoundations.org/sites/default/files/tshwane-espanol-10302014%20%281%29.pdf</w:t>
        </w:r>
      </w:hyperlink>
      <w:r w:rsidRPr="005258B5">
        <w:rPr>
          <w:rFonts w:ascii="Cambria" w:hAnsi="Cambria"/>
          <w:sz w:val="16"/>
          <w:szCs w:val="16"/>
        </w:rPr>
        <w:t xml:space="preserve">, y </w:t>
      </w:r>
      <w:r w:rsidRPr="005258B5">
        <w:rPr>
          <w:rFonts w:ascii="Cambria" w:hAnsi="Cambria"/>
          <w:i/>
          <w:sz w:val="16"/>
          <w:szCs w:val="16"/>
        </w:rPr>
        <w:t>The Johannesburg Principles on National Security, Freedom of Expression and Access to Information</w:t>
      </w:r>
      <w:r w:rsidRPr="005258B5">
        <w:rPr>
          <w:rFonts w:ascii="Cambria" w:hAnsi="Cambria"/>
          <w:sz w:val="16"/>
          <w:szCs w:val="16"/>
        </w:rPr>
        <w:t xml:space="preserve">, adoptados en noviembre de 1996.  </w:t>
      </w:r>
    </w:p>
  </w:footnote>
  <w:footnote w:id="85">
    <w:p w:rsidR="008C5D79" w:rsidRPr="005258B5" w:rsidRDefault="008C5D79" w:rsidP="005258B5">
      <w:pPr>
        <w:pStyle w:val="FootnoteText"/>
        <w:tabs>
          <w:tab w:val="left" w:pos="1032"/>
        </w:tabs>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w:t>
      </w:r>
      <w:r w:rsidRPr="005258B5">
        <w:rPr>
          <w:rFonts w:ascii="Cambria" w:hAnsi="Cambria"/>
          <w:color w:val="auto"/>
          <w:sz w:val="16"/>
          <w:szCs w:val="16"/>
          <w:lang w:val="es-AR"/>
        </w:rPr>
        <w:t>CIDH</w:t>
      </w:r>
      <w:r w:rsidRPr="005258B5">
        <w:rPr>
          <w:rFonts w:ascii="Cambria" w:hAnsi="Cambria"/>
          <w:color w:val="auto"/>
          <w:sz w:val="16"/>
          <w:szCs w:val="16"/>
          <w:lang w:val="es-UY"/>
        </w:rPr>
        <w:t xml:space="preserve">. </w:t>
      </w:r>
      <w:r w:rsidRPr="00237F17">
        <w:rPr>
          <w:rFonts w:ascii="Cambria" w:hAnsi="Cambria"/>
          <w:sz w:val="16"/>
          <w:szCs w:val="16"/>
          <w:lang w:val="es-UY"/>
        </w:rPr>
        <w:t>Informe Anual 2009. Informe de la Relatoría Especial para la Libertad de Expresión</w:t>
      </w:r>
      <w:r w:rsidRPr="005258B5">
        <w:rPr>
          <w:rFonts w:ascii="Cambria" w:hAnsi="Cambria"/>
          <w:color w:val="auto"/>
          <w:sz w:val="16"/>
          <w:szCs w:val="16"/>
          <w:lang w:val="es-UY"/>
        </w:rPr>
        <w:t xml:space="preserve">. </w:t>
      </w:r>
      <w:r w:rsidRPr="005258B5">
        <w:rPr>
          <w:rFonts w:ascii="Cambria" w:hAnsi="Cambria"/>
          <w:color w:val="auto"/>
          <w:sz w:val="16"/>
          <w:szCs w:val="16"/>
          <w:lang w:val="es-ES_tradnl"/>
        </w:rPr>
        <w:t>Capítulo III (Marco Jurídico Interamericano del Derecho a la Libertad de Expresión). OEA/Ser.L/V/II. Doc. 51. 30 de diciembre de 2009. Párr. 75.</w:t>
      </w:r>
    </w:p>
  </w:footnote>
  <w:footnote w:id="86">
    <w:p w:rsidR="008C5D79" w:rsidRPr="005258B5" w:rsidRDefault="008C5D79" w:rsidP="005258B5">
      <w:pPr>
        <w:pStyle w:val="FootnoteText"/>
        <w:tabs>
          <w:tab w:val="left" w:pos="1032"/>
        </w:tabs>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Corte IDH. La Colegiación Obligatoria de Periodistas (Arts. 13 y 29 Convención Americana sobre Derechos Humanos). Opinión Consultiva OC-5/85 del 13 de noviembre de 1985, Serie A No. 5, párr. 64, y  </w:t>
      </w:r>
      <w:r w:rsidRPr="005258B5">
        <w:rPr>
          <w:rFonts w:ascii="Cambria" w:hAnsi="Cambria"/>
          <w:color w:val="auto"/>
          <w:sz w:val="16"/>
          <w:szCs w:val="16"/>
          <w:lang w:val="es-AR"/>
        </w:rPr>
        <w:t>CIDH</w:t>
      </w:r>
      <w:r w:rsidRPr="005258B5">
        <w:rPr>
          <w:rFonts w:ascii="Cambria" w:hAnsi="Cambria"/>
          <w:color w:val="auto"/>
          <w:sz w:val="16"/>
          <w:szCs w:val="16"/>
          <w:lang w:val="es-UY"/>
        </w:rPr>
        <w:t xml:space="preserve">. </w:t>
      </w:r>
      <w:r w:rsidRPr="00237F17">
        <w:rPr>
          <w:rFonts w:ascii="Cambria" w:hAnsi="Cambria"/>
          <w:sz w:val="16"/>
          <w:szCs w:val="16"/>
          <w:lang w:val="es-UY"/>
        </w:rPr>
        <w:t>Informe Anual 2009. Informe de la Relatoría Especial para la Libertad de Expresión</w:t>
      </w:r>
      <w:r w:rsidRPr="005258B5">
        <w:rPr>
          <w:rFonts w:ascii="Cambria" w:hAnsi="Cambria"/>
          <w:color w:val="auto"/>
          <w:sz w:val="16"/>
          <w:szCs w:val="16"/>
          <w:lang w:val="es-UY"/>
        </w:rPr>
        <w:t xml:space="preserve">. </w:t>
      </w:r>
      <w:r w:rsidRPr="005258B5">
        <w:rPr>
          <w:rFonts w:ascii="Cambria" w:hAnsi="Cambria"/>
          <w:color w:val="auto"/>
          <w:sz w:val="16"/>
          <w:szCs w:val="16"/>
          <w:lang w:val="es-ES_tradnl"/>
        </w:rPr>
        <w:t xml:space="preserve">Capítulo III (Marco Jurídico Interamericano del Derecho a la Libertad de Expresión). </w:t>
      </w:r>
      <w:r w:rsidRPr="005258B5">
        <w:rPr>
          <w:rFonts w:ascii="Cambria" w:hAnsi="Cambria"/>
          <w:color w:val="auto"/>
          <w:sz w:val="16"/>
          <w:szCs w:val="16"/>
          <w:lang w:val="es-ES"/>
        </w:rPr>
        <w:t>OEA/Ser.L/V/II. Doc. 51. 30 de diciembre de 2009. Párr. 80.</w:t>
      </w:r>
    </w:p>
  </w:footnote>
  <w:footnote w:id="87">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Corte I.D.H., La Colegiación Obligatoria de Periodistas (Arts. 13 y 29 Convención Americana sobre Derechos Humanos). Opinión Consultiva OC-5/85 del 13 de noviembre de 1985, Serie A No. 5, párr. 80.</w:t>
      </w:r>
    </w:p>
  </w:footnote>
  <w:footnote w:id="88">
    <w:p w:rsidR="008C5D79" w:rsidRPr="005258B5" w:rsidRDefault="008C5D79" w:rsidP="005258B5">
      <w:pPr>
        <w:pStyle w:val="FootnoteText"/>
        <w:spacing w:after="120"/>
        <w:ind w:firstLine="720"/>
        <w:jc w:val="both"/>
        <w:rPr>
          <w:rFonts w:ascii="Cambria" w:hAnsi="Cambria"/>
          <w:color w:val="auto"/>
          <w:sz w:val="16"/>
          <w:szCs w:val="16"/>
          <w:lang w:val="es-ES_tradnl"/>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w:t>
      </w:r>
      <w:r w:rsidRPr="005258B5">
        <w:rPr>
          <w:rFonts w:ascii="Cambria" w:hAnsi="Cambria"/>
          <w:color w:val="auto"/>
          <w:sz w:val="16"/>
          <w:szCs w:val="16"/>
          <w:lang w:val="es-AR"/>
        </w:rPr>
        <w:t>CIDH</w:t>
      </w:r>
      <w:r w:rsidRPr="005258B5">
        <w:rPr>
          <w:rFonts w:ascii="Cambria" w:hAnsi="Cambria"/>
          <w:color w:val="auto"/>
          <w:sz w:val="16"/>
          <w:szCs w:val="16"/>
          <w:lang w:val="es-UY"/>
        </w:rPr>
        <w:t xml:space="preserve">. </w:t>
      </w:r>
      <w:r w:rsidRPr="00237F17">
        <w:rPr>
          <w:rFonts w:ascii="Cambria" w:hAnsi="Cambria"/>
          <w:sz w:val="16"/>
          <w:szCs w:val="16"/>
          <w:lang w:val="es-UY"/>
        </w:rPr>
        <w:t>Informe Anual 2009. Informe de la Relatoría Especial para la Libertad de Expresión</w:t>
      </w:r>
      <w:r w:rsidRPr="005258B5">
        <w:rPr>
          <w:rFonts w:ascii="Cambria" w:hAnsi="Cambria"/>
          <w:color w:val="auto"/>
          <w:sz w:val="16"/>
          <w:szCs w:val="16"/>
          <w:lang w:val="es-UY"/>
        </w:rPr>
        <w:t xml:space="preserve">. </w:t>
      </w:r>
      <w:r w:rsidRPr="005258B5">
        <w:rPr>
          <w:rFonts w:ascii="Cambria" w:hAnsi="Cambria"/>
          <w:color w:val="auto"/>
          <w:sz w:val="16"/>
          <w:szCs w:val="16"/>
          <w:lang w:val="es-ES_tradnl"/>
        </w:rPr>
        <w:t>Capítulo III (Marco Jurídico Interamericano del Derecho a la Libertad de Expresión). OEA/Ser.L/V/II. Doc. 51. 30 de diciembre de 2009. Párr. 82.</w:t>
      </w:r>
    </w:p>
  </w:footnote>
  <w:footnote w:id="89">
    <w:p w:rsidR="008C5D79" w:rsidRPr="005258B5" w:rsidRDefault="008C5D79" w:rsidP="005258B5">
      <w:pPr>
        <w:pStyle w:val="FootnoteText"/>
        <w:spacing w:after="120"/>
        <w:ind w:firstLine="720"/>
        <w:jc w:val="both"/>
        <w:rPr>
          <w:rFonts w:ascii="Cambria" w:hAnsi="Cambria"/>
          <w:color w:val="auto"/>
          <w:sz w:val="16"/>
          <w:szCs w:val="16"/>
        </w:rPr>
      </w:pPr>
      <w:r w:rsidRPr="005258B5">
        <w:rPr>
          <w:rStyle w:val="FootnoteReference"/>
          <w:rFonts w:ascii="Cambria" w:hAnsi="Cambria"/>
          <w:color w:val="auto"/>
          <w:sz w:val="16"/>
          <w:szCs w:val="16"/>
        </w:rPr>
        <w:footnoteRef/>
      </w:r>
      <w:r w:rsidRPr="005258B5">
        <w:rPr>
          <w:rFonts w:ascii="Cambria" w:hAnsi="Cambria"/>
          <w:color w:val="auto"/>
          <w:sz w:val="16"/>
          <w:szCs w:val="16"/>
          <w:lang w:val="es-ES_tradnl"/>
        </w:rPr>
        <w:t xml:space="preserve"> CIDH. Informe sobre Terrorismo y Derechos Humanos. OEA/Ser.L/V/ll.116. </w:t>
      </w:r>
      <w:r w:rsidRPr="005258B5">
        <w:rPr>
          <w:rFonts w:ascii="Cambria" w:hAnsi="Cambria"/>
          <w:color w:val="auto"/>
          <w:sz w:val="16"/>
          <w:szCs w:val="16"/>
        </w:rPr>
        <w:t xml:space="preserve">Doc. 5 rev. 1 corr. 22 octubre 2002, Párr. 329, citando the </w:t>
      </w:r>
      <w:r w:rsidRPr="005258B5">
        <w:rPr>
          <w:rFonts w:ascii="Cambria" w:hAnsi="Cambria"/>
          <w:i/>
          <w:color w:val="auto"/>
          <w:sz w:val="16"/>
          <w:szCs w:val="16"/>
        </w:rPr>
        <w:t>Johannesburg Principles on National Security, Freedom of Expression and Access to Information</w:t>
      </w:r>
      <w:r w:rsidRPr="005258B5">
        <w:rPr>
          <w:rFonts w:ascii="Cambria" w:hAnsi="Cambria"/>
          <w:color w:val="auto"/>
          <w:sz w:val="16"/>
          <w:szCs w:val="16"/>
        </w:rPr>
        <w:t xml:space="preserve">, Principio 2(a).  </w:t>
      </w:r>
    </w:p>
  </w:footnote>
  <w:footnote w:id="90">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pt-BR"/>
        </w:rPr>
        <w:t xml:space="preserve"> CIDH. </w:t>
      </w:r>
      <w:r w:rsidRPr="00237F17">
        <w:rPr>
          <w:rFonts w:ascii="Cambria" w:hAnsi="Cambria"/>
          <w:sz w:val="16"/>
          <w:szCs w:val="16"/>
          <w:lang w:val="pt-BR"/>
        </w:rPr>
        <w:t xml:space="preserve">Informa Anual 1998. Capítulo IV. </w:t>
      </w:r>
      <w:r w:rsidRPr="00237F17">
        <w:rPr>
          <w:rFonts w:ascii="Cambria" w:hAnsi="Cambria"/>
          <w:sz w:val="16"/>
          <w:szCs w:val="16"/>
          <w:lang w:val="es-CO"/>
        </w:rPr>
        <w:t xml:space="preserve">Desarrollo de los derechos humanos en la Región. </w:t>
      </w:r>
      <w:r w:rsidRPr="00237F17">
        <w:rPr>
          <w:rFonts w:ascii="Cambria" w:hAnsi="Cambria"/>
          <w:sz w:val="16"/>
          <w:szCs w:val="16"/>
          <w:lang w:val="es-ES"/>
        </w:rPr>
        <w:t>Cuba</w:t>
      </w:r>
      <w:r w:rsidRPr="005258B5">
        <w:rPr>
          <w:rFonts w:ascii="Cambria" w:hAnsi="Cambria"/>
          <w:color w:val="auto"/>
          <w:sz w:val="16"/>
          <w:szCs w:val="16"/>
          <w:lang w:val="es-ES"/>
        </w:rPr>
        <w:t>. OEA/Ser.L/V/II.102. Doc. 6 rev.  16 abril 1999. Párr. 68.</w:t>
      </w:r>
    </w:p>
  </w:footnote>
  <w:footnote w:id="91">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E32F8E">
        <w:rPr>
          <w:rFonts w:ascii="Cambria" w:hAnsi="Cambria"/>
          <w:color w:val="auto"/>
          <w:sz w:val="16"/>
          <w:szCs w:val="16"/>
          <w:lang w:val="pt-BR"/>
        </w:rPr>
        <w:t xml:space="preserve"> CIDH. </w:t>
      </w:r>
      <w:r w:rsidRPr="00E32F8E">
        <w:rPr>
          <w:rFonts w:ascii="Cambria" w:hAnsi="Cambria"/>
          <w:sz w:val="16"/>
          <w:szCs w:val="16"/>
          <w:lang w:val="pt-BR"/>
        </w:rPr>
        <w:t xml:space="preserve">Informa Anual 1998. Capítulo IV. </w:t>
      </w:r>
      <w:r w:rsidRPr="00237F17">
        <w:rPr>
          <w:rFonts w:ascii="Cambria" w:hAnsi="Cambria"/>
          <w:sz w:val="16"/>
          <w:szCs w:val="16"/>
          <w:lang w:val="es-CO"/>
        </w:rPr>
        <w:t xml:space="preserve">Desarrollo de los derechos humanos en la Región. </w:t>
      </w:r>
      <w:r w:rsidRPr="00237F17">
        <w:rPr>
          <w:rFonts w:ascii="Cambria" w:hAnsi="Cambria"/>
          <w:sz w:val="16"/>
          <w:szCs w:val="16"/>
          <w:lang w:val="es-ES"/>
        </w:rPr>
        <w:t>Cuba</w:t>
      </w:r>
      <w:r w:rsidRPr="005258B5">
        <w:rPr>
          <w:rFonts w:ascii="Cambria" w:hAnsi="Cambria"/>
          <w:color w:val="auto"/>
          <w:sz w:val="16"/>
          <w:szCs w:val="16"/>
          <w:lang w:val="es-ES"/>
        </w:rPr>
        <w:t>. OEA/Ser.L/V/II.102. Doc. 6 rev.  16 abril 1999. Párr. 69.</w:t>
      </w:r>
    </w:p>
  </w:footnote>
  <w:footnote w:id="92">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pt-BR"/>
        </w:rPr>
        <w:t xml:space="preserve"> CIDH. </w:t>
      </w:r>
      <w:r w:rsidRPr="00237F17">
        <w:rPr>
          <w:rFonts w:ascii="Cambria" w:hAnsi="Cambria"/>
          <w:sz w:val="16"/>
          <w:szCs w:val="16"/>
          <w:lang w:val="pt-BR"/>
        </w:rPr>
        <w:t xml:space="preserve">Informa Anual 1998. Capítulo IV. </w:t>
      </w:r>
      <w:r w:rsidRPr="00237F17">
        <w:rPr>
          <w:rFonts w:ascii="Cambria" w:hAnsi="Cambria"/>
          <w:sz w:val="16"/>
          <w:szCs w:val="16"/>
          <w:lang w:val="es-ES"/>
        </w:rPr>
        <w:t>Desarro</w:t>
      </w:r>
      <w:r w:rsidRPr="00237F17">
        <w:rPr>
          <w:rFonts w:ascii="Cambria" w:hAnsi="Cambria"/>
          <w:sz w:val="16"/>
          <w:szCs w:val="16"/>
          <w:lang w:val="es-CO"/>
        </w:rPr>
        <w:t xml:space="preserve">llo de los derechos humanos en la Región. </w:t>
      </w:r>
      <w:r w:rsidRPr="00237F17">
        <w:rPr>
          <w:rFonts w:ascii="Cambria" w:hAnsi="Cambria"/>
          <w:sz w:val="16"/>
          <w:szCs w:val="16"/>
          <w:lang w:val="es-ES"/>
        </w:rPr>
        <w:t>Cuba</w:t>
      </w:r>
      <w:r w:rsidRPr="005258B5">
        <w:rPr>
          <w:rFonts w:ascii="Cambria" w:hAnsi="Cambria"/>
          <w:color w:val="auto"/>
          <w:sz w:val="16"/>
          <w:szCs w:val="16"/>
          <w:lang w:val="es-ES"/>
        </w:rPr>
        <w:t xml:space="preserve">. OEA/Ser.L/V/II.102. Doc. 6 rev.  16 abril 1999. Párr. 23. </w:t>
      </w:r>
    </w:p>
  </w:footnote>
  <w:footnote w:id="93">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w:t>
      </w:r>
      <w:r w:rsidRPr="005258B5">
        <w:rPr>
          <w:rFonts w:ascii="Cambria" w:hAnsi="Cambria"/>
          <w:color w:val="auto"/>
          <w:sz w:val="16"/>
          <w:szCs w:val="16"/>
          <w:lang w:val="es-AR"/>
        </w:rPr>
        <w:t>CIDH</w:t>
      </w:r>
      <w:r w:rsidRPr="005258B5">
        <w:rPr>
          <w:rFonts w:ascii="Cambria" w:hAnsi="Cambria"/>
          <w:color w:val="auto"/>
          <w:sz w:val="16"/>
          <w:szCs w:val="16"/>
          <w:lang w:val="es-UY"/>
        </w:rPr>
        <w:t xml:space="preserve">. </w:t>
      </w:r>
      <w:r w:rsidRPr="00237F17">
        <w:rPr>
          <w:rFonts w:ascii="Cambria" w:hAnsi="Cambria"/>
          <w:sz w:val="16"/>
          <w:szCs w:val="16"/>
          <w:lang w:val="es-UY"/>
        </w:rPr>
        <w:t>Informe Anual 2009. Informe de la Relatoría Especial para la Libertad de Expresión</w:t>
      </w:r>
      <w:r w:rsidRPr="005258B5">
        <w:rPr>
          <w:rFonts w:ascii="Cambria" w:hAnsi="Cambria"/>
          <w:color w:val="auto"/>
          <w:sz w:val="16"/>
          <w:szCs w:val="16"/>
          <w:lang w:val="es-UY"/>
        </w:rPr>
        <w:t xml:space="preserve">. </w:t>
      </w:r>
      <w:r w:rsidRPr="005258B5">
        <w:rPr>
          <w:rFonts w:ascii="Cambria" w:hAnsi="Cambria"/>
          <w:color w:val="auto"/>
          <w:sz w:val="16"/>
          <w:szCs w:val="16"/>
          <w:lang w:val="es-ES_tradnl"/>
        </w:rPr>
        <w:t>Capítulo III (Marco Jurídico Interamericano del Derecho a la Libertad de Expresión). OEA/Ser.L/V/II. Doc. 51. 30 de diciembre de 2009.</w:t>
      </w:r>
    </w:p>
  </w:footnote>
  <w:footnote w:id="94">
    <w:p w:rsidR="008C5D79" w:rsidRPr="005258B5" w:rsidRDefault="008C5D79" w:rsidP="005258B5">
      <w:pPr>
        <w:pStyle w:val="FootnoteText"/>
        <w:spacing w:after="120"/>
        <w:ind w:firstLine="720"/>
        <w:jc w:val="both"/>
        <w:rPr>
          <w:rFonts w:ascii="Cambria" w:hAnsi="Cambria"/>
          <w:color w:val="auto"/>
          <w:sz w:val="16"/>
          <w:szCs w:val="16"/>
          <w:lang w:val="es-US"/>
        </w:rPr>
      </w:pPr>
      <w:r w:rsidRPr="005258B5">
        <w:rPr>
          <w:rStyle w:val="FootnoteReference"/>
          <w:rFonts w:ascii="Cambria" w:hAnsi="Cambria"/>
          <w:color w:val="auto"/>
          <w:sz w:val="16"/>
          <w:szCs w:val="16"/>
        </w:rPr>
        <w:footnoteRef/>
      </w:r>
      <w:r w:rsidRPr="005258B5">
        <w:rPr>
          <w:rFonts w:ascii="Cambria" w:hAnsi="Cambria"/>
          <w:color w:val="auto"/>
          <w:sz w:val="16"/>
          <w:szCs w:val="16"/>
          <w:lang w:val="es-US"/>
        </w:rPr>
        <w:t xml:space="preserve"> </w:t>
      </w:r>
      <w:r w:rsidRPr="005258B5">
        <w:rPr>
          <w:rFonts w:ascii="Cambria" w:hAnsi="Cambria" w:cs="Arial"/>
          <w:color w:val="auto"/>
          <w:sz w:val="16"/>
          <w:szCs w:val="16"/>
          <w:lang w:val="es-ES"/>
        </w:rPr>
        <w:t xml:space="preserve">Al respecto, ver los siguientes casos del Tribunal </w:t>
      </w:r>
      <w:r w:rsidRPr="005258B5">
        <w:rPr>
          <w:rFonts w:ascii="Cambria" w:hAnsi="Cambria" w:cs="Arial"/>
          <w:color w:val="auto"/>
          <w:sz w:val="16"/>
          <w:szCs w:val="16"/>
          <w:lang w:val="es-ES_tradnl"/>
        </w:rPr>
        <w:t xml:space="preserve">Europeo de Derechos Humanos: </w:t>
      </w:r>
      <w:r w:rsidRPr="005258B5">
        <w:rPr>
          <w:rFonts w:ascii="Cambria" w:hAnsi="Cambria" w:cs="Arial"/>
          <w:color w:val="auto"/>
          <w:sz w:val="16"/>
          <w:szCs w:val="16"/>
          <w:lang w:val="es-ES"/>
        </w:rPr>
        <w:t xml:space="preserve">Karatas v. Turquía [GC], no. 23168/94. ECHR 1999-IV; Gerger v.Turquía [GC], no. 24919/94, 8 de julio de 1999; Okçuoglu v. Turquía [GC], no. 24246/94, 8 de julio de 1999; Arslan v. Turquía [GC], no. 23462/94, 8 de julio de 1999, Erdogdu v. Tuquía, no. 25723/94, § 69, ECHR 2000 – VI. Asimismo: </w:t>
      </w:r>
      <w:r w:rsidRPr="005258B5">
        <w:rPr>
          <w:rFonts w:ascii="Cambria" w:hAnsi="Cambria" w:cs="Arial"/>
          <w:color w:val="auto"/>
          <w:sz w:val="16"/>
          <w:szCs w:val="16"/>
          <w:lang w:val="es-ES_tradnl"/>
        </w:rPr>
        <w:t xml:space="preserve">Corte I.D.H., </w:t>
      </w:r>
      <w:r w:rsidRPr="005258B5">
        <w:rPr>
          <w:rFonts w:ascii="Cambria" w:hAnsi="Cambria" w:cs="Arial"/>
          <w:i/>
          <w:iCs/>
          <w:color w:val="auto"/>
          <w:sz w:val="16"/>
          <w:szCs w:val="16"/>
          <w:lang w:val="es-ES"/>
        </w:rPr>
        <w:t>La Colegiación Obligatoria de Periodistas</w:t>
      </w:r>
      <w:r w:rsidRPr="005258B5">
        <w:rPr>
          <w:rFonts w:ascii="Cambria" w:hAnsi="Cambria" w:cs="Arial"/>
          <w:iCs/>
          <w:color w:val="auto"/>
          <w:sz w:val="16"/>
          <w:szCs w:val="16"/>
          <w:lang w:val="es-ES"/>
        </w:rPr>
        <w:t xml:space="preserve"> (arts. 13 y 29 Convención Americana sobre Derechos Humanos). Opinión Consultiva OC-5/85</w:t>
      </w:r>
      <w:r w:rsidRPr="005258B5">
        <w:rPr>
          <w:rFonts w:ascii="Cambria" w:hAnsi="Cambria" w:cs="Arial"/>
          <w:i/>
          <w:iCs/>
          <w:color w:val="auto"/>
          <w:sz w:val="16"/>
          <w:szCs w:val="16"/>
          <w:lang w:val="es-ES"/>
        </w:rPr>
        <w:t xml:space="preserve"> </w:t>
      </w:r>
      <w:r w:rsidRPr="005258B5">
        <w:rPr>
          <w:rFonts w:ascii="Cambria" w:hAnsi="Cambria" w:cs="Arial"/>
          <w:color w:val="auto"/>
          <w:sz w:val="16"/>
          <w:szCs w:val="16"/>
          <w:lang w:val="es-ES"/>
        </w:rPr>
        <w:t>del 13 de noviembre de 1985. Serie A No. 5, párr. 77.</w:t>
      </w:r>
    </w:p>
  </w:footnote>
  <w:footnote w:id="95">
    <w:p w:rsidR="008C5D79" w:rsidRPr="005258B5" w:rsidRDefault="008C5D79" w:rsidP="005258B5">
      <w:pPr>
        <w:pStyle w:val="FootnoteText"/>
        <w:spacing w:after="120"/>
        <w:ind w:firstLine="720"/>
        <w:jc w:val="both"/>
        <w:rPr>
          <w:rFonts w:ascii="Cambria" w:hAnsi="Cambria"/>
          <w:color w:val="auto"/>
          <w:sz w:val="16"/>
          <w:szCs w:val="16"/>
          <w:lang w:val="es-ES_tradnl"/>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w:t>
      </w:r>
      <w:r w:rsidRPr="005258B5">
        <w:rPr>
          <w:rFonts w:ascii="Cambria" w:hAnsi="Cambria"/>
          <w:color w:val="auto"/>
          <w:sz w:val="16"/>
          <w:szCs w:val="16"/>
          <w:lang w:val="es-AR"/>
        </w:rPr>
        <w:t>CIDH</w:t>
      </w:r>
      <w:r w:rsidRPr="005258B5">
        <w:rPr>
          <w:rFonts w:ascii="Cambria" w:hAnsi="Cambria"/>
          <w:color w:val="auto"/>
          <w:sz w:val="16"/>
          <w:szCs w:val="16"/>
          <w:lang w:val="es-UY"/>
        </w:rPr>
        <w:t xml:space="preserve">. </w:t>
      </w:r>
      <w:r w:rsidRPr="00237F17">
        <w:rPr>
          <w:rFonts w:ascii="Cambria" w:hAnsi="Cambria"/>
          <w:sz w:val="16"/>
          <w:szCs w:val="16"/>
          <w:lang w:val="es-UY"/>
        </w:rPr>
        <w:t>Informe Anual 2009. Informe de la Relatoría Especial para la Libertad de Expresión</w:t>
      </w:r>
      <w:r w:rsidRPr="005258B5">
        <w:rPr>
          <w:rFonts w:ascii="Cambria" w:hAnsi="Cambria"/>
          <w:color w:val="auto"/>
          <w:sz w:val="16"/>
          <w:szCs w:val="16"/>
          <w:lang w:val="es-UY"/>
        </w:rPr>
        <w:t xml:space="preserve">. </w:t>
      </w:r>
      <w:r w:rsidRPr="005258B5">
        <w:rPr>
          <w:rFonts w:ascii="Cambria" w:hAnsi="Cambria"/>
          <w:color w:val="auto"/>
          <w:sz w:val="16"/>
          <w:szCs w:val="16"/>
          <w:lang w:val="es-ES_tradnl"/>
        </w:rPr>
        <w:t xml:space="preserve">Capítulo III (Marco Jurídico Interamericano del Derecho a la Libertad de Expresión). OEA/Ser.L/V/II. Doc. 51. 30 de diciembre de 2009. Párr. 82. </w:t>
      </w:r>
    </w:p>
  </w:footnote>
  <w:footnote w:id="96">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_tradnl"/>
        </w:rPr>
        <w:t xml:space="preserve"> Véase, por ejemplo, Corte I.D.H., Caso Kimel Vs. </w:t>
      </w:r>
      <w:r w:rsidRPr="005258B5">
        <w:rPr>
          <w:rFonts w:ascii="Cambria" w:hAnsi="Cambria"/>
          <w:color w:val="auto"/>
          <w:sz w:val="16"/>
          <w:szCs w:val="16"/>
          <w:lang w:val="es-ES"/>
        </w:rPr>
        <w:t>Argentina. Sentencia de 2 de mayo de 2008. Serie C No. 177, párrs. 86-88.</w:t>
      </w:r>
    </w:p>
  </w:footnote>
  <w:footnote w:id="97">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CIDH, Informe sobre Terrorismo y Derechos Humanos, OEA/Ser.L/V/II.116.Doc.5 rev.1, 22 de octubre de 2002, párr. 120.</w:t>
      </w:r>
    </w:p>
  </w:footnote>
  <w:footnote w:id="98">
    <w:p w:rsidR="008C5D79" w:rsidRPr="005258B5" w:rsidRDefault="008C5D79" w:rsidP="005258B5">
      <w:pPr>
        <w:pStyle w:val="FootnoteText"/>
        <w:tabs>
          <w:tab w:val="left" w:pos="1657"/>
        </w:tabs>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Fiscalía de la República. Escrito de conclusiones provisionales acusatorias. Expediente de Fase preparatoria No. 39-97. D.S.E. 16 de septiembre de 1998.</w:t>
      </w:r>
    </w:p>
  </w:footnote>
  <w:footnote w:id="99">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Véase, Asamblea Nacional del Poder Popular de la República de Cuba. Ley de Procedimiento  Penal de la República de Cuba. Julio 1977. Artículo 252.</w:t>
      </w:r>
    </w:p>
  </w:footnote>
  <w:footnote w:id="100">
    <w:p w:rsidR="008C5D79" w:rsidRPr="00E32F8E" w:rsidRDefault="008C5D79" w:rsidP="00034A73">
      <w:pPr>
        <w:pStyle w:val="FootnoteText"/>
        <w:tabs>
          <w:tab w:val="left" w:pos="706"/>
        </w:tabs>
        <w:spacing w:after="120"/>
        <w:ind w:firstLine="720"/>
        <w:jc w:val="both"/>
        <w:rPr>
          <w:rFonts w:ascii="Cambria" w:hAnsi="Cambria"/>
          <w:color w:val="auto"/>
          <w:sz w:val="16"/>
          <w:szCs w:val="16"/>
          <w:lang w:val="pt-BR"/>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CIDH. Principios y buenas prácticas sobre la protección de las personas privadas de libertad en las Américas. </w:t>
      </w:r>
      <w:r w:rsidRPr="00034A73">
        <w:rPr>
          <w:rFonts w:ascii="Cambria" w:hAnsi="Cambria"/>
          <w:color w:val="auto"/>
          <w:sz w:val="16"/>
          <w:szCs w:val="16"/>
          <w:lang w:val="es-ES"/>
        </w:rPr>
        <w:t>Adoptados por la Comisión durante el 131º período ordinario de sesiones, celebrado del 3 al 14 de marzo de 2008</w:t>
      </w:r>
      <w:r>
        <w:rPr>
          <w:rFonts w:ascii="Cambria" w:hAnsi="Cambria"/>
          <w:color w:val="auto"/>
          <w:sz w:val="16"/>
          <w:szCs w:val="16"/>
          <w:lang w:val="es-ES"/>
        </w:rPr>
        <w:t xml:space="preserve">. </w:t>
      </w:r>
      <w:r w:rsidRPr="00E32F8E">
        <w:rPr>
          <w:rFonts w:ascii="Cambria" w:hAnsi="Cambria"/>
          <w:color w:val="auto"/>
          <w:sz w:val="16"/>
          <w:szCs w:val="16"/>
          <w:lang w:val="pt-BR"/>
        </w:rPr>
        <w:t>(OEA/Ser/L/V/II.131 doc. 26).</w:t>
      </w:r>
      <w:r w:rsidRPr="00E32F8E">
        <w:rPr>
          <w:rFonts w:ascii="Cambria" w:hAnsi="Cambria"/>
          <w:color w:val="auto"/>
          <w:sz w:val="16"/>
          <w:szCs w:val="16"/>
          <w:lang w:val="pt-BR"/>
        </w:rPr>
        <w:tab/>
      </w:r>
    </w:p>
  </w:footnote>
  <w:footnote w:id="101">
    <w:p w:rsidR="008C5D79" w:rsidRPr="005258B5" w:rsidRDefault="008C5D79" w:rsidP="00034A73">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E32F8E">
        <w:rPr>
          <w:rFonts w:ascii="Cambria" w:hAnsi="Cambria"/>
          <w:color w:val="auto"/>
          <w:sz w:val="16"/>
          <w:szCs w:val="16"/>
          <w:lang w:val="pt-BR"/>
        </w:rPr>
        <w:t xml:space="preserve"> CIDH, Informe No. 71/15, Caso 12.879. </w:t>
      </w:r>
      <w:r w:rsidRPr="005258B5">
        <w:rPr>
          <w:rFonts w:ascii="Cambria" w:hAnsi="Cambria"/>
          <w:color w:val="auto"/>
          <w:sz w:val="16"/>
          <w:szCs w:val="16"/>
          <w:lang w:val="es-ES"/>
        </w:rPr>
        <w:t>Fondo. Vladimir Herzog y otros. Brasil. 28 de octubre de 2015. Párr. 149.</w:t>
      </w:r>
    </w:p>
  </w:footnote>
  <w:footnote w:id="102">
    <w:p w:rsidR="008C5D79" w:rsidRPr="005258B5" w:rsidRDefault="008C5D79" w:rsidP="00034A73">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CIDH, Informe sobre Terrorismo y Derechos Humanos, OEA/Ser.L/V/II.116.Doc.5 rev.1, 22 de octubre de 2002, párr. 223.</w:t>
      </w:r>
    </w:p>
  </w:footnote>
  <w:footnote w:id="103">
    <w:p w:rsidR="008C5D79" w:rsidRPr="005258B5" w:rsidRDefault="008C5D79" w:rsidP="00034A73">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CIDH, Informe sobre Terrorismo y Derechos Humanos, OEA/Ser.L/V/II.116.Doc.5 rev.1, 22 de octubre de 2002, párr. 235.</w:t>
      </w:r>
    </w:p>
  </w:footnote>
  <w:footnote w:id="104">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CIDH, Informe sobre Terrorismo y Derechos Humanos, OEA/Ser.L/V/II.116.Doc.5 rev.1, 22 de octubre de 2002, párr. 184.</w:t>
      </w:r>
    </w:p>
  </w:footnote>
  <w:footnote w:id="105">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CIDH, Informe sobre Terrorismo y Derechos Humanos, OEA/Ser.L/V/II.116.Doc.5 rev.1, 22 de octubre de 2002, párr. 161.</w:t>
      </w:r>
    </w:p>
  </w:footnote>
  <w:footnote w:id="106">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CIDH. Informe sobre el Uso de la Prisión Preventiva en las Américas. OEA/Ser.L/V/II. Doc. 46/13 30 diciembre 2013. Párr. 280.</w:t>
      </w:r>
    </w:p>
  </w:footnote>
  <w:footnote w:id="107">
    <w:p w:rsidR="008C5D79" w:rsidRPr="005258B5" w:rsidRDefault="008C5D79" w:rsidP="005258B5">
      <w:pPr>
        <w:pStyle w:val="FootnoteText"/>
        <w:spacing w:after="120"/>
        <w:ind w:firstLine="720"/>
        <w:jc w:val="both"/>
        <w:rPr>
          <w:rFonts w:ascii="Cambria" w:hAnsi="Cambria"/>
          <w:color w:val="auto"/>
          <w:sz w:val="16"/>
          <w:szCs w:val="16"/>
          <w:lang w:val="es-ES"/>
        </w:rPr>
      </w:pPr>
      <w:r w:rsidRPr="005258B5">
        <w:rPr>
          <w:rStyle w:val="FootnoteReference"/>
          <w:rFonts w:ascii="Cambria" w:hAnsi="Cambria"/>
          <w:color w:val="auto"/>
          <w:sz w:val="16"/>
          <w:szCs w:val="16"/>
        </w:rPr>
        <w:footnoteRef/>
      </w:r>
      <w:r w:rsidRPr="005258B5">
        <w:rPr>
          <w:rFonts w:ascii="Cambria" w:hAnsi="Cambria"/>
          <w:color w:val="auto"/>
          <w:sz w:val="16"/>
          <w:szCs w:val="16"/>
          <w:lang w:val="es-ES"/>
        </w:rPr>
        <w:t xml:space="preserve"> Principios y Buenas Prácticas sobre la Protección de las Personas Privadas de Libertad en las Américas. </w:t>
      </w:r>
      <w:r w:rsidRPr="005258B5">
        <w:rPr>
          <w:rFonts w:ascii="Cambria" w:hAnsi="Cambria" w:cs="Tahoma"/>
          <w:color w:val="auto"/>
          <w:sz w:val="16"/>
          <w:szCs w:val="16"/>
          <w:shd w:val="clear" w:color="auto" w:fill="FFFFFF"/>
          <w:lang w:val="es-ES"/>
        </w:rPr>
        <w:t>Adoptados por la Comisión durante el 131º período ordinario de sesiones, celebrado del 3 al 14 de marzo de 2008,</w:t>
      </w:r>
      <w:r w:rsidRPr="005258B5">
        <w:rPr>
          <w:rFonts w:ascii="Cambria" w:hAnsi="Cambria"/>
          <w:color w:val="auto"/>
          <w:sz w:val="16"/>
          <w:szCs w:val="16"/>
          <w:lang w:val="es-ES"/>
        </w:rPr>
        <w:t xml:space="preserve"> </w:t>
      </w:r>
      <w:r w:rsidRPr="00034A73">
        <w:rPr>
          <w:rFonts w:ascii="Cambria" w:hAnsi="Cambria"/>
          <w:color w:val="auto"/>
          <w:sz w:val="16"/>
          <w:szCs w:val="16"/>
          <w:lang w:val="es-ES"/>
        </w:rPr>
        <w:t>(OEA/Ser/L/V/II.131 doc. 26)</w:t>
      </w:r>
      <w:r>
        <w:rPr>
          <w:rFonts w:ascii="Cambria" w:hAnsi="Cambria"/>
          <w:color w:val="auto"/>
          <w:sz w:val="16"/>
          <w:szCs w:val="16"/>
          <w:lang w:val="es-ES"/>
        </w:rPr>
        <w:t xml:space="preserve">, </w:t>
      </w:r>
      <w:r w:rsidRPr="005258B5">
        <w:rPr>
          <w:rFonts w:ascii="Cambria" w:hAnsi="Cambria" w:cs="Tahoma"/>
          <w:bCs/>
          <w:color w:val="auto"/>
          <w:sz w:val="16"/>
          <w:szCs w:val="16"/>
          <w:shd w:val="clear" w:color="auto" w:fill="FFFFFF"/>
          <w:lang w:val="es-ES"/>
        </w:rPr>
        <w:t>Principio XIX.</w:t>
      </w:r>
    </w:p>
  </w:footnote>
  <w:footnote w:id="108">
    <w:p w:rsidR="008C5D79" w:rsidRPr="005258B5" w:rsidRDefault="008C5D79" w:rsidP="005258B5">
      <w:pPr>
        <w:pStyle w:val="NormalWeb"/>
        <w:shd w:val="clear" w:color="auto" w:fill="FFFFFF"/>
        <w:spacing w:before="0" w:beforeAutospacing="0" w:after="120" w:afterAutospacing="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es-ES"/>
        </w:rPr>
        <w:t xml:space="preserve"> Principios y Buenas Prácticas sobre la Protección de las Personas Privadas de Libertad en las Américas, </w:t>
      </w:r>
      <w:r w:rsidRPr="005258B5">
        <w:rPr>
          <w:rFonts w:ascii="Cambria" w:hAnsi="Cambria" w:cs="Tahoma"/>
          <w:sz w:val="16"/>
          <w:szCs w:val="16"/>
          <w:shd w:val="clear" w:color="auto" w:fill="FFFFFF"/>
          <w:lang w:val="es-ES"/>
        </w:rPr>
        <w:t>Adoptados por la Comisión durante el 131º período ordinario de sesiones, celebrado del 3 al 14 de marzo de 2008,</w:t>
      </w:r>
      <w:r w:rsidRPr="005258B5">
        <w:rPr>
          <w:rFonts w:ascii="Cambria" w:hAnsi="Cambria"/>
          <w:sz w:val="16"/>
          <w:szCs w:val="16"/>
          <w:lang w:val="es-ES"/>
        </w:rPr>
        <w:t xml:space="preserve"> </w:t>
      </w:r>
      <w:r w:rsidRPr="00034A73">
        <w:rPr>
          <w:rFonts w:ascii="Cambria" w:hAnsi="Cambria"/>
          <w:sz w:val="16"/>
          <w:szCs w:val="16"/>
          <w:lang w:val="es-ES"/>
        </w:rPr>
        <w:t>(OEA/Ser/L/V/II.131 doc. 26)</w:t>
      </w:r>
      <w:r>
        <w:rPr>
          <w:rFonts w:ascii="Cambria" w:hAnsi="Cambria"/>
          <w:sz w:val="16"/>
          <w:szCs w:val="16"/>
          <w:lang w:val="es-ES"/>
        </w:rPr>
        <w:t xml:space="preserve">, </w:t>
      </w:r>
      <w:r w:rsidRPr="005258B5">
        <w:rPr>
          <w:rFonts w:ascii="Cambria" w:eastAsia="Times New Roman" w:hAnsi="Cambria" w:cs="Tahoma"/>
          <w:bCs/>
          <w:sz w:val="16"/>
          <w:szCs w:val="16"/>
          <w:lang w:val="es-ES"/>
        </w:rPr>
        <w:t>Principio X.</w:t>
      </w:r>
    </w:p>
  </w:footnote>
  <w:footnote w:id="109">
    <w:p w:rsidR="008C5D79" w:rsidRPr="00E32F8E" w:rsidRDefault="008C5D79" w:rsidP="005258B5">
      <w:pPr>
        <w:pStyle w:val="FootnoteText"/>
        <w:spacing w:after="120"/>
        <w:ind w:firstLine="720"/>
        <w:jc w:val="both"/>
        <w:rPr>
          <w:rFonts w:ascii="Cambria" w:hAnsi="Cambria"/>
          <w:sz w:val="16"/>
          <w:szCs w:val="16"/>
          <w:lang w:val="es-ES"/>
        </w:rPr>
      </w:pPr>
      <w:r w:rsidRPr="005258B5">
        <w:rPr>
          <w:rStyle w:val="FootnoteReference"/>
          <w:rFonts w:ascii="Cambria" w:hAnsi="Cambria"/>
          <w:sz w:val="16"/>
          <w:szCs w:val="16"/>
        </w:rPr>
        <w:footnoteRef/>
      </w:r>
      <w:r w:rsidRPr="005258B5">
        <w:rPr>
          <w:rFonts w:ascii="Cambria" w:hAnsi="Cambria"/>
          <w:sz w:val="16"/>
          <w:szCs w:val="16"/>
          <w:lang w:val="pt-BR"/>
        </w:rPr>
        <w:t xml:space="preserve"> </w:t>
      </w:r>
      <w:r w:rsidRPr="005258B5">
        <w:rPr>
          <w:rFonts w:ascii="Cambria" w:hAnsi="Cambria"/>
          <w:color w:val="auto"/>
          <w:sz w:val="16"/>
          <w:szCs w:val="16"/>
          <w:lang w:val="pt-BR"/>
        </w:rPr>
        <w:t xml:space="preserve">CIDH. </w:t>
      </w:r>
      <w:r w:rsidRPr="00034A73">
        <w:rPr>
          <w:rFonts w:ascii="Cambria" w:hAnsi="Cambria"/>
          <w:sz w:val="16"/>
          <w:szCs w:val="16"/>
          <w:lang w:val="pt-BR"/>
        </w:rPr>
        <w:t xml:space="preserve">Informa Anual 1998. Capítulo IV. </w:t>
      </w:r>
      <w:r w:rsidRPr="00034A73">
        <w:rPr>
          <w:rFonts w:ascii="Cambria" w:hAnsi="Cambria"/>
          <w:sz w:val="16"/>
          <w:szCs w:val="16"/>
          <w:lang w:val="es-ES"/>
        </w:rPr>
        <w:t>Desarro</w:t>
      </w:r>
      <w:r w:rsidRPr="00034A73">
        <w:rPr>
          <w:rFonts w:ascii="Cambria" w:hAnsi="Cambria"/>
          <w:sz w:val="16"/>
          <w:szCs w:val="16"/>
          <w:lang w:val="es-CO"/>
        </w:rPr>
        <w:t xml:space="preserve">llo de los derechos humanos en la Región. </w:t>
      </w:r>
      <w:r w:rsidRPr="00034A73">
        <w:rPr>
          <w:rFonts w:ascii="Cambria" w:hAnsi="Cambria"/>
          <w:sz w:val="16"/>
          <w:szCs w:val="16"/>
          <w:lang w:val="es-ES"/>
        </w:rPr>
        <w:t>Cuba</w:t>
      </w:r>
      <w:r w:rsidRPr="005258B5">
        <w:rPr>
          <w:rFonts w:ascii="Cambria" w:hAnsi="Cambria"/>
          <w:color w:val="auto"/>
          <w:sz w:val="16"/>
          <w:szCs w:val="16"/>
          <w:lang w:val="es-ES"/>
        </w:rPr>
        <w:t>. OEA/Ser.L/V/II.102. Doc. 6 rev.  16 abril 1999. Párr.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79" w:rsidRDefault="008C5D79" w:rsidP="00B31DB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C5D79" w:rsidRDefault="008C5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79" w:rsidRDefault="008C5D79" w:rsidP="00A50FCF">
    <w:pPr>
      <w:pStyle w:val="Header"/>
      <w:tabs>
        <w:tab w:val="clear" w:pos="4320"/>
        <w:tab w:val="clear" w:pos="8640"/>
      </w:tabs>
      <w:jc w:val="center"/>
      <w:rPr>
        <w:sz w:val="22"/>
        <w:szCs w:val="22"/>
      </w:rPr>
    </w:pPr>
    <w:r>
      <w:rPr>
        <w:noProof/>
        <w:sz w:val="22"/>
        <w:szCs w:val="22"/>
      </w:rPr>
      <w:drawing>
        <wp:inline distT="0" distB="0" distL="0" distR="0" wp14:anchorId="431CDCFE" wp14:editId="4556CEC5">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8C5D79" w:rsidRPr="00EC7D62" w:rsidRDefault="00DE07C8" w:rsidP="00A50FCF">
    <w:pPr>
      <w:pStyle w:val="Header"/>
      <w:tabs>
        <w:tab w:val="clear" w:pos="4320"/>
        <w:tab w:val="clear" w:pos="8640"/>
      </w:tabs>
      <w:jc w:val="center"/>
      <w:rPr>
        <w:sz w:val="22"/>
        <w:szCs w:val="22"/>
      </w:rPr>
    </w:pPr>
    <w:r>
      <w:rPr>
        <w:sz w:val="22"/>
        <w:szCs w:val="22"/>
      </w:rPr>
      <w:pict w14:anchorId="7442A292">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717" w:rsidRDefault="00BB47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B66"/>
    <w:multiLevelType w:val="hybridMultilevel"/>
    <w:tmpl w:val="6A6E934C"/>
    <w:lvl w:ilvl="0" w:tplc="6D5CE7FA">
      <w:start w:val="1"/>
      <w:numFmt w:val="decimal"/>
      <w:pStyle w:val="PrrafodeSentencia"/>
      <w:lvlText w:val="%1."/>
      <w:lvlJc w:val="left"/>
      <w:pPr>
        <w:ind w:left="5130" w:hanging="360"/>
      </w:pPr>
      <w:rPr>
        <w:rFonts w:hint="default"/>
        <w:b w:val="0"/>
        <w:i w:val="0"/>
        <w:strike w:val="0"/>
        <w:color w:val="auto"/>
        <w:sz w:val="20"/>
        <w:szCs w:val="20"/>
        <w:vertAlign w:val="baseline"/>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20309"/>
    <w:multiLevelType w:val="hybridMultilevel"/>
    <w:tmpl w:val="FDDA35BE"/>
    <w:lvl w:ilvl="0" w:tplc="4BCE6B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234145C"/>
    <w:multiLevelType w:val="hybridMultilevel"/>
    <w:tmpl w:val="597C57C8"/>
    <w:lvl w:ilvl="0" w:tplc="2F567A38">
      <w:start w:val="1"/>
      <w:numFmt w:val="decimal"/>
      <w:pStyle w:val="Style9"/>
      <w:lvlText w:val="%1."/>
      <w:lvlJc w:val="left"/>
      <w:pPr>
        <w:tabs>
          <w:tab w:val="num" w:pos="1440"/>
        </w:tabs>
        <w:ind w:left="1440" w:hanging="720"/>
      </w:pPr>
      <w:rPr>
        <w:rFonts w:ascii="Verdana" w:hAnsi="Verdana" w:hint="default"/>
        <w:b/>
        <w:sz w:val="2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9050020"/>
    <w:multiLevelType w:val="hybridMultilevel"/>
    <w:tmpl w:val="C1EAAED2"/>
    <w:lvl w:ilvl="0" w:tplc="5D9695AE">
      <w:start w:val="1"/>
      <w:numFmt w:val="decimal"/>
      <w:lvlText w:val="%1."/>
      <w:lvlJc w:val="left"/>
      <w:pPr>
        <w:tabs>
          <w:tab w:val="num" w:pos="1440"/>
        </w:tabs>
        <w:ind w:left="0" w:firstLine="720"/>
      </w:pPr>
      <w:rPr>
        <w:rFonts w:ascii="Cambria" w:hAnsi="Cambria" w:hint="default"/>
        <w:b w:val="0"/>
        <w:i w:val="0"/>
        <w:sz w:val="20"/>
        <w:szCs w:val="20"/>
      </w:rPr>
    </w:lvl>
    <w:lvl w:ilvl="1" w:tplc="4D2E502A">
      <w:start w:val="1"/>
      <w:numFmt w:val="lowerLetter"/>
      <w:lvlText w:val="%2)"/>
      <w:lvlJc w:val="left"/>
      <w:pPr>
        <w:tabs>
          <w:tab w:val="num" w:pos="1080"/>
        </w:tabs>
        <w:ind w:left="1080" w:hanging="360"/>
      </w:pPr>
      <w:rPr>
        <w:rFonts w:hint="default"/>
        <w:b/>
        <w:i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F3CEE934">
      <w:start w:val="2"/>
      <w:numFmt w:val="upperLetter"/>
      <w:lvlText w:val="%6."/>
      <w:lvlJc w:val="left"/>
      <w:pPr>
        <w:tabs>
          <w:tab w:val="num" w:pos="4500"/>
        </w:tabs>
        <w:ind w:left="4500" w:hanging="360"/>
      </w:pPr>
      <w:rPr>
        <w:rFonts w:ascii="Times New Roman" w:hAnsi="Times New Roman"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B86631"/>
    <w:multiLevelType w:val="hybridMultilevel"/>
    <w:tmpl w:val="85DE234E"/>
    <w:lvl w:ilvl="0" w:tplc="A90EED7C">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322DE8"/>
    <w:multiLevelType w:val="singleLevel"/>
    <w:tmpl w:val="AE1CE566"/>
    <w:lvl w:ilvl="0">
      <w:start w:val="1"/>
      <w:numFmt w:val="upperRoman"/>
      <w:lvlText w:val="%1."/>
      <w:lvlJc w:val="left"/>
      <w:pPr>
        <w:tabs>
          <w:tab w:val="num" w:pos="1440"/>
        </w:tabs>
        <w:ind w:left="1440" w:hanging="720"/>
      </w:pPr>
      <w:rPr>
        <w:rFonts w:ascii="Cambria" w:hAnsi="Cambria" w:hint="default"/>
        <w:i w:val="0"/>
        <w:sz w:val="20"/>
        <w:szCs w:val="20"/>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8CC2D7A"/>
    <w:multiLevelType w:val="hybridMultilevel"/>
    <w:tmpl w:val="64A2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4F3E5A"/>
    <w:multiLevelType w:val="hybridMultilevel"/>
    <w:tmpl w:val="7F8463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nsid w:val="3C862736"/>
    <w:multiLevelType w:val="hybridMultilevel"/>
    <w:tmpl w:val="7F8463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F44FB2"/>
    <w:multiLevelType w:val="hybridMultilevel"/>
    <w:tmpl w:val="2B72FF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F1B2318"/>
    <w:multiLevelType w:val="hybridMultilevel"/>
    <w:tmpl w:val="7F8463B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9757AD4"/>
    <w:multiLevelType w:val="hybridMultilevel"/>
    <w:tmpl w:val="64A2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nsid w:val="6C280DDF"/>
    <w:multiLevelType w:val="hybridMultilevel"/>
    <w:tmpl w:val="6C74F68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61"/>
  </w:num>
  <w:num w:numId="4">
    <w:abstractNumId w:val="25"/>
  </w:num>
  <w:num w:numId="5">
    <w:abstractNumId w:val="53"/>
  </w:num>
  <w:num w:numId="6">
    <w:abstractNumId w:val="32"/>
  </w:num>
  <w:num w:numId="7">
    <w:abstractNumId w:val="9"/>
  </w:num>
  <w:num w:numId="8">
    <w:abstractNumId w:val="20"/>
  </w:num>
  <w:num w:numId="9">
    <w:abstractNumId w:val="49"/>
  </w:num>
  <w:num w:numId="10">
    <w:abstractNumId w:val="1"/>
  </w:num>
  <w:num w:numId="11">
    <w:abstractNumId w:val="44"/>
  </w:num>
  <w:num w:numId="12">
    <w:abstractNumId w:val="45"/>
  </w:num>
  <w:num w:numId="13">
    <w:abstractNumId w:val="50"/>
  </w:num>
  <w:num w:numId="14">
    <w:abstractNumId w:val="2"/>
  </w:num>
  <w:num w:numId="15">
    <w:abstractNumId w:val="3"/>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2"/>
  </w:num>
  <w:num w:numId="26">
    <w:abstractNumId w:val="23"/>
  </w:num>
  <w:num w:numId="27">
    <w:abstractNumId w:val="26"/>
  </w:num>
  <w:num w:numId="28">
    <w:abstractNumId w:val="27"/>
  </w:num>
  <w:num w:numId="29">
    <w:abstractNumId w:val="28"/>
  </w:num>
  <w:num w:numId="30">
    <w:abstractNumId w:val="29"/>
  </w:num>
  <w:num w:numId="31">
    <w:abstractNumId w:val="33"/>
  </w:num>
  <w:num w:numId="32">
    <w:abstractNumId w:val="37"/>
  </w:num>
  <w:num w:numId="33">
    <w:abstractNumId w:val="38"/>
  </w:num>
  <w:num w:numId="34">
    <w:abstractNumId w:val="39"/>
  </w:num>
  <w:num w:numId="35">
    <w:abstractNumId w:val="40"/>
  </w:num>
  <w:num w:numId="36">
    <w:abstractNumId w:val="41"/>
  </w:num>
  <w:num w:numId="37">
    <w:abstractNumId w:val="42"/>
  </w:num>
  <w:num w:numId="38">
    <w:abstractNumId w:val="43"/>
  </w:num>
  <w:num w:numId="39">
    <w:abstractNumId w:val="46"/>
  </w:num>
  <w:num w:numId="40">
    <w:abstractNumId w:val="47"/>
  </w:num>
  <w:num w:numId="41">
    <w:abstractNumId w:val="52"/>
  </w:num>
  <w:num w:numId="42">
    <w:abstractNumId w:val="55"/>
  </w:num>
  <w:num w:numId="43">
    <w:abstractNumId w:val="57"/>
  </w:num>
  <w:num w:numId="44">
    <w:abstractNumId w:val="59"/>
  </w:num>
  <w:num w:numId="45">
    <w:abstractNumId w:val="60"/>
  </w:num>
  <w:num w:numId="46">
    <w:abstractNumId w:val="62"/>
  </w:num>
  <w:num w:numId="47">
    <w:abstractNumId w:val="63"/>
  </w:num>
  <w:num w:numId="48">
    <w:abstractNumId w:val="64"/>
  </w:num>
  <w:num w:numId="49">
    <w:abstractNumId w:val="65"/>
  </w:num>
  <w:num w:numId="50">
    <w:abstractNumId w:val="66"/>
  </w:num>
  <w:num w:numId="51">
    <w:abstractNumId w:val="24"/>
  </w:num>
  <w:num w:numId="52">
    <w:abstractNumId w:val="48"/>
  </w:num>
  <w:num w:numId="53">
    <w:abstractNumId w:val="58"/>
  </w:num>
  <w:num w:numId="54">
    <w:abstractNumId w:val="51"/>
  </w:num>
  <w:num w:numId="55">
    <w:abstractNumId w:val="21"/>
  </w:num>
  <w:num w:numId="56">
    <w:abstractNumId w:val="21"/>
    <w:lvlOverride w:ilvl="0">
      <w:startOverride w:val="3"/>
    </w:lvlOverride>
  </w:num>
  <w:num w:numId="57">
    <w:abstractNumId w:val="8"/>
  </w:num>
  <w:num w:numId="58">
    <w:abstractNumId w:val="6"/>
  </w:num>
  <w:num w:numId="59">
    <w:abstractNumId w:val="30"/>
  </w:num>
  <w:num w:numId="60">
    <w:abstractNumId w:val="4"/>
  </w:num>
  <w:num w:numId="61">
    <w:abstractNumId w:val="0"/>
  </w:num>
  <w:num w:numId="62">
    <w:abstractNumId w:val="56"/>
  </w:num>
  <w:num w:numId="63">
    <w:abstractNumId w:val="35"/>
  </w:num>
  <w:num w:numId="64">
    <w:abstractNumId w:val="19"/>
  </w:num>
  <w:num w:numId="65">
    <w:abstractNumId w:val="31"/>
  </w:num>
  <w:num w:numId="66">
    <w:abstractNumId w:val="34"/>
  </w:num>
  <w:num w:numId="67">
    <w:abstractNumId w:val="36"/>
  </w:num>
  <w:num w:numId="68">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D5E"/>
    <w:rsid w:val="00004122"/>
    <w:rsid w:val="00004AE2"/>
    <w:rsid w:val="00006708"/>
    <w:rsid w:val="00006E1F"/>
    <w:rsid w:val="000070D7"/>
    <w:rsid w:val="000126C0"/>
    <w:rsid w:val="000136FF"/>
    <w:rsid w:val="0001682F"/>
    <w:rsid w:val="0001788C"/>
    <w:rsid w:val="00020DE7"/>
    <w:rsid w:val="0002374F"/>
    <w:rsid w:val="00023F67"/>
    <w:rsid w:val="00024B31"/>
    <w:rsid w:val="00025108"/>
    <w:rsid w:val="0002716B"/>
    <w:rsid w:val="000303B9"/>
    <w:rsid w:val="000311A4"/>
    <w:rsid w:val="00033A4C"/>
    <w:rsid w:val="00034A73"/>
    <w:rsid w:val="00035620"/>
    <w:rsid w:val="00036C57"/>
    <w:rsid w:val="00037726"/>
    <w:rsid w:val="00040C3A"/>
    <w:rsid w:val="00041B5B"/>
    <w:rsid w:val="000425F6"/>
    <w:rsid w:val="000440AB"/>
    <w:rsid w:val="00052292"/>
    <w:rsid w:val="00054210"/>
    <w:rsid w:val="00054C9C"/>
    <w:rsid w:val="00057A83"/>
    <w:rsid w:val="00061A85"/>
    <w:rsid w:val="00061B6C"/>
    <w:rsid w:val="00065314"/>
    <w:rsid w:val="0006587F"/>
    <w:rsid w:val="0006601C"/>
    <w:rsid w:val="00066E2C"/>
    <w:rsid w:val="00066F13"/>
    <w:rsid w:val="000716C5"/>
    <w:rsid w:val="00071C1F"/>
    <w:rsid w:val="00071C98"/>
    <w:rsid w:val="0007236D"/>
    <w:rsid w:val="00072E16"/>
    <w:rsid w:val="000736A7"/>
    <w:rsid w:val="00073A8C"/>
    <w:rsid w:val="00073C97"/>
    <w:rsid w:val="000740A6"/>
    <w:rsid w:val="00075DC4"/>
    <w:rsid w:val="00075E23"/>
    <w:rsid w:val="00076F6C"/>
    <w:rsid w:val="00077E07"/>
    <w:rsid w:val="0008043B"/>
    <w:rsid w:val="00081D4F"/>
    <w:rsid w:val="00081F32"/>
    <w:rsid w:val="00085EEB"/>
    <w:rsid w:val="00086B6C"/>
    <w:rsid w:val="00087572"/>
    <w:rsid w:val="000922C0"/>
    <w:rsid w:val="00092F2B"/>
    <w:rsid w:val="0009344A"/>
    <w:rsid w:val="00095ADE"/>
    <w:rsid w:val="0009631B"/>
    <w:rsid w:val="00096F6B"/>
    <w:rsid w:val="00097564"/>
    <w:rsid w:val="000A092F"/>
    <w:rsid w:val="000A2A32"/>
    <w:rsid w:val="000A392E"/>
    <w:rsid w:val="000A4EDB"/>
    <w:rsid w:val="000A575F"/>
    <w:rsid w:val="000A7A64"/>
    <w:rsid w:val="000B0D08"/>
    <w:rsid w:val="000B185A"/>
    <w:rsid w:val="000B2637"/>
    <w:rsid w:val="000B26D8"/>
    <w:rsid w:val="000B702B"/>
    <w:rsid w:val="000B7EE1"/>
    <w:rsid w:val="000C26C9"/>
    <w:rsid w:val="000C4E39"/>
    <w:rsid w:val="000C78AD"/>
    <w:rsid w:val="000D09B2"/>
    <w:rsid w:val="000D10DB"/>
    <w:rsid w:val="000D14AF"/>
    <w:rsid w:val="000D2638"/>
    <w:rsid w:val="000D270D"/>
    <w:rsid w:val="000D38A0"/>
    <w:rsid w:val="000D5AB5"/>
    <w:rsid w:val="000D60FF"/>
    <w:rsid w:val="000E0CC9"/>
    <w:rsid w:val="000E1AD3"/>
    <w:rsid w:val="000E1BFC"/>
    <w:rsid w:val="000E2809"/>
    <w:rsid w:val="000E4525"/>
    <w:rsid w:val="000E4661"/>
    <w:rsid w:val="000E46C0"/>
    <w:rsid w:val="000E4AA5"/>
    <w:rsid w:val="000E58C5"/>
    <w:rsid w:val="000E5EB5"/>
    <w:rsid w:val="000F083B"/>
    <w:rsid w:val="000F35ED"/>
    <w:rsid w:val="000F3CF9"/>
    <w:rsid w:val="000F5DC7"/>
    <w:rsid w:val="000F7984"/>
    <w:rsid w:val="0010048E"/>
    <w:rsid w:val="00101A00"/>
    <w:rsid w:val="00103817"/>
    <w:rsid w:val="00106F51"/>
    <w:rsid w:val="00107131"/>
    <w:rsid w:val="0010736F"/>
    <w:rsid w:val="00112F58"/>
    <w:rsid w:val="00113ADD"/>
    <w:rsid w:val="00113E04"/>
    <w:rsid w:val="00113F73"/>
    <w:rsid w:val="00121CC2"/>
    <w:rsid w:val="001234F2"/>
    <w:rsid w:val="00126893"/>
    <w:rsid w:val="00126D05"/>
    <w:rsid w:val="00127D55"/>
    <w:rsid w:val="00130D4E"/>
    <w:rsid w:val="00133EE5"/>
    <w:rsid w:val="00135FCE"/>
    <w:rsid w:val="001378CC"/>
    <w:rsid w:val="00137C55"/>
    <w:rsid w:val="0014033E"/>
    <w:rsid w:val="00141C9E"/>
    <w:rsid w:val="00145AED"/>
    <w:rsid w:val="0014662C"/>
    <w:rsid w:val="00147A84"/>
    <w:rsid w:val="00147CA2"/>
    <w:rsid w:val="00152354"/>
    <w:rsid w:val="00153790"/>
    <w:rsid w:val="00154113"/>
    <w:rsid w:val="00156255"/>
    <w:rsid w:val="001625AE"/>
    <w:rsid w:val="00162DC0"/>
    <w:rsid w:val="00163E40"/>
    <w:rsid w:val="001642DD"/>
    <w:rsid w:val="0016589B"/>
    <w:rsid w:val="00167A34"/>
    <w:rsid w:val="00172BE5"/>
    <w:rsid w:val="00172CBF"/>
    <w:rsid w:val="0017399E"/>
    <w:rsid w:val="00173B31"/>
    <w:rsid w:val="00174A22"/>
    <w:rsid w:val="0017718C"/>
    <w:rsid w:val="0018152A"/>
    <w:rsid w:val="00181AD5"/>
    <w:rsid w:val="00183BAC"/>
    <w:rsid w:val="00186C85"/>
    <w:rsid w:val="00186D51"/>
    <w:rsid w:val="0018714B"/>
    <w:rsid w:val="00187837"/>
    <w:rsid w:val="00187A54"/>
    <w:rsid w:val="00187EC4"/>
    <w:rsid w:val="001902BF"/>
    <w:rsid w:val="001906D4"/>
    <w:rsid w:val="0019173B"/>
    <w:rsid w:val="00192609"/>
    <w:rsid w:val="001941C2"/>
    <w:rsid w:val="00196863"/>
    <w:rsid w:val="00196AA4"/>
    <w:rsid w:val="00196E63"/>
    <w:rsid w:val="001A02C1"/>
    <w:rsid w:val="001A0D13"/>
    <w:rsid w:val="001A1958"/>
    <w:rsid w:val="001A2F51"/>
    <w:rsid w:val="001A4A08"/>
    <w:rsid w:val="001A6CD0"/>
    <w:rsid w:val="001A7870"/>
    <w:rsid w:val="001B14AD"/>
    <w:rsid w:val="001B38C2"/>
    <w:rsid w:val="001C0927"/>
    <w:rsid w:val="001C1B41"/>
    <w:rsid w:val="001C1D04"/>
    <w:rsid w:val="001C2857"/>
    <w:rsid w:val="001C29BE"/>
    <w:rsid w:val="001C2B58"/>
    <w:rsid w:val="001C3170"/>
    <w:rsid w:val="001C42AC"/>
    <w:rsid w:val="001C5B4B"/>
    <w:rsid w:val="001C5CB6"/>
    <w:rsid w:val="001C68BC"/>
    <w:rsid w:val="001C78E1"/>
    <w:rsid w:val="001D1123"/>
    <w:rsid w:val="001D17C8"/>
    <w:rsid w:val="001D5580"/>
    <w:rsid w:val="001D5F9D"/>
    <w:rsid w:val="001D65EF"/>
    <w:rsid w:val="001D71FE"/>
    <w:rsid w:val="001E1D9B"/>
    <w:rsid w:val="001E4A0C"/>
    <w:rsid w:val="001E5849"/>
    <w:rsid w:val="001E6F28"/>
    <w:rsid w:val="001E7081"/>
    <w:rsid w:val="001E7EC4"/>
    <w:rsid w:val="001F02A8"/>
    <w:rsid w:val="001F1620"/>
    <w:rsid w:val="001F2377"/>
    <w:rsid w:val="001F27C6"/>
    <w:rsid w:val="001F2D41"/>
    <w:rsid w:val="001F5599"/>
    <w:rsid w:val="001F7D66"/>
    <w:rsid w:val="0020086B"/>
    <w:rsid w:val="002012C7"/>
    <w:rsid w:val="00203751"/>
    <w:rsid w:val="002039B9"/>
    <w:rsid w:val="00205032"/>
    <w:rsid w:val="0020727D"/>
    <w:rsid w:val="00210510"/>
    <w:rsid w:val="00210A90"/>
    <w:rsid w:val="00214275"/>
    <w:rsid w:val="00215740"/>
    <w:rsid w:val="00215DF4"/>
    <w:rsid w:val="00217ECE"/>
    <w:rsid w:val="00220C58"/>
    <w:rsid w:val="00223598"/>
    <w:rsid w:val="002250A3"/>
    <w:rsid w:val="00226F73"/>
    <w:rsid w:val="002309A8"/>
    <w:rsid w:val="00233B59"/>
    <w:rsid w:val="00235217"/>
    <w:rsid w:val="00236AD3"/>
    <w:rsid w:val="00236C4B"/>
    <w:rsid w:val="00237F17"/>
    <w:rsid w:val="00241E2F"/>
    <w:rsid w:val="00241F2A"/>
    <w:rsid w:val="00242246"/>
    <w:rsid w:val="002427B0"/>
    <w:rsid w:val="00242835"/>
    <w:rsid w:val="00243941"/>
    <w:rsid w:val="00246D1F"/>
    <w:rsid w:val="00246EDA"/>
    <w:rsid w:val="00247403"/>
    <w:rsid w:val="00247542"/>
    <w:rsid w:val="00251CD0"/>
    <w:rsid w:val="0025464A"/>
    <w:rsid w:val="00261FA7"/>
    <w:rsid w:val="002649CC"/>
    <w:rsid w:val="0026697C"/>
    <w:rsid w:val="00266AAC"/>
    <w:rsid w:val="00266B61"/>
    <w:rsid w:val="0026712A"/>
    <w:rsid w:val="002704DB"/>
    <w:rsid w:val="00270853"/>
    <w:rsid w:val="00271ED9"/>
    <w:rsid w:val="0027392A"/>
    <w:rsid w:val="002770AC"/>
    <w:rsid w:val="00281E3E"/>
    <w:rsid w:val="0028238C"/>
    <w:rsid w:val="00282E26"/>
    <w:rsid w:val="00283543"/>
    <w:rsid w:val="002843BD"/>
    <w:rsid w:val="00284816"/>
    <w:rsid w:val="00284E41"/>
    <w:rsid w:val="00285009"/>
    <w:rsid w:val="0029077E"/>
    <w:rsid w:val="00292A05"/>
    <w:rsid w:val="002956B4"/>
    <w:rsid w:val="002956D7"/>
    <w:rsid w:val="002973FF"/>
    <w:rsid w:val="002977ED"/>
    <w:rsid w:val="002A0AAE"/>
    <w:rsid w:val="002A282C"/>
    <w:rsid w:val="002A2D32"/>
    <w:rsid w:val="002A3A96"/>
    <w:rsid w:val="002A5272"/>
    <w:rsid w:val="002A57A5"/>
    <w:rsid w:val="002A5820"/>
    <w:rsid w:val="002B144F"/>
    <w:rsid w:val="002B21AA"/>
    <w:rsid w:val="002B38BB"/>
    <w:rsid w:val="002B58D5"/>
    <w:rsid w:val="002B68FA"/>
    <w:rsid w:val="002C2FA4"/>
    <w:rsid w:val="002C4E41"/>
    <w:rsid w:val="002C7CD1"/>
    <w:rsid w:val="002D2B26"/>
    <w:rsid w:val="002D391F"/>
    <w:rsid w:val="002D6273"/>
    <w:rsid w:val="002D7DA3"/>
    <w:rsid w:val="002D7EA2"/>
    <w:rsid w:val="002E0F47"/>
    <w:rsid w:val="002E187C"/>
    <w:rsid w:val="002E2A09"/>
    <w:rsid w:val="002E48F5"/>
    <w:rsid w:val="002E536D"/>
    <w:rsid w:val="002E6096"/>
    <w:rsid w:val="002F3996"/>
    <w:rsid w:val="002F4361"/>
    <w:rsid w:val="002F4DFF"/>
    <w:rsid w:val="002F4E37"/>
    <w:rsid w:val="002F66B4"/>
    <w:rsid w:val="002F6A78"/>
    <w:rsid w:val="00300951"/>
    <w:rsid w:val="003021B7"/>
    <w:rsid w:val="00302733"/>
    <w:rsid w:val="00303508"/>
    <w:rsid w:val="0030439F"/>
    <w:rsid w:val="00304B09"/>
    <w:rsid w:val="00312FD5"/>
    <w:rsid w:val="00314078"/>
    <w:rsid w:val="003142C9"/>
    <w:rsid w:val="0031535D"/>
    <w:rsid w:val="00315820"/>
    <w:rsid w:val="0031737E"/>
    <w:rsid w:val="003178C2"/>
    <w:rsid w:val="00320969"/>
    <w:rsid w:val="003222ED"/>
    <w:rsid w:val="00322D35"/>
    <w:rsid w:val="00323D31"/>
    <w:rsid w:val="00323F92"/>
    <w:rsid w:val="003247D2"/>
    <w:rsid w:val="00325451"/>
    <w:rsid w:val="0033169F"/>
    <w:rsid w:val="00332393"/>
    <w:rsid w:val="00334027"/>
    <w:rsid w:val="00335811"/>
    <w:rsid w:val="00337376"/>
    <w:rsid w:val="00342B09"/>
    <w:rsid w:val="00343072"/>
    <w:rsid w:val="0034598E"/>
    <w:rsid w:val="0034616F"/>
    <w:rsid w:val="0034621D"/>
    <w:rsid w:val="00346C95"/>
    <w:rsid w:val="003475C9"/>
    <w:rsid w:val="00355169"/>
    <w:rsid w:val="00356185"/>
    <w:rsid w:val="00360380"/>
    <w:rsid w:val="00361DC1"/>
    <w:rsid w:val="00363BCD"/>
    <w:rsid w:val="00364E5B"/>
    <w:rsid w:val="00371026"/>
    <w:rsid w:val="00375147"/>
    <w:rsid w:val="0037519E"/>
    <w:rsid w:val="003751A7"/>
    <w:rsid w:val="00377470"/>
    <w:rsid w:val="003847C3"/>
    <w:rsid w:val="00386CF0"/>
    <w:rsid w:val="0038703C"/>
    <w:rsid w:val="0039213E"/>
    <w:rsid w:val="00392A6B"/>
    <w:rsid w:val="003973CF"/>
    <w:rsid w:val="00397535"/>
    <w:rsid w:val="003A7517"/>
    <w:rsid w:val="003B3004"/>
    <w:rsid w:val="003B3AC8"/>
    <w:rsid w:val="003C0470"/>
    <w:rsid w:val="003C496E"/>
    <w:rsid w:val="003C676B"/>
    <w:rsid w:val="003C774A"/>
    <w:rsid w:val="003D0087"/>
    <w:rsid w:val="003D0866"/>
    <w:rsid w:val="003D08A1"/>
    <w:rsid w:val="003D0CAE"/>
    <w:rsid w:val="003D1630"/>
    <w:rsid w:val="003D3BC2"/>
    <w:rsid w:val="003D3C05"/>
    <w:rsid w:val="003D3DAB"/>
    <w:rsid w:val="003D3EC8"/>
    <w:rsid w:val="003D54C5"/>
    <w:rsid w:val="003E312B"/>
    <w:rsid w:val="003E3F24"/>
    <w:rsid w:val="003E5AF1"/>
    <w:rsid w:val="003E6CA1"/>
    <w:rsid w:val="003F2BC4"/>
    <w:rsid w:val="003F2BCC"/>
    <w:rsid w:val="003F2D12"/>
    <w:rsid w:val="003F30D8"/>
    <w:rsid w:val="003F3E99"/>
    <w:rsid w:val="003F4B94"/>
    <w:rsid w:val="003F78A3"/>
    <w:rsid w:val="00401AB7"/>
    <w:rsid w:val="004027D3"/>
    <w:rsid w:val="0040313A"/>
    <w:rsid w:val="0040349F"/>
    <w:rsid w:val="00403A31"/>
    <w:rsid w:val="00403B68"/>
    <w:rsid w:val="00403BB2"/>
    <w:rsid w:val="00403D47"/>
    <w:rsid w:val="00403ED5"/>
    <w:rsid w:val="004054FA"/>
    <w:rsid w:val="00406376"/>
    <w:rsid w:val="004072DE"/>
    <w:rsid w:val="00410955"/>
    <w:rsid w:val="004165C2"/>
    <w:rsid w:val="004170B1"/>
    <w:rsid w:val="0042602D"/>
    <w:rsid w:val="00426141"/>
    <w:rsid w:val="0043097D"/>
    <w:rsid w:val="00431028"/>
    <w:rsid w:val="004316CD"/>
    <w:rsid w:val="004325C2"/>
    <w:rsid w:val="00433925"/>
    <w:rsid w:val="00433F48"/>
    <w:rsid w:val="00435420"/>
    <w:rsid w:val="00441967"/>
    <w:rsid w:val="00441E6A"/>
    <w:rsid w:val="00441ECB"/>
    <w:rsid w:val="00443A0B"/>
    <w:rsid w:val="00443AEC"/>
    <w:rsid w:val="00443F87"/>
    <w:rsid w:val="004460A1"/>
    <w:rsid w:val="0045169E"/>
    <w:rsid w:val="00451A49"/>
    <w:rsid w:val="004547D7"/>
    <w:rsid w:val="004550D4"/>
    <w:rsid w:val="00455461"/>
    <w:rsid w:val="004601E1"/>
    <w:rsid w:val="0046202E"/>
    <w:rsid w:val="0046239A"/>
    <w:rsid w:val="00462CE0"/>
    <w:rsid w:val="00463E1B"/>
    <w:rsid w:val="0046788E"/>
    <w:rsid w:val="00467B7E"/>
    <w:rsid w:val="00470BBD"/>
    <w:rsid w:val="00471FBE"/>
    <w:rsid w:val="0047407B"/>
    <w:rsid w:val="00474FE0"/>
    <w:rsid w:val="004759FE"/>
    <w:rsid w:val="00475DA6"/>
    <w:rsid w:val="00475F80"/>
    <w:rsid w:val="00477592"/>
    <w:rsid w:val="004820EC"/>
    <w:rsid w:val="00482E4C"/>
    <w:rsid w:val="00486F1C"/>
    <w:rsid w:val="00487C04"/>
    <w:rsid w:val="0049419D"/>
    <w:rsid w:val="004A0810"/>
    <w:rsid w:val="004B02C7"/>
    <w:rsid w:val="004B1846"/>
    <w:rsid w:val="004B2DE1"/>
    <w:rsid w:val="004B3131"/>
    <w:rsid w:val="004B6717"/>
    <w:rsid w:val="004B71C7"/>
    <w:rsid w:val="004C015F"/>
    <w:rsid w:val="004C04F7"/>
    <w:rsid w:val="004C20D2"/>
    <w:rsid w:val="004C4A06"/>
    <w:rsid w:val="004C4B62"/>
    <w:rsid w:val="004C54C9"/>
    <w:rsid w:val="004D27DD"/>
    <w:rsid w:val="004D2EDE"/>
    <w:rsid w:val="004D5C7A"/>
    <w:rsid w:val="004D6025"/>
    <w:rsid w:val="004D640D"/>
    <w:rsid w:val="004D7B47"/>
    <w:rsid w:val="004E25DA"/>
    <w:rsid w:val="004E2649"/>
    <w:rsid w:val="004E3686"/>
    <w:rsid w:val="004E536F"/>
    <w:rsid w:val="004F03C1"/>
    <w:rsid w:val="004F1812"/>
    <w:rsid w:val="004F2103"/>
    <w:rsid w:val="004F2211"/>
    <w:rsid w:val="00501399"/>
    <w:rsid w:val="00501A89"/>
    <w:rsid w:val="0050380B"/>
    <w:rsid w:val="005052A7"/>
    <w:rsid w:val="005061B2"/>
    <w:rsid w:val="0050633D"/>
    <w:rsid w:val="00507BC4"/>
    <w:rsid w:val="0051064C"/>
    <w:rsid w:val="005128E4"/>
    <w:rsid w:val="005133DB"/>
    <w:rsid w:val="0051352C"/>
    <w:rsid w:val="00513F79"/>
    <w:rsid w:val="005142AD"/>
    <w:rsid w:val="005149A7"/>
    <w:rsid w:val="00515387"/>
    <w:rsid w:val="00515BFB"/>
    <w:rsid w:val="005200F1"/>
    <w:rsid w:val="005227D1"/>
    <w:rsid w:val="005253CD"/>
    <w:rsid w:val="00525560"/>
    <w:rsid w:val="005258B5"/>
    <w:rsid w:val="00526F67"/>
    <w:rsid w:val="00530AB4"/>
    <w:rsid w:val="00531890"/>
    <w:rsid w:val="00536BE7"/>
    <w:rsid w:val="00540450"/>
    <w:rsid w:val="00540997"/>
    <w:rsid w:val="005434DC"/>
    <w:rsid w:val="00544BA4"/>
    <w:rsid w:val="00544C49"/>
    <w:rsid w:val="00550506"/>
    <w:rsid w:val="005516A1"/>
    <w:rsid w:val="005527AE"/>
    <w:rsid w:val="005533B7"/>
    <w:rsid w:val="005570C6"/>
    <w:rsid w:val="00561291"/>
    <w:rsid w:val="00561DA0"/>
    <w:rsid w:val="00565D3B"/>
    <w:rsid w:val="00565E45"/>
    <w:rsid w:val="0057029C"/>
    <w:rsid w:val="00573CFD"/>
    <w:rsid w:val="0057402A"/>
    <w:rsid w:val="00575B8F"/>
    <w:rsid w:val="00576EB4"/>
    <w:rsid w:val="005771D0"/>
    <w:rsid w:val="00577DE2"/>
    <w:rsid w:val="005801D4"/>
    <w:rsid w:val="005812CB"/>
    <w:rsid w:val="005840E9"/>
    <w:rsid w:val="005852EC"/>
    <w:rsid w:val="00586F5F"/>
    <w:rsid w:val="0059191A"/>
    <w:rsid w:val="005921FF"/>
    <w:rsid w:val="005A0E41"/>
    <w:rsid w:val="005A2977"/>
    <w:rsid w:val="005A366C"/>
    <w:rsid w:val="005A5276"/>
    <w:rsid w:val="005A691E"/>
    <w:rsid w:val="005A6D0E"/>
    <w:rsid w:val="005A6E16"/>
    <w:rsid w:val="005A7811"/>
    <w:rsid w:val="005A7A77"/>
    <w:rsid w:val="005B0B2B"/>
    <w:rsid w:val="005B12F5"/>
    <w:rsid w:val="005B157D"/>
    <w:rsid w:val="005B2445"/>
    <w:rsid w:val="005B46F7"/>
    <w:rsid w:val="005B52B0"/>
    <w:rsid w:val="005B57D9"/>
    <w:rsid w:val="005B6806"/>
    <w:rsid w:val="005C4225"/>
    <w:rsid w:val="005C6D9E"/>
    <w:rsid w:val="005C7BD9"/>
    <w:rsid w:val="005D4042"/>
    <w:rsid w:val="005D5015"/>
    <w:rsid w:val="005D57CD"/>
    <w:rsid w:val="005D6495"/>
    <w:rsid w:val="005E2246"/>
    <w:rsid w:val="005E469D"/>
    <w:rsid w:val="005F0DAD"/>
    <w:rsid w:val="005F0F33"/>
    <w:rsid w:val="005F3BD9"/>
    <w:rsid w:val="005F3E13"/>
    <w:rsid w:val="005F548A"/>
    <w:rsid w:val="005F621F"/>
    <w:rsid w:val="00600DEB"/>
    <w:rsid w:val="00601B07"/>
    <w:rsid w:val="00601B44"/>
    <w:rsid w:val="006037DE"/>
    <w:rsid w:val="00606FFF"/>
    <w:rsid w:val="0061016A"/>
    <w:rsid w:val="00610378"/>
    <w:rsid w:val="00610B49"/>
    <w:rsid w:val="006114AF"/>
    <w:rsid w:val="00611606"/>
    <w:rsid w:val="0061221C"/>
    <w:rsid w:val="00612A86"/>
    <w:rsid w:val="00613F0D"/>
    <w:rsid w:val="006150FB"/>
    <w:rsid w:val="00615B24"/>
    <w:rsid w:val="0061624C"/>
    <w:rsid w:val="00616FE6"/>
    <w:rsid w:val="0062084F"/>
    <w:rsid w:val="00621E2A"/>
    <w:rsid w:val="006236B8"/>
    <w:rsid w:val="00624211"/>
    <w:rsid w:val="00627172"/>
    <w:rsid w:val="00627C9F"/>
    <w:rsid w:val="00630B35"/>
    <w:rsid w:val="00630B58"/>
    <w:rsid w:val="006311E9"/>
    <w:rsid w:val="00632354"/>
    <w:rsid w:val="006323AA"/>
    <w:rsid w:val="00633694"/>
    <w:rsid w:val="00633DF7"/>
    <w:rsid w:val="00633F3D"/>
    <w:rsid w:val="00633FCD"/>
    <w:rsid w:val="00634789"/>
    <w:rsid w:val="0063621F"/>
    <w:rsid w:val="00636A72"/>
    <w:rsid w:val="00637458"/>
    <w:rsid w:val="00642567"/>
    <w:rsid w:val="006425B7"/>
    <w:rsid w:val="00642659"/>
    <w:rsid w:val="00642810"/>
    <w:rsid w:val="0064400E"/>
    <w:rsid w:val="00646207"/>
    <w:rsid w:val="0064625E"/>
    <w:rsid w:val="00646448"/>
    <w:rsid w:val="00650B4E"/>
    <w:rsid w:val="00651235"/>
    <w:rsid w:val="00652333"/>
    <w:rsid w:val="00652D8B"/>
    <w:rsid w:val="006602ED"/>
    <w:rsid w:val="00660417"/>
    <w:rsid w:val="0066113A"/>
    <w:rsid w:val="0066173E"/>
    <w:rsid w:val="00666B21"/>
    <w:rsid w:val="0067268E"/>
    <w:rsid w:val="00674F89"/>
    <w:rsid w:val="00675FD5"/>
    <w:rsid w:val="0068009E"/>
    <w:rsid w:val="00685BD1"/>
    <w:rsid w:val="00691544"/>
    <w:rsid w:val="00692219"/>
    <w:rsid w:val="006935D1"/>
    <w:rsid w:val="006949CD"/>
    <w:rsid w:val="006A17D2"/>
    <w:rsid w:val="006A22F5"/>
    <w:rsid w:val="006A301A"/>
    <w:rsid w:val="006A319B"/>
    <w:rsid w:val="006A4BA5"/>
    <w:rsid w:val="006A73E6"/>
    <w:rsid w:val="006A7EB2"/>
    <w:rsid w:val="006B0321"/>
    <w:rsid w:val="006B0382"/>
    <w:rsid w:val="006B0BA0"/>
    <w:rsid w:val="006B119B"/>
    <w:rsid w:val="006B1BDD"/>
    <w:rsid w:val="006B2D5C"/>
    <w:rsid w:val="006B47B4"/>
    <w:rsid w:val="006B6238"/>
    <w:rsid w:val="006B66EA"/>
    <w:rsid w:val="006C0A9B"/>
    <w:rsid w:val="006C4BC3"/>
    <w:rsid w:val="006C4EB1"/>
    <w:rsid w:val="006C57F3"/>
    <w:rsid w:val="006C7106"/>
    <w:rsid w:val="006D07FA"/>
    <w:rsid w:val="006D0D7E"/>
    <w:rsid w:val="006D111C"/>
    <w:rsid w:val="006D1B85"/>
    <w:rsid w:val="006D24C3"/>
    <w:rsid w:val="006D47E2"/>
    <w:rsid w:val="006D6A73"/>
    <w:rsid w:val="006E0166"/>
    <w:rsid w:val="006E1CD9"/>
    <w:rsid w:val="006E2D3E"/>
    <w:rsid w:val="006E4339"/>
    <w:rsid w:val="006E5552"/>
    <w:rsid w:val="006E7B34"/>
    <w:rsid w:val="006E7E26"/>
    <w:rsid w:val="006F38A8"/>
    <w:rsid w:val="006F60AA"/>
    <w:rsid w:val="006F6339"/>
    <w:rsid w:val="00701138"/>
    <w:rsid w:val="00703414"/>
    <w:rsid w:val="0070509D"/>
    <w:rsid w:val="0070697F"/>
    <w:rsid w:val="0071141F"/>
    <w:rsid w:val="00711965"/>
    <w:rsid w:val="007127D4"/>
    <w:rsid w:val="0071695F"/>
    <w:rsid w:val="00716C91"/>
    <w:rsid w:val="0072030A"/>
    <w:rsid w:val="00720C01"/>
    <w:rsid w:val="00720F33"/>
    <w:rsid w:val="0072199C"/>
    <w:rsid w:val="00722C9F"/>
    <w:rsid w:val="0072306E"/>
    <w:rsid w:val="00723493"/>
    <w:rsid w:val="00723E12"/>
    <w:rsid w:val="007253B8"/>
    <w:rsid w:val="00725A06"/>
    <w:rsid w:val="0072625A"/>
    <w:rsid w:val="00726B11"/>
    <w:rsid w:val="0072752B"/>
    <w:rsid w:val="00730620"/>
    <w:rsid w:val="00730A6A"/>
    <w:rsid w:val="00730FBD"/>
    <w:rsid w:val="007313C2"/>
    <w:rsid w:val="0073304A"/>
    <w:rsid w:val="00733DA9"/>
    <w:rsid w:val="007364FC"/>
    <w:rsid w:val="00736F7D"/>
    <w:rsid w:val="0073741F"/>
    <w:rsid w:val="00737635"/>
    <w:rsid w:val="00737E2A"/>
    <w:rsid w:val="00740788"/>
    <w:rsid w:val="00740CC6"/>
    <w:rsid w:val="00742CC0"/>
    <w:rsid w:val="00742FF1"/>
    <w:rsid w:val="007431C8"/>
    <w:rsid w:val="00746097"/>
    <w:rsid w:val="007529AB"/>
    <w:rsid w:val="00754EB8"/>
    <w:rsid w:val="007557CA"/>
    <w:rsid w:val="00755876"/>
    <w:rsid w:val="00755EC4"/>
    <w:rsid w:val="00756804"/>
    <w:rsid w:val="00757C71"/>
    <w:rsid w:val="00760257"/>
    <w:rsid w:val="00763D64"/>
    <w:rsid w:val="0076643F"/>
    <w:rsid w:val="007702BD"/>
    <w:rsid w:val="00777925"/>
    <w:rsid w:val="00777F63"/>
    <w:rsid w:val="0078056D"/>
    <w:rsid w:val="00782E50"/>
    <w:rsid w:val="00783013"/>
    <w:rsid w:val="00784AB5"/>
    <w:rsid w:val="00794933"/>
    <w:rsid w:val="00794C78"/>
    <w:rsid w:val="007975F1"/>
    <w:rsid w:val="007A18DF"/>
    <w:rsid w:val="007A2AF1"/>
    <w:rsid w:val="007A3201"/>
    <w:rsid w:val="007A5817"/>
    <w:rsid w:val="007A6162"/>
    <w:rsid w:val="007A6348"/>
    <w:rsid w:val="007B4258"/>
    <w:rsid w:val="007B4359"/>
    <w:rsid w:val="007B4E7D"/>
    <w:rsid w:val="007B60E9"/>
    <w:rsid w:val="007B6CC3"/>
    <w:rsid w:val="007B7A06"/>
    <w:rsid w:val="007C05B5"/>
    <w:rsid w:val="007C3030"/>
    <w:rsid w:val="007C31B7"/>
    <w:rsid w:val="007C3334"/>
    <w:rsid w:val="007C45B1"/>
    <w:rsid w:val="007C6D9F"/>
    <w:rsid w:val="007D085B"/>
    <w:rsid w:val="007D0E46"/>
    <w:rsid w:val="007D2B98"/>
    <w:rsid w:val="007D3C8A"/>
    <w:rsid w:val="007D4082"/>
    <w:rsid w:val="007D44A2"/>
    <w:rsid w:val="007D6232"/>
    <w:rsid w:val="007D7E78"/>
    <w:rsid w:val="007E21BC"/>
    <w:rsid w:val="007E2BD6"/>
    <w:rsid w:val="007E2F5F"/>
    <w:rsid w:val="007E370B"/>
    <w:rsid w:val="007E504D"/>
    <w:rsid w:val="007F15B8"/>
    <w:rsid w:val="007F29B6"/>
    <w:rsid w:val="007F2EBB"/>
    <w:rsid w:val="007F5E61"/>
    <w:rsid w:val="007F70A0"/>
    <w:rsid w:val="007F788B"/>
    <w:rsid w:val="007F7ADC"/>
    <w:rsid w:val="007F7B79"/>
    <w:rsid w:val="008004A5"/>
    <w:rsid w:val="00801DF7"/>
    <w:rsid w:val="00802461"/>
    <w:rsid w:val="00803F1C"/>
    <w:rsid w:val="00804210"/>
    <w:rsid w:val="0080600E"/>
    <w:rsid w:val="008063E5"/>
    <w:rsid w:val="00806BC9"/>
    <w:rsid w:val="00807847"/>
    <w:rsid w:val="0081088F"/>
    <w:rsid w:val="00814696"/>
    <w:rsid w:val="00815D50"/>
    <w:rsid w:val="008161F7"/>
    <w:rsid w:val="00817612"/>
    <w:rsid w:val="00817F5A"/>
    <w:rsid w:val="00820518"/>
    <w:rsid w:val="008209A9"/>
    <w:rsid w:val="00820AE8"/>
    <w:rsid w:val="008217AB"/>
    <w:rsid w:val="00822447"/>
    <w:rsid w:val="00822502"/>
    <w:rsid w:val="00825672"/>
    <w:rsid w:val="00830558"/>
    <w:rsid w:val="00831BF5"/>
    <w:rsid w:val="00831FC3"/>
    <w:rsid w:val="008338A4"/>
    <w:rsid w:val="00837C45"/>
    <w:rsid w:val="00840BB3"/>
    <w:rsid w:val="00840DA0"/>
    <w:rsid w:val="0084328C"/>
    <w:rsid w:val="00844730"/>
    <w:rsid w:val="00845503"/>
    <w:rsid w:val="008457C2"/>
    <w:rsid w:val="00846A1E"/>
    <w:rsid w:val="00851387"/>
    <w:rsid w:val="00852BC2"/>
    <w:rsid w:val="008540BB"/>
    <w:rsid w:val="00855D6C"/>
    <w:rsid w:val="00856768"/>
    <w:rsid w:val="008570DE"/>
    <w:rsid w:val="00857A82"/>
    <w:rsid w:val="00861CE1"/>
    <w:rsid w:val="00864585"/>
    <w:rsid w:val="00864712"/>
    <w:rsid w:val="00864B11"/>
    <w:rsid w:val="00870E46"/>
    <w:rsid w:val="00871C35"/>
    <w:rsid w:val="00871E0D"/>
    <w:rsid w:val="00872703"/>
    <w:rsid w:val="00873836"/>
    <w:rsid w:val="00873A47"/>
    <w:rsid w:val="00875A4B"/>
    <w:rsid w:val="00875B59"/>
    <w:rsid w:val="00876AA9"/>
    <w:rsid w:val="008776A2"/>
    <w:rsid w:val="00877E43"/>
    <w:rsid w:val="008820F9"/>
    <w:rsid w:val="00883A50"/>
    <w:rsid w:val="008854C1"/>
    <w:rsid w:val="00885737"/>
    <w:rsid w:val="00886064"/>
    <w:rsid w:val="00887F90"/>
    <w:rsid w:val="00890650"/>
    <w:rsid w:val="008907BD"/>
    <w:rsid w:val="00893CA6"/>
    <w:rsid w:val="00896D4A"/>
    <w:rsid w:val="008979E0"/>
    <w:rsid w:val="00897E12"/>
    <w:rsid w:val="008A0076"/>
    <w:rsid w:val="008A212F"/>
    <w:rsid w:val="008A5206"/>
    <w:rsid w:val="008A7E0F"/>
    <w:rsid w:val="008B12F5"/>
    <w:rsid w:val="008B63EB"/>
    <w:rsid w:val="008B65B9"/>
    <w:rsid w:val="008B6D64"/>
    <w:rsid w:val="008B75A8"/>
    <w:rsid w:val="008C03AE"/>
    <w:rsid w:val="008C4F0E"/>
    <w:rsid w:val="008C5D79"/>
    <w:rsid w:val="008C6E98"/>
    <w:rsid w:val="008C74EE"/>
    <w:rsid w:val="008D0138"/>
    <w:rsid w:val="008D0773"/>
    <w:rsid w:val="008D0A79"/>
    <w:rsid w:val="008D354B"/>
    <w:rsid w:val="008D4911"/>
    <w:rsid w:val="008D500C"/>
    <w:rsid w:val="008D768D"/>
    <w:rsid w:val="008D7E8A"/>
    <w:rsid w:val="008E3759"/>
    <w:rsid w:val="008E462F"/>
    <w:rsid w:val="008E6F79"/>
    <w:rsid w:val="008E723A"/>
    <w:rsid w:val="008F1912"/>
    <w:rsid w:val="008F3DA5"/>
    <w:rsid w:val="008F530D"/>
    <w:rsid w:val="008F5E52"/>
    <w:rsid w:val="00900366"/>
    <w:rsid w:val="0090270B"/>
    <w:rsid w:val="0090292C"/>
    <w:rsid w:val="009041DC"/>
    <w:rsid w:val="00912ACA"/>
    <w:rsid w:val="009158CB"/>
    <w:rsid w:val="00916016"/>
    <w:rsid w:val="00916462"/>
    <w:rsid w:val="00917B5A"/>
    <w:rsid w:val="00920A58"/>
    <w:rsid w:val="00920A8C"/>
    <w:rsid w:val="009219AE"/>
    <w:rsid w:val="0092400E"/>
    <w:rsid w:val="00924F03"/>
    <w:rsid w:val="009263F0"/>
    <w:rsid w:val="0093359A"/>
    <w:rsid w:val="00934A2C"/>
    <w:rsid w:val="00937766"/>
    <w:rsid w:val="00937F57"/>
    <w:rsid w:val="009401CF"/>
    <w:rsid w:val="00941ABA"/>
    <w:rsid w:val="00942EAA"/>
    <w:rsid w:val="00943730"/>
    <w:rsid w:val="009446F3"/>
    <w:rsid w:val="00944C2F"/>
    <w:rsid w:val="00946BB6"/>
    <w:rsid w:val="0095025D"/>
    <w:rsid w:val="009538A0"/>
    <w:rsid w:val="009575FD"/>
    <w:rsid w:val="00957A07"/>
    <w:rsid w:val="00960B8A"/>
    <w:rsid w:val="009632DC"/>
    <w:rsid w:val="009634C7"/>
    <w:rsid w:val="00965BD5"/>
    <w:rsid w:val="0096706E"/>
    <w:rsid w:val="00967821"/>
    <w:rsid w:val="00970641"/>
    <w:rsid w:val="00970BCC"/>
    <w:rsid w:val="00975C4E"/>
    <w:rsid w:val="00977467"/>
    <w:rsid w:val="00980E92"/>
    <w:rsid w:val="00981FBA"/>
    <w:rsid w:val="00982178"/>
    <w:rsid w:val="00982C2B"/>
    <w:rsid w:val="00983453"/>
    <w:rsid w:val="009856DE"/>
    <w:rsid w:val="00986082"/>
    <w:rsid w:val="00987DEC"/>
    <w:rsid w:val="00990ADB"/>
    <w:rsid w:val="00993138"/>
    <w:rsid w:val="00997BC5"/>
    <w:rsid w:val="009A16E2"/>
    <w:rsid w:val="009A4F41"/>
    <w:rsid w:val="009B11C4"/>
    <w:rsid w:val="009B2979"/>
    <w:rsid w:val="009B2B96"/>
    <w:rsid w:val="009B381B"/>
    <w:rsid w:val="009B3919"/>
    <w:rsid w:val="009B48D5"/>
    <w:rsid w:val="009B4BD6"/>
    <w:rsid w:val="009B6B6B"/>
    <w:rsid w:val="009B744F"/>
    <w:rsid w:val="009C2221"/>
    <w:rsid w:val="009C22C5"/>
    <w:rsid w:val="009C5361"/>
    <w:rsid w:val="009C6121"/>
    <w:rsid w:val="009D00F7"/>
    <w:rsid w:val="009D1753"/>
    <w:rsid w:val="009D7550"/>
    <w:rsid w:val="009D7611"/>
    <w:rsid w:val="009E0B61"/>
    <w:rsid w:val="009E14E5"/>
    <w:rsid w:val="009E3474"/>
    <w:rsid w:val="009E4B5F"/>
    <w:rsid w:val="009E53DE"/>
    <w:rsid w:val="009E6D59"/>
    <w:rsid w:val="009F0736"/>
    <w:rsid w:val="009F61B4"/>
    <w:rsid w:val="00A01748"/>
    <w:rsid w:val="00A033D8"/>
    <w:rsid w:val="00A046BD"/>
    <w:rsid w:val="00A049E3"/>
    <w:rsid w:val="00A07076"/>
    <w:rsid w:val="00A10EFE"/>
    <w:rsid w:val="00A12E51"/>
    <w:rsid w:val="00A13D4C"/>
    <w:rsid w:val="00A13F17"/>
    <w:rsid w:val="00A14219"/>
    <w:rsid w:val="00A15823"/>
    <w:rsid w:val="00A16606"/>
    <w:rsid w:val="00A1694F"/>
    <w:rsid w:val="00A16C29"/>
    <w:rsid w:val="00A23285"/>
    <w:rsid w:val="00A24DB0"/>
    <w:rsid w:val="00A31849"/>
    <w:rsid w:val="00A31DED"/>
    <w:rsid w:val="00A3208E"/>
    <w:rsid w:val="00A328B3"/>
    <w:rsid w:val="00A365B6"/>
    <w:rsid w:val="00A36BDB"/>
    <w:rsid w:val="00A37D21"/>
    <w:rsid w:val="00A41C95"/>
    <w:rsid w:val="00A44E26"/>
    <w:rsid w:val="00A50FCF"/>
    <w:rsid w:val="00A528D1"/>
    <w:rsid w:val="00A53163"/>
    <w:rsid w:val="00A56111"/>
    <w:rsid w:val="00A56B2C"/>
    <w:rsid w:val="00A57FE0"/>
    <w:rsid w:val="00A610CD"/>
    <w:rsid w:val="00A616EE"/>
    <w:rsid w:val="00A62BB8"/>
    <w:rsid w:val="00A633CE"/>
    <w:rsid w:val="00A64E11"/>
    <w:rsid w:val="00A666C7"/>
    <w:rsid w:val="00A669E3"/>
    <w:rsid w:val="00A66F31"/>
    <w:rsid w:val="00A67B3B"/>
    <w:rsid w:val="00A7436C"/>
    <w:rsid w:val="00A772CB"/>
    <w:rsid w:val="00A80EE5"/>
    <w:rsid w:val="00A816C5"/>
    <w:rsid w:val="00A81F60"/>
    <w:rsid w:val="00A83558"/>
    <w:rsid w:val="00A85A63"/>
    <w:rsid w:val="00A85B9C"/>
    <w:rsid w:val="00A91022"/>
    <w:rsid w:val="00A93144"/>
    <w:rsid w:val="00A93E7D"/>
    <w:rsid w:val="00AA09A2"/>
    <w:rsid w:val="00AA256E"/>
    <w:rsid w:val="00AA7996"/>
    <w:rsid w:val="00AB0BF8"/>
    <w:rsid w:val="00AB3474"/>
    <w:rsid w:val="00AB4640"/>
    <w:rsid w:val="00AB5BB2"/>
    <w:rsid w:val="00AC01CE"/>
    <w:rsid w:val="00AC19CB"/>
    <w:rsid w:val="00AC1CEC"/>
    <w:rsid w:val="00AC2406"/>
    <w:rsid w:val="00AC2AA1"/>
    <w:rsid w:val="00AC51EF"/>
    <w:rsid w:val="00AC5512"/>
    <w:rsid w:val="00AC5B27"/>
    <w:rsid w:val="00AC5C81"/>
    <w:rsid w:val="00AC658B"/>
    <w:rsid w:val="00AC65B8"/>
    <w:rsid w:val="00AC6B2E"/>
    <w:rsid w:val="00AD051B"/>
    <w:rsid w:val="00AE048A"/>
    <w:rsid w:val="00AE04C5"/>
    <w:rsid w:val="00AE069E"/>
    <w:rsid w:val="00AE5488"/>
    <w:rsid w:val="00AE6F91"/>
    <w:rsid w:val="00AF0EE4"/>
    <w:rsid w:val="00AF5571"/>
    <w:rsid w:val="00AF6229"/>
    <w:rsid w:val="00B0334C"/>
    <w:rsid w:val="00B05D71"/>
    <w:rsid w:val="00B07341"/>
    <w:rsid w:val="00B07A05"/>
    <w:rsid w:val="00B07CE3"/>
    <w:rsid w:val="00B1283A"/>
    <w:rsid w:val="00B13A87"/>
    <w:rsid w:val="00B17B75"/>
    <w:rsid w:val="00B17DB5"/>
    <w:rsid w:val="00B20059"/>
    <w:rsid w:val="00B20FF7"/>
    <w:rsid w:val="00B2253B"/>
    <w:rsid w:val="00B23605"/>
    <w:rsid w:val="00B24283"/>
    <w:rsid w:val="00B2483A"/>
    <w:rsid w:val="00B24FD3"/>
    <w:rsid w:val="00B27E3A"/>
    <w:rsid w:val="00B30539"/>
    <w:rsid w:val="00B30850"/>
    <w:rsid w:val="00B314DB"/>
    <w:rsid w:val="00B31A30"/>
    <w:rsid w:val="00B31DB8"/>
    <w:rsid w:val="00B32474"/>
    <w:rsid w:val="00B35AA9"/>
    <w:rsid w:val="00B361F2"/>
    <w:rsid w:val="00B3718B"/>
    <w:rsid w:val="00B42BFE"/>
    <w:rsid w:val="00B438B6"/>
    <w:rsid w:val="00B44EE3"/>
    <w:rsid w:val="00B4632A"/>
    <w:rsid w:val="00B463A5"/>
    <w:rsid w:val="00B47546"/>
    <w:rsid w:val="00B51190"/>
    <w:rsid w:val="00B51986"/>
    <w:rsid w:val="00B530F1"/>
    <w:rsid w:val="00B55368"/>
    <w:rsid w:val="00B55544"/>
    <w:rsid w:val="00B56874"/>
    <w:rsid w:val="00B56C5C"/>
    <w:rsid w:val="00B61B5F"/>
    <w:rsid w:val="00B72340"/>
    <w:rsid w:val="00B729E4"/>
    <w:rsid w:val="00B73080"/>
    <w:rsid w:val="00B738A1"/>
    <w:rsid w:val="00B813CA"/>
    <w:rsid w:val="00B84D44"/>
    <w:rsid w:val="00B85C82"/>
    <w:rsid w:val="00B869A2"/>
    <w:rsid w:val="00B876CC"/>
    <w:rsid w:val="00B9247D"/>
    <w:rsid w:val="00B940CE"/>
    <w:rsid w:val="00BA276C"/>
    <w:rsid w:val="00BA5A16"/>
    <w:rsid w:val="00BA69CF"/>
    <w:rsid w:val="00BA7565"/>
    <w:rsid w:val="00BB011E"/>
    <w:rsid w:val="00BB2F04"/>
    <w:rsid w:val="00BB306F"/>
    <w:rsid w:val="00BB4459"/>
    <w:rsid w:val="00BB4717"/>
    <w:rsid w:val="00BB4B2B"/>
    <w:rsid w:val="00BB5875"/>
    <w:rsid w:val="00BC1045"/>
    <w:rsid w:val="00BC42CC"/>
    <w:rsid w:val="00BC489B"/>
    <w:rsid w:val="00BC4ED1"/>
    <w:rsid w:val="00BC506A"/>
    <w:rsid w:val="00BC5A9C"/>
    <w:rsid w:val="00BC7653"/>
    <w:rsid w:val="00BC7A6E"/>
    <w:rsid w:val="00BD0C01"/>
    <w:rsid w:val="00BD3472"/>
    <w:rsid w:val="00BD43B8"/>
    <w:rsid w:val="00BD4B5D"/>
    <w:rsid w:val="00BD4B89"/>
    <w:rsid w:val="00BD65BF"/>
    <w:rsid w:val="00BE0D7D"/>
    <w:rsid w:val="00BE107F"/>
    <w:rsid w:val="00BE17D7"/>
    <w:rsid w:val="00BE42C5"/>
    <w:rsid w:val="00BE5FEA"/>
    <w:rsid w:val="00BF02CB"/>
    <w:rsid w:val="00BF16AB"/>
    <w:rsid w:val="00BF4EA2"/>
    <w:rsid w:val="00BF68D2"/>
    <w:rsid w:val="00BF6FD8"/>
    <w:rsid w:val="00C0304B"/>
    <w:rsid w:val="00C03680"/>
    <w:rsid w:val="00C054DF"/>
    <w:rsid w:val="00C07941"/>
    <w:rsid w:val="00C10FE6"/>
    <w:rsid w:val="00C11FBC"/>
    <w:rsid w:val="00C1205D"/>
    <w:rsid w:val="00C130FA"/>
    <w:rsid w:val="00C14D02"/>
    <w:rsid w:val="00C159F3"/>
    <w:rsid w:val="00C16F17"/>
    <w:rsid w:val="00C17D67"/>
    <w:rsid w:val="00C21762"/>
    <w:rsid w:val="00C23058"/>
    <w:rsid w:val="00C24543"/>
    <w:rsid w:val="00C256A2"/>
    <w:rsid w:val="00C3527D"/>
    <w:rsid w:val="00C3610E"/>
    <w:rsid w:val="00C367C5"/>
    <w:rsid w:val="00C3795C"/>
    <w:rsid w:val="00C403CA"/>
    <w:rsid w:val="00C43DAA"/>
    <w:rsid w:val="00C44D08"/>
    <w:rsid w:val="00C45200"/>
    <w:rsid w:val="00C46136"/>
    <w:rsid w:val="00C47B5C"/>
    <w:rsid w:val="00C51515"/>
    <w:rsid w:val="00C5660B"/>
    <w:rsid w:val="00C61B1B"/>
    <w:rsid w:val="00C61CF7"/>
    <w:rsid w:val="00C643BF"/>
    <w:rsid w:val="00C65903"/>
    <w:rsid w:val="00C659C2"/>
    <w:rsid w:val="00C66B72"/>
    <w:rsid w:val="00C66C34"/>
    <w:rsid w:val="00C74EBB"/>
    <w:rsid w:val="00C75696"/>
    <w:rsid w:val="00C75E10"/>
    <w:rsid w:val="00C807EA"/>
    <w:rsid w:val="00C84A8B"/>
    <w:rsid w:val="00C85783"/>
    <w:rsid w:val="00C915AE"/>
    <w:rsid w:val="00C91640"/>
    <w:rsid w:val="00C917B9"/>
    <w:rsid w:val="00C950CA"/>
    <w:rsid w:val="00C9567A"/>
    <w:rsid w:val="00C95780"/>
    <w:rsid w:val="00C9663B"/>
    <w:rsid w:val="00C97F44"/>
    <w:rsid w:val="00CA249F"/>
    <w:rsid w:val="00CA2AE1"/>
    <w:rsid w:val="00CA4D74"/>
    <w:rsid w:val="00CA52D0"/>
    <w:rsid w:val="00CA669B"/>
    <w:rsid w:val="00CA78E8"/>
    <w:rsid w:val="00CA7A42"/>
    <w:rsid w:val="00CA7F1E"/>
    <w:rsid w:val="00CB052D"/>
    <w:rsid w:val="00CB05AB"/>
    <w:rsid w:val="00CB212D"/>
    <w:rsid w:val="00CB2660"/>
    <w:rsid w:val="00CB2F13"/>
    <w:rsid w:val="00CB3DE9"/>
    <w:rsid w:val="00CB4589"/>
    <w:rsid w:val="00CB68C2"/>
    <w:rsid w:val="00CB6FA9"/>
    <w:rsid w:val="00CC1C4B"/>
    <w:rsid w:val="00CC2619"/>
    <w:rsid w:val="00CC2D25"/>
    <w:rsid w:val="00CC31C9"/>
    <w:rsid w:val="00CC509B"/>
    <w:rsid w:val="00CC5E90"/>
    <w:rsid w:val="00CC6B77"/>
    <w:rsid w:val="00CD046C"/>
    <w:rsid w:val="00CD1634"/>
    <w:rsid w:val="00CD7780"/>
    <w:rsid w:val="00CD7D69"/>
    <w:rsid w:val="00CE043E"/>
    <w:rsid w:val="00CE076C"/>
    <w:rsid w:val="00CE12D9"/>
    <w:rsid w:val="00CE238D"/>
    <w:rsid w:val="00CE244F"/>
    <w:rsid w:val="00CE5199"/>
    <w:rsid w:val="00CE66D5"/>
    <w:rsid w:val="00CF637A"/>
    <w:rsid w:val="00D00748"/>
    <w:rsid w:val="00D01AE3"/>
    <w:rsid w:val="00D027C0"/>
    <w:rsid w:val="00D059DE"/>
    <w:rsid w:val="00D05E14"/>
    <w:rsid w:val="00D07907"/>
    <w:rsid w:val="00D109F0"/>
    <w:rsid w:val="00D13FCE"/>
    <w:rsid w:val="00D14D54"/>
    <w:rsid w:val="00D15519"/>
    <w:rsid w:val="00D15C5B"/>
    <w:rsid w:val="00D17219"/>
    <w:rsid w:val="00D2040D"/>
    <w:rsid w:val="00D2163D"/>
    <w:rsid w:val="00D2470C"/>
    <w:rsid w:val="00D26693"/>
    <w:rsid w:val="00D26C37"/>
    <w:rsid w:val="00D306D1"/>
    <w:rsid w:val="00D30864"/>
    <w:rsid w:val="00D32603"/>
    <w:rsid w:val="00D328EF"/>
    <w:rsid w:val="00D32F7E"/>
    <w:rsid w:val="00D3437A"/>
    <w:rsid w:val="00D34786"/>
    <w:rsid w:val="00D35C68"/>
    <w:rsid w:val="00D37BFC"/>
    <w:rsid w:val="00D40345"/>
    <w:rsid w:val="00D40918"/>
    <w:rsid w:val="00D4093F"/>
    <w:rsid w:val="00D42285"/>
    <w:rsid w:val="00D42A47"/>
    <w:rsid w:val="00D45ED7"/>
    <w:rsid w:val="00D47A8E"/>
    <w:rsid w:val="00D52D14"/>
    <w:rsid w:val="00D535FC"/>
    <w:rsid w:val="00D539AC"/>
    <w:rsid w:val="00D544DA"/>
    <w:rsid w:val="00D6023B"/>
    <w:rsid w:val="00D679E8"/>
    <w:rsid w:val="00D712D3"/>
    <w:rsid w:val="00D71422"/>
    <w:rsid w:val="00D72DC6"/>
    <w:rsid w:val="00D740E3"/>
    <w:rsid w:val="00D74EBC"/>
    <w:rsid w:val="00D7558D"/>
    <w:rsid w:val="00D803EA"/>
    <w:rsid w:val="00D8100E"/>
    <w:rsid w:val="00D81D92"/>
    <w:rsid w:val="00D84641"/>
    <w:rsid w:val="00D84BC0"/>
    <w:rsid w:val="00D86BE5"/>
    <w:rsid w:val="00D86DA8"/>
    <w:rsid w:val="00D9085F"/>
    <w:rsid w:val="00D9386D"/>
    <w:rsid w:val="00D94780"/>
    <w:rsid w:val="00D963DB"/>
    <w:rsid w:val="00D970B7"/>
    <w:rsid w:val="00DA22EE"/>
    <w:rsid w:val="00DA55B4"/>
    <w:rsid w:val="00DA5950"/>
    <w:rsid w:val="00DA68C6"/>
    <w:rsid w:val="00DA7B5F"/>
    <w:rsid w:val="00DB078C"/>
    <w:rsid w:val="00DB0DBC"/>
    <w:rsid w:val="00DB435C"/>
    <w:rsid w:val="00DB695E"/>
    <w:rsid w:val="00DC01A0"/>
    <w:rsid w:val="00DC11E7"/>
    <w:rsid w:val="00DC172A"/>
    <w:rsid w:val="00DC2A02"/>
    <w:rsid w:val="00DC2B6F"/>
    <w:rsid w:val="00DC6685"/>
    <w:rsid w:val="00DC7023"/>
    <w:rsid w:val="00DC769A"/>
    <w:rsid w:val="00DD10A3"/>
    <w:rsid w:val="00DD1EEE"/>
    <w:rsid w:val="00DD3D86"/>
    <w:rsid w:val="00DD4E18"/>
    <w:rsid w:val="00DD5BF0"/>
    <w:rsid w:val="00DD6CF9"/>
    <w:rsid w:val="00DE043A"/>
    <w:rsid w:val="00DE07C8"/>
    <w:rsid w:val="00DE12C8"/>
    <w:rsid w:val="00DE19F2"/>
    <w:rsid w:val="00DE376D"/>
    <w:rsid w:val="00DE7497"/>
    <w:rsid w:val="00DF0888"/>
    <w:rsid w:val="00DF1EC4"/>
    <w:rsid w:val="00DF29DD"/>
    <w:rsid w:val="00DF2BF4"/>
    <w:rsid w:val="00DF33A5"/>
    <w:rsid w:val="00DF551A"/>
    <w:rsid w:val="00DF5562"/>
    <w:rsid w:val="00DF56F8"/>
    <w:rsid w:val="00DF77BD"/>
    <w:rsid w:val="00E00708"/>
    <w:rsid w:val="00E0141D"/>
    <w:rsid w:val="00E01D18"/>
    <w:rsid w:val="00E01DF8"/>
    <w:rsid w:val="00E0340B"/>
    <w:rsid w:val="00E04A90"/>
    <w:rsid w:val="00E04F82"/>
    <w:rsid w:val="00E05B8D"/>
    <w:rsid w:val="00E065B3"/>
    <w:rsid w:val="00E07547"/>
    <w:rsid w:val="00E1267E"/>
    <w:rsid w:val="00E13D83"/>
    <w:rsid w:val="00E15D51"/>
    <w:rsid w:val="00E201B7"/>
    <w:rsid w:val="00E20F3B"/>
    <w:rsid w:val="00E219C7"/>
    <w:rsid w:val="00E21F6A"/>
    <w:rsid w:val="00E23185"/>
    <w:rsid w:val="00E327BF"/>
    <w:rsid w:val="00E32F8E"/>
    <w:rsid w:val="00E34795"/>
    <w:rsid w:val="00E35D82"/>
    <w:rsid w:val="00E37F71"/>
    <w:rsid w:val="00E412DA"/>
    <w:rsid w:val="00E425A1"/>
    <w:rsid w:val="00E43157"/>
    <w:rsid w:val="00E461CE"/>
    <w:rsid w:val="00E50999"/>
    <w:rsid w:val="00E53B9E"/>
    <w:rsid w:val="00E60978"/>
    <w:rsid w:val="00E60B50"/>
    <w:rsid w:val="00E63912"/>
    <w:rsid w:val="00E64BA8"/>
    <w:rsid w:val="00E65FB7"/>
    <w:rsid w:val="00E67D7F"/>
    <w:rsid w:val="00E70ECD"/>
    <w:rsid w:val="00E720CA"/>
    <w:rsid w:val="00E72DD0"/>
    <w:rsid w:val="00E74E96"/>
    <w:rsid w:val="00E75A7C"/>
    <w:rsid w:val="00E8216B"/>
    <w:rsid w:val="00E84EB5"/>
    <w:rsid w:val="00E85662"/>
    <w:rsid w:val="00E873B9"/>
    <w:rsid w:val="00E8789F"/>
    <w:rsid w:val="00E91B62"/>
    <w:rsid w:val="00E91C0D"/>
    <w:rsid w:val="00E92268"/>
    <w:rsid w:val="00E93C66"/>
    <w:rsid w:val="00E96182"/>
    <w:rsid w:val="00E9760C"/>
    <w:rsid w:val="00E9763C"/>
    <w:rsid w:val="00E97B71"/>
    <w:rsid w:val="00E97D6D"/>
    <w:rsid w:val="00EA2892"/>
    <w:rsid w:val="00EA3D34"/>
    <w:rsid w:val="00EA65C6"/>
    <w:rsid w:val="00EB3307"/>
    <w:rsid w:val="00EB3831"/>
    <w:rsid w:val="00EB454D"/>
    <w:rsid w:val="00EB47E4"/>
    <w:rsid w:val="00EB50FE"/>
    <w:rsid w:val="00EB5878"/>
    <w:rsid w:val="00EB6A55"/>
    <w:rsid w:val="00EB7C70"/>
    <w:rsid w:val="00EC272D"/>
    <w:rsid w:val="00EC48E8"/>
    <w:rsid w:val="00ED1356"/>
    <w:rsid w:val="00ED25FE"/>
    <w:rsid w:val="00ED273A"/>
    <w:rsid w:val="00ED4ADD"/>
    <w:rsid w:val="00ED4BE7"/>
    <w:rsid w:val="00ED4C5B"/>
    <w:rsid w:val="00ED76BE"/>
    <w:rsid w:val="00EE0100"/>
    <w:rsid w:val="00EE1570"/>
    <w:rsid w:val="00EE46AD"/>
    <w:rsid w:val="00EE4B10"/>
    <w:rsid w:val="00EE6FB2"/>
    <w:rsid w:val="00EE7FF9"/>
    <w:rsid w:val="00EF1712"/>
    <w:rsid w:val="00EF2169"/>
    <w:rsid w:val="00EF38AE"/>
    <w:rsid w:val="00EF4937"/>
    <w:rsid w:val="00EF556A"/>
    <w:rsid w:val="00EF619B"/>
    <w:rsid w:val="00EF723F"/>
    <w:rsid w:val="00EF7738"/>
    <w:rsid w:val="00F00B55"/>
    <w:rsid w:val="00F02AD1"/>
    <w:rsid w:val="00F044CA"/>
    <w:rsid w:val="00F0509B"/>
    <w:rsid w:val="00F111CA"/>
    <w:rsid w:val="00F120A0"/>
    <w:rsid w:val="00F137B8"/>
    <w:rsid w:val="00F1565E"/>
    <w:rsid w:val="00F15C90"/>
    <w:rsid w:val="00F16186"/>
    <w:rsid w:val="00F17668"/>
    <w:rsid w:val="00F21946"/>
    <w:rsid w:val="00F23698"/>
    <w:rsid w:val="00F23E0B"/>
    <w:rsid w:val="00F2459D"/>
    <w:rsid w:val="00F250E9"/>
    <w:rsid w:val="00F253CC"/>
    <w:rsid w:val="00F26695"/>
    <w:rsid w:val="00F27B75"/>
    <w:rsid w:val="00F304C4"/>
    <w:rsid w:val="00F328E3"/>
    <w:rsid w:val="00F32A42"/>
    <w:rsid w:val="00F37106"/>
    <w:rsid w:val="00F40303"/>
    <w:rsid w:val="00F407D3"/>
    <w:rsid w:val="00F43033"/>
    <w:rsid w:val="00F4497B"/>
    <w:rsid w:val="00F47996"/>
    <w:rsid w:val="00F47B33"/>
    <w:rsid w:val="00F519CF"/>
    <w:rsid w:val="00F5254A"/>
    <w:rsid w:val="00F53C55"/>
    <w:rsid w:val="00F53C82"/>
    <w:rsid w:val="00F5502C"/>
    <w:rsid w:val="00F56BA5"/>
    <w:rsid w:val="00F5700C"/>
    <w:rsid w:val="00F608B4"/>
    <w:rsid w:val="00F60E22"/>
    <w:rsid w:val="00F63B04"/>
    <w:rsid w:val="00F644D5"/>
    <w:rsid w:val="00F75A22"/>
    <w:rsid w:val="00F81395"/>
    <w:rsid w:val="00F82DE2"/>
    <w:rsid w:val="00F83C8A"/>
    <w:rsid w:val="00F843FD"/>
    <w:rsid w:val="00F87C2B"/>
    <w:rsid w:val="00F87D2E"/>
    <w:rsid w:val="00F90283"/>
    <w:rsid w:val="00F917D1"/>
    <w:rsid w:val="00F93751"/>
    <w:rsid w:val="00F9653B"/>
    <w:rsid w:val="00FA089C"/>
    <w:rsid w:val="00FA0E1E"/>
    <w:rsid w:val="00FA14C3"/>
    <w:rsid w:val="00FA3A89"/>
    <w:rsid w:val="00FA4B8F"/>
    <w:rsid w:val="00FA5141"/>
    <w:rsid w:val="00FB0907"/>
    <w:rsid w:val="00FB3577"/>
    <w:rsid w:val="00FB5B92"/>
    <w:rsid w:val="00FB60A7"/>
    <w:rsid w:val="00FB62CF"/>
    <w:rsid w:val="00FC1493"/>
    <w:rsid w:val="00FC65FB"/>
    <w:rsid w:val="00FD0489"/>
    <w:rsid w:val="00FD2E9D"/>
    <w:rsid w:val="00FD3C3B"/>
    <w:rsid w:val="00FD53EC"/>
    <w:rsid w:val="00FD5798"/>
    <w:rsid w:val="00FD6EEC"/>
    <w:rsid w:val="00FD73D2"/>
    <w:rsid w:val="00FD7E80"/>
    <w:rsid w:val="00FE07DD"/>
    <w:rsid w:val="00FE208A"/>
    <w:rsid w:val="00FE4A5E"/>
    <w:rsid w:val="00FE50FE"/>
    <w:rsid w:val="00FE5A52"/>
    <w:rsid w:val="00FE5F9C"/>
    <w:rsid w:val="00FE6377"/>
    <w:rsid w:val="00FE6B45"/>
    <w:rsid w:val="00FE6DEA"/>
    <w:rsid w:val="00FF420A"/>
    <w:rsid w:val="00FF55F3"/>
    <w:rsid w:val="00FF5851"/>
    <w:rsid w:val="00FF5F2E"/>
    <w:rsid w:val="00FF6C3B"/>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7668"/>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576EB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Batang"/>
      <w:b/>
      <w:b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61016A"/>
    <w:pPr>
      <w:tabs>
        <w:tab w:val="left" w:pos="1440"/>
        <w:tab w:val="right" w:leader="dot" w:pos="9350"/>
      </w:tabs>
      <w:spacing w:after="100"/>
      <w:ind w:left="1440" w:hanging="720"/>
    </w:pPr>
    <w:rPr>
      <w:rFonts w:ascii="Cambria" w:hAnsi="Cambria"/>
      <w:b/>
      <w:noProof/>
      <w:sz w:val="20"/>
      <w:szCs w:val="20"/>
      <w:lang w:val="es-CO"/>
    </w:r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referencia nota al pi...,4_G,16 Point,Superscript 6 Point,Texto nota al pie"/>
    <w:basedOn w:val="DefaultParagraphFont"/>
    <w:link w:val="Refdenotaalpi"/>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rsid w:val="00576EB4"/>
    <w:rPr>
      <w:rFonts w:eastAsia="Batang"/>
      <w:b/>
      <w:bCs/>
      <w:sz w:val="28"/>
      <w:szCs w:val="28"/>
      <w:bdr w:val="none" w:sz="0" w:space="0" w:color="auto"/>
      <w:lang w:val="en-US" w:eastAsia="en-US"/>
    </w:rPr>
  </w:style>
  <w:style w:type="paragraph" w:styleId="Title">
    <w:name w:val="Title"/>
    <w:basedOn w:val="Normal"/>
    <w:link w:val="TitleChar"/>
    <w:qFormat/>
    <w:rsid w:val="00576EB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Batang" w:hAnsi="Univers" w:cs="Arial"/>
      <w:b/>
      <w:sz w:val="22"/>
      <w:bdr w:val="none" w:sz="0" w:space="0" w:color="auto"/>
      <w:lang w:val="es-AR"/>
    </w:rPr>
  </w:style>
  <w:style w:type="character" w:customStyle="1" w:styleId="TitleChar">
    <w:name w:val="Title Char"/>
    <w:basedOn w:val="DefaultParagraphFont"/>
    <w:link w:val="Title"/>
    <w:rsid w:val="00576EB4"/>
    <w:rPr>
      <w:rFonts w:ascii="Univers" w:eastAsia="Batang" w:hAnsi="Univers" w:cs="Arial"/>
      <w:b/>
      <w:sz w:val="22"/>
      <w:szCs w:val="24"/>
      <w:bdr w:val="none" w:sz="0" w:space="0" w:color="auto"/>
      <w:lang w:val="es-AR" w:eastAsia="en-US"/>
    </w:rPr>
  </w:style>
  <w:style w:type="paragraph" w:styleId="BodyText3">
    <w:name w:val="Body Text 3"/>
    <w:basedOn w:val="Normal"/>
    <w:link w:val="BodyText3Char"/>
    <w:rsid w:val="00576E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Batang"/>
      <w:sz w:val="16"/>
      <w:szCs w:val="16"/>
      <w:bdr w:val="none" w:sz="0" w:space="0" w:color="auto"/>
    </w:rPr>
  </w:style>
  <w:style w:type="character" w:customStyle="1" w:styleId="BodyText3Char">
    <w:name w:val="Body Text 3 Char"/>
    <w:basedOn w:val="DefaultParagraphFont"/>
    <w:link w:val="BodyText3"/>
    <w:rsid w:val="00576EB4"/>
    <w:rPr>
      <w:rFonts w:eastAsia="Batang"/>
      <w:sz w:val="16"/>
      <w:szCs w:val="16"/>
      <w:bdr w:val="none" w:sz="0" w:space="0" w:color="auto"/>
      <w:lang w:val="en-US" w:eastAsia="en-US"/>
    </w:rPr>
  </w:style>
  <w:style w:type="paragraph" w:styleId="BodyText2">
    <w:name w:val="Body Text 2"/>
    <w:basedOn w:val="Normal"/>
    <w:link w:val="BodyText2Char"/>
    <w:rsid w:val="00576EB4"/>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Batang"/>
      <w:bdr w:val="none" w:sz="0" w:space="0" w:color="auto"/>
    </w:rPr>
  </w:style>
  <w:style w:type="character" w:customStyle="1" w:styleId="BodyText2Char">
    <w:name w:val="Body Text 2 Char"/>
    <w:basedOn w:val="DefaultParagraphFont"/>
    <w:link w:val="BodyText2"/>
    <w:rsid w:val="00576EB4"/>
    <w:rPr>
      <w:rFonts w:eastAsia="Batang"/>
      <w:sz w:val="24"/>
      <w:szCs w:val="24"/>
      <w:bdr w:val="none" w:sz="0" w:space="0" w:color="auto"/>
      <w:lang w:val="en-US" w:eastAsia="en-US"/>
    </w:rPr>
  </w:style>
  <w:style w:type="character" w:styleId="Strong">
    <w:name w:val="Strong"/>
    <w:uiPriority w:val="22"/>
    <w:qFormat/>
    <w:rsid w:val="00576EB4"/>
    <w:rPr>
      <w:b/>
      <w:bCs/>
    </w:rPr>
  </w:style>
  <w:style w:type="paragraph" w:customStyle="1" w:styleId="Textonotapie1">
    <w:name w:val="Texto nota pie1"/>
    <w:basedOn w:val="Normal"/>
    <w:semiHidden/>
    <w:rsid w:val="00576EB4"/>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lang w:val="es-ES_tradnl" w:eastAsia="es-ES"/>
    </w:rPr>
  </w:style>
  <w:style w:type="paragraph" w:styleId="NormalWeb">
    <w:name w:val="Normal (Web)"/>
    <w:basedOn w:val="Normal"/>
    <w:uiPriority w:val="99"/>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Textoindependiente21">
    <w:name w:val="Texto independiente 21"/>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pPr>
    <w:rPr>
      <w:rFonts w:ascii="Verdana" w:eastAsia="Batang" w:hAnsi="Verdana"/>
      <w:sz w:val="20"/>
      <w:szCs w:val="20"/>
      <w:bdr w:val="none" w:sz="0" w:space="0" w:color="auto"/>
      <w:lang w:val="es-ES_tradnl" w:eastAsia="es-ES"/>
    </w:rPr>
  </w:style>
  <w:style w:type="paragraph" w:customStyle="1" w:styleId="Normal1">
    <w:name w:val="Normal1"/>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Batang"/>
      <w:bdr w:val="none" w:sz="0" w:space="0" w:color="auto"/>
    </w:rPr>
  </w:style>
  <w:style w:type="character" w:customStyle="1" w:styleId="Heading1CharCharCharCharCharChar">
    <w:name w:val="Heading 1 Char Char Char Char Char Char"/>
    <w:rsid w:val="00576EB4"/>
    <w:rPr>
      <w:rFonts w:ascii="Univers" w:hAnsi="Univers" w:cs="Arial"/>
      <w:kern w:val="36"/>
      <w:sz w:val="22"/>
      <w:szCs w:val="22"/>
      <w:lang w:val="en-US" w:eastAsia="en-US" w:bidi="ar-SA"/>
    </w:rPr>
  </w:style>
  <w:style w:type="paragraph" w:customStyle="1" w:styleId="Sangradetindependiente">
    <w:name w:val="SangrÌa de t. independiente"/>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character" w:customStyle="1" w:styleId="FootnoteCharacters">
    <w:name w:val="Footnote Characters"/>
    <w:rsid w:val="00576EB4"/>
    <w:rPr>
      <w:vertAlign w:val="superscript"/>
    </w:rPr>
  </w:style>
  <w:style w:type="character" w:customStyle="1" w:styleId="WW-FootnoteCharacters">
    <w:name w:val="WW-Footnote Characters"/>
    <w:rsid w:val="00576EB4"/>
    <w:rPr>
      <w:vertAlign w:val="superscript"/>
    </w:rPr>
  </w:style>
  <w:style w:type="character" w:customStyle="1" w:styleId="apple-style-span">
    <w:name w:val="apple-style-span"/>
    <w:basedOn w:val="DefaultParagraphFont"/>
    <w:rsid w:val="00576EB4"/>
  </w:style>
  <w:style w:type="character" w:styleId="CommentReference">
    <w:name w:val="annotation reference"/>
    <w:semiHidden/>
    <w:rsid w:val="00576EB4"/>
    <w:rPr>
      <w:sz w:val="16"/>
      <w:szCs w:val="16"/>
    </w:rPr>
  </w:style>
  <w:style w:type="paragraph" w:styleId="CommentText">
    <w:name w:val="annotation text"/>
    <w:basedOn w:val="Normal"/>
    <w:link w:val="CommentTextChar"/>
    <w:uiPriority w:val="99"/>
    <w:rsid w:val="00576EB4"/>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rPr>
  </w:style>
  <w:style w:type="character" w:customStyle="1" w:styleId="CommentTextChar">
    <w:name w:val="Comment Text Char"/>
    <w:basedOn w:val="DefaultParagraphFont"/>
    <w:link w:val="CommentText"/>
    <w:uiPriority w:val="99"/>
    <w:rsid w:val="00576EB4"/>
    <w:rPr>
      <w:rFonts w:eastAsia="Batang"/>
      <w:bdr w:val="none" w:sz="0" w:space="0" w:color="auto"/>
      <w:lang w:val="en-US" w:eastAsia="en-US"/>
    </w:rPr>
  </w:style>
  <w:style w:type="paragraph" w:styleId="CommentSubject">
    <w:name w:val="annotation subject"/>
    <w:basedOn w:val="CommentText"/>
    <w:next w:val="CommentText"/>
    <w:link w:val="CommentSubjectChar"/>
    <w:semiHidden/>
    <w:rsid w:val="00576EB4"/>
    <w:rPr>
      <w:b/>
      <w:bCs/>
    </w:rPr>
  </w:style>
  <w:style w:type="character" w:customStyle="1" w:styleId="CommentSubjectChar">
    <w:name w:val="Comment Subject Char"/>
    <w:basedOn w:val="CommentTextChar"/>
    <w:link w:val="CommentSubject"/>
    <w:semiHidden/>
    <w:rsid w:val="00576EB4"/>
    <w:rPr>
      <w:rFonts w:eastAsia="Batang"/>
      <w:b/>
      <w:bCs/>
      <w:bdr w:val="none" w:sz="0" w:space="0" w:color="auto"/>
      <w:lang w:val="en-US" w:eastAsia="en-US"/>
    </w:rPr>
  </w:style>
  <w:style w:type="paragraph" w:customStyle="1" w:styleId="listparagraph0">
    <w:name w:val="listparagraph"/>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576EB4"/>
  </w:style>
  <w:style w:type="paragraph" w:customStyle="1" w:styleId="paragnormal">
    <w:name w:val="paragnormal"/>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lockText">
    <w:name w:val="Block Text"/>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num" w:pos="900"/>
        <w:tab w:val="left" w:pos="1260"/>
      </w:tabs>
      <w:ind w:left="1440" w:right="720"/>
      <w:jc w:val="both"/>
    </w:pPr>
    <w:rPr>
      <w:rFonts w:ascii="Verdana" w:eastAsia="Times" w:hAnsi="Verdana"/>
      <w:sz w:val="18"/>
      <w:szCs w:val="20"/>
      <w:bdr w:val="none" w:sz="0" w:space="0" w:color="auto"/>
      <w:lang w:val="es-ES_tradnl" w:eastAsia="es-ES"/>
    </w:rPr>
  </w:style>
  <w:style w:type="paragraph" w:customStyle="1" w:styleId="JuPara">
    <w:name w:val="Ju_Para"/>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284"/>
      <w:jc w:val="both"/>
    </w:pPr>
    <w:rPr>
      <w:rFonts w:eastAsia="Times New Roman"/>
      <w:szCs w:val="20"/>
      <w:bdr w:val="none" w:sz="0" w:space="0" w:color="auto"/>
      <w:lang w:val="en-GB" w:eastAsia="es-ES"/>
    </w:rPr>
  </w:style>
  <w:style w:type="paragraph" w:customStyle="1" w:styleId="negritamayuscula">
    <w:name w:val="negrita mayuscula"/>
    <w:basedOn w:val="Normal"/>
    <w:rsid w:val="00576EB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lang w:val="es-ES_tradnl" w:eastAsia="es-ES"/>
    </w:rPr>
  </w:style>
  <w:style w:type="paragraph" w:styleId="BodyTextIndent3">
    <w:name w:val="Body Text Indent 3"/>
    <w:basedOn w:val="Normal"/>
    <w:link w:val="BodyTextIndent3Char"/>
    <w:rsid w:val="00576EB4"/>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Batang"/>
      <w:sz w:val="16"/>
      <w:szCs w:val="16"/>
      <w:bdr w:val="none" w:sz="0" w:space="0" w:color="auto"/>
    </w:rPr>
  </w:style>
  <w:style w:type="character" w:customStyle="1" w:styleId="BodyTextIndent3Char">
    <w:name w:val="Body Text Indent 3 Char"/>
    <w:basedOn w:val="DefaultParagraphFont"/>
    <w:link w:val="BodyTextIndent3"/>
    <w:rsid w:val="00576EB4"/>
    <w:rPr>
      <w:rFonts w:eastAsia="Batang"/>
      <w:sz w:val="16"/>
      <w:szCs w:val="16"/>
      <w:bdr w:val="none" w:sz="0" w:space="0" w:color="auto"/>
      <w:lang w:val="en-US" w:eastAsia="en-US"/>
    </w:rPr>
  </w:style>
  <w:style w:type="character" w:styleId="EndnoteReference">
    <w:name w:val="endnote reference"/>
    <w:semiHidden/>
    <w:rsid w:val="00576EB4"/>
    <w:rPr>
      <w:vertAlign w:val="superscript"/>
    </w:rPr>
  </w:style>
  <w:style w:type="character" w:styleId="FollowedHyperlink">
    <w:name w:val="FollowedHyperlink"/>
    <w:rsid w:val="00576EB4"/>
    <w:rPr>
      <w:color w:val="800080"/>
      <w:u w:val="single"/>
    </w:rPr>
  </w:style>
  <w:style w:type="paragraph" w:customStyle="1" w:styleId="Sangradetindependiente2">
    <w:name w:val="Sangría de t. independiente2"/>
    <w:basedOn w:val="Normal"/>
    <w:rsid w:val="00576EB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paragraph" w:customStyle="1" w:styleId="Sangradetindependiente20">
    <w:name w:val="SangrÌa de t. independiente2"/>
    <w:basedOn w:val="Normal"/>
    <w:rsid w:val="00576EB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character" w:customStyle="1" w:styleId="ju-005fpara-002cleft-002cfirst-0020line-003a-0020-00200-0020cm--char">
    <w:name w:val="ju-005fpara-002cleft-002cfirst-0020line-003a-0020-00200-0020cm--char"/>
    <w:rsid w:val="00576EB4"/>
  </w:style>
  <w:style w:type="paragraph" w:customStyle="1" w:styleId="Style4">
    <w:name w:val="Style4"/>
    <w:basedOn w:val="Heading2"/>
    <w:rsid w:val="00576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pPr>
    <w:rPr>
      <w:rFonts w:ascii="Verdana" w:eastAsia="MS Mincho" w:hAnsi="Verdana" w:cs="Garamond"/>
      <w:i w:val="0"/>
      <w:iCs w:val="0"/>
      <w:smallCaps/>
      <w:sz w:val="20"/>
      <w:szCs w:val="20"/>
      <w:lang w:val="es-ES_tradnl"/>
    </w:rPr>
  </w:style>
  <w:style w:type="paragraph" w:customStyle="1" w:styleId="Style9">
    <w:name w:val="Style9"/>
    <w:basedOn w:val="Heading3"/>
    <w:autoRedefine/>
    <w:rsid w:val="00576EB4"/>
    <w:pPr>
      <w:numPr>
        <w:numId w:val="58"/>
      </w:numPr>
      <w:spacing w:before="120" w:after="120"/>
      <w:jc w:val="both"/>
    </w:pPr>
    <w:rPr>
      <w:rFonts w:ascii="Verdana" w:eastAsia="MS Mincho" w:hAnsi="Verdana"/>
      <w:i/>
      <w:sz w:val="20"/>
      <w:szCs w:val="20"/>
      <w:lang w:val="es-ES_tradnl"/>
    </w:rPr>
  </w:style>
  <w:style w:type="paragraph" w:styleId="NoSpacing">
    <w:name w:val="No Spacing"/>
    <w:qFormat/>
    <w:rsid w:val="00576E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libri" w:eastAsia="Times New Roman" w:hAnsi="Calibri" w:cs="Calibri"/>
      <w:sz w:val="22"/>
      <w:szCs w:val="22"/>
      <w:bdr w:val="none" w:sz="0" w:space="0" w:color="auto"/>
      <w:lang w:eastAsia="en-US"/>
    </w:rPr>
  </w:style>
  <w:style w:type="paragraph" w:styleId="HTMLPreformatted">
    <w:name w:val="HTML Preformatted"/>
    <w:basedOn w:val="Normal"/>
    <w:link w:val="HTMLPreformattedChar"/>
    <w:uiPriority w:val="99"/>
    <w:unhideWhenUsed/>
    <w:rsid w:val="00576EB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576EB4"/>
    <w:rPr>
      <w:rFonts w:ascii="Courier New" w:eastAsia="Times New Roman" w:hAnsi="Courier New" w:cs="Courier New"/>
      <w:bdr w:val="none" w:sz="0" w:space="0" w:color="auto"/>
      <w:lang w:val="en-US" w:eastAsia="en-US"/>
    </w:rPr>
  </w:style>
  <w:style w:type="paragraph" w:customStyle="1" w:styleId="PrrafodeSentencia">
    <w:name w:val="*. Párrafo de Sentencia"/>
    <w:basedOn w:val="Normal"/>
    <w:next w:val="Normal"/>
    <w:link w:val="PrrafodeSentenciaChar"/>
    <w:qFormat/>
    <w:rsid w:val="00A10EFE"/>
    <w:pPr>
      <w:numPr>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pPr>
    <w:rPr>
      <w:rFonts w:ascii="Verdana" w:eastAsia="Batang" w:hAnsi="Verdana"/>
      <w:spacing w:val="-4"/>
      <w:sz w:val="20"/>
      <w:szCs w:val="22"/>
      <w:bdr w:val="none" w:sz="0" w:space="0" w:color="auto"/>
      <w:lang w:val="es-CR" w:eastAsia="es-MX"/>
    </w:rPr>
  </w:style>
  <w:style w:type="character" w:customStyle="1" w:styleId="PrrafodeSentenciaChar">
    <w:name w:val="*. Párrafo de Sentencia Char"/>
    <w:basedOn w:val="DefaultParagraphFont"/>
    <w:link w:val="PrrafodeSentencia"/>
    <w:rsid w:val="00A10EFE"/>
    <w:rPr>
      <w:rFonts w:ascii="Verdana" w:eastAsia="Batang" w:hAnsi="Verdana"/>
      <w:spacing w:val="-4"/>
      <w:szCs w:val="22"/>
      <w:bdr w:val="none" w:sz="0" w:space="0" w:color="auto"/>
      <w:lang w:val="es-CR" w:eastAsia="es-MX"/>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1,ft Char1"/>
    <w:uiPriority w:val="99"/>
    <w:locked/>
    <w:rsid w:val="00300951"/>
    <w:rPr>
      <w:rFonts w:ascii="Univers" w:eastAsia="SimSun" w:hAnsi="Univers"/>
      <w:sz w:val="16"/>
      <w:lang w:val="en-US" w:eastAsia="zh-CN"/>
    </w:rPr>
  </w:style>
  <w:style w:type="paragraph" w:customStyle="1" w:styleId="Refdenotaalpi">
    <w:name w:val="Ref. de nota al pi"/>
    <w:aliases w:val="f1"/>
    <w:basedOn w:val="Normal"/>
    <w:link w:val="FootnoteReference"/>
    <w:uiPriority w:val="99"/>
    <w:rsid w:val="00E327BF"/>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character" w:customStyle="1" w:styleId="ListParagraphChar">
    <w:name w:val="List Paragraph Char"/>
    <w:link w:val="ListParagraph"/>
    <w:uiPriority w:val="99"/>
    <w:locked/>
    <w:rsid w:val="00887F90"/>
    <w:rPr>
      <w:rFonts w:ascii="Cambria" w:eastAsia="Cambria" w:hAnsi="Cambria" w:cs="Cambria"/>
      <w:color w:val="000000"/>
      <w:sz w:val="24"/>
      <w:szCs w:val="24"/>
      <w:u w:color="000000"/>
      <w:lang w:val="en-US"/>
    </w:rPr>
  </w:style>
  <w:style w:type="paragraph" w:styleId="TOCHeading">
    <w:name w:val="TOC Heading"/>
    <w:basedOn w:val="Heading1"/>
    <w:next w:val="Normal"/>
    <w:uiPriority w:val="39"/>
    <w:semiHidden/>
    <w:unhideWhenUsed/>
    <w:qFormat/>
    <w:rsid w:val="007F15B8"/>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7668"/>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qFormat/>
    <w:rsid w:val="00576EB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Batang"/>
      <w:b/>
      <w:b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61016A"/>
    <w:pPr>
      <w:tabs>
        <w:tab w:val="left" w:pos="1440"/>
        <w:tab w:val="right" w:leader="dot" w:pos="9350"/>
      </w:tabs>
      <w:spacing w:after="100"/>
      <w:ind w:left="1440" w:hanging="720"/>
    </w:pPr>
    <w:rPr>
      <w:rFonts w:ascii="Cambria" w:hAnsi="Cambria"/>
      <w:b/>
      <w:noProof/>
      <w:sz w:val="20"/>
      <w:szCs w:val="20"/>
      <w:lang w:val="es-CO"/>
    </w:r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referencia nota al pi...,4_G,16 Point,Superscript 6 Point,Texto nota al pie"/>
    <w:basedOn w:val="DefaultParagraphFont"/>
    <w:link w:val="Refdenotaalpi"/>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rsid w:val="00576EB4"/>
    <w:rPr>
      <w:rFonts w:eastAsia="Batang"/>
      <w:b/>
      <w:bCs/>
      <w:sz w:val="28"/>
      <w:szCs w:val="28"/>
      <w:bdr w:val="none" w:sz="0" w:space="0" w:color="auto"/>
      <w:lang w:val="en-US" w:eastAsia="en-US"/>
    </w:rPr>
  </w:style>
  <w:style w:type="paragraph" w:styleId="Title">
    <w:name w:val="Title"/>
    <w:basedOn w:val="Normal"/>
    <w:link w:val="TitleChar"/>
    <w:qFormat/>
    <w:rsid w:val="00576EB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Univers" w:eastAsia="Batang" w:hAnsi="Univers" w:cs="Arial"/>
      <w:b/>
      <w:sz w:val="22"/>
      <w:bdr w:val="none" w:sz="0" w:space="0" w:color="auto"/>
      <w:lang w:val="es-AR"/>
    </w:rPr>
  </w:style>
  <w:style w:type="character" w:customStyle="1" w:styleId="TitleChar">
    <w:name w:val="Title Char"/>
    <w:basedOn w:val="DefaultParagraphFont"/>
    <w:link w:val="Title"/>
    <w:rsid w:val="00576EB4"/>
    <w:rPr>
      <w:rFonts w:ascii="Univers" w:eastAsia="Batang" w:hAnsi="Univers" w:cs="Arial"/>
      <w:b/>
      <w:sz w:val="22"/>
      <w:szCs w:val="24"/>
      <w:bdr w:val="none" w:sz="0" w:space="0" w:color="auto"/>
      <w:lang w:val="es-AR" w:eastAsia="en-US"/>
    </w:rPr>
  </w:style>
  <w:style w:type="paragraph" w:styleId="BodyText3">
    <w:name w:val="Body Text 3"/>
    <w:basedOn w:val="Normal"/>
    <w:link w:val="BodyText3Char"/>
    <w:rsid w:val="00576E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Batang"/>
      <w:sz w:val="16"/>
      <w:szCs w:val="16"/>
      <w:bdr w:val="none" w:sz="0" w:space="0" w:color="auto"/>
    </w:rPr>
  </w:style>
  <w:style w:type="character" w:customStyle="1" w:styleId="BodyText3Char">
    <w:name w:val="Body Text 3 Char"/>
    <w:basedOn w:val="DefaultParagraphFont"/>
    <w:link w:val="BodyText3"/>
    <w:rsid w:val="00576EB4"/>
    <w:rPr>
      <w:rFonts w:eastAsia="Batang"/>
      <w:sz w:val="16"/>
      <w:szCs w:val="16"/>
      <w:bdr w:val="none" w:sz="0" w:space="0" w:color="auto"/>
      <w:lang w:val="en-US" w:eastAsia="en-US"/>
    </w:rPr>
  </w:style>
  <w:style w:type="paragraph" w:styleId="BodyText2">
    <w:name w:val="Body Text 2"/>
    <w:basedOn w:val="Normal"/>
    <w:link w:val="BodyText2Char"/>
    <w:rsid w:val="00576EB4"/>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Batang"/>
      <w:bdr w:val="none" w:sz="0" w:space="0" w:color="auto"/>
    </w:rPr>
  </w:style>
  <w:style w:type="character" w:customStyle="1" w:styleId="BodyText2Char">
    <w:name w:val="Body Text 2 Char"/>
    <w:basedOn w:val="DefaultParagraphFont"/>
    <w:link w:val="BodyText2"/>
    <w:rsid w:val="00576EB4"/>
    <w:rPr>
      <w:rFonts w:eastAsia="Batang"/>
      <w:sz w:val="24"/>
      <w:szCs w:val="24"/>
      <w:bdr w:val="none" w:sz="0" w:space="0" w:color="auto"/>
      <w:lang w:val="en-US" w:eastAsia="en-US"/>
    </w:rPr>
  </w:style>
  <w:style w:type="character" w:styleId="Strong">
    <w:name w:val="Strong"/>
    <w:uiPriority w:val="22"/>
    <w:qFormat/>
    <w:rsid w:val="00576EB4"/>
    <w:rPr>
      <w:b/>
      <w:bCs/>
    </w:rPr>
  </w:style>
  <w:style w:type="paragraph" w:customStyle="1" w:styleId="Textonotapie1">
    <w:name w:val="Texto nota pie1"/>
    <w:basedOn w:val="Normal"/>
    <w:semiHidden/>
    <w:rsid w:val="00576EB4"/>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lang w:val="es-ES_tradnl" w:eastAsia="es-ES"/>
    </w:rPr>
  </w:style>
  <w:style w:type="paragraph" w:styleId="NormalWeb">
    <w:name w:val="Normal (Web)"/>
    <w:basedOn w:val="Normal"/>
    <w:uiPriority w:val="99"/>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customStyle="1" w:styleId="Textoindependiente21">
    <w:name w:val="Texto independiente 21"/>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jc w:val="both"/>
    </w:pPr>
    <w:rPr>
      <w:rFonts w:ascii="Verdana" w:eastAsia="Batang" w:hAnsi="Verdana"/>
      <w:sz w:val="20"/>
      <w:szCs w:val="20"/>
      <w:bdr w:val="none" w:sz="0" w:space="0" w:color="auto"/>
      <w:lang w:val="es-ES_tradnl" w:eastAsia="es-ES"/>
    </w:rPr>
  </w:style>
  <w:style w:type="paragraph" w:customStyle="1" w:styleId="Normal1">
    <w:name w:val="Normal1"/>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Batang"/>
      <w:bdr w:val="none" w:sz="0" w:space="0" w:color="auto"/>
    </w:rPr>
  </w:style>
  <w:style w:type="character" w:customStyle="1" w:styleId="Heading1CharCharCharCharCharChar">
    <w:name w:val="Heading 1 Char Char Char Char Char Char"/>
    <w:rsid w:val="00576EB4"/>
    <w:rPr>
      <w:rFonts w:ascii="Univers" w:hAnsi="Univers" w:cs="Arial"/>
      <w:kern w:val="36"/>
      <w:sz w:val="22"/>
      <w:szCs w:val="22"/>
      <w:lang w:val="en-US" w:eastAsia="en-US" w:bidi="ar-SA"/>
    </w:rPr>
  </w:style>
  <w:style w:type="paragraph" w:customStyle="1" w:styleId="Sangradetindependiente">
    <w:name w:val="SangrÌa de t. independiente"/>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tLeast"/>
    </w:pPr>
    <w:rPr>
      <w:rFonts w:ascii="Garamond" w:eastAsia="Times New Roman" w:hAnsi="Garamond"/>
      <w:szCs w:val="20"/>
      <w:bdr w:val="none" w:sz="0" w:space="0" w:color="auto"/>
      <w:lang w:val="es-ES_tradnl" w:eastAsia="ar-SA"/>
    </w:rPr>
  </w:style>
  <w:style w:type="character" w:customStyle="1" w:styleId="FootnoteCharacters">
    <w:name w:val="Footnote Characters"/>
    <w:rsid w:val="00576EB4"/>
    <w:rPr>
      <w:vertAlign w:val="superscript"/>
    </w:rPr>
  </w:style>
  <w:style w:type="character" w:customStyle="1" w:styleId="WW-FootnoteCharacters">
    <w:name w:val="WW-Footnote Characters"/>
    <w:rsid w:val="00576EB4"/>
    <w:rPr>
      <w:vertAlign w:val="superscript"/>
    </w:rPr>
  </w:style>
  <w:style w:type="character" w:customStyle="1" w:styleId="apple-style-span">
    <w:name w:val="apple-style-span"/>
    <w:basedOn w:val="DefaultParagraphFont"/>
    <w:rsid w:val="00576EB4"/>
  </w:style>
  <w:style w:type="character" w:styleId="CommentReference">
    <w:name w:val="annotation reference"/>
    <w:semiHidden/>
    <w:rsid w:val="00576EB4"/>
    <w:rPr>
      <w:sz w:val="16"/>
      <w:szCs w:val="16"/>
    </w:rPr>
  </w:style>
  <w:style w:type="paragraph" w:styleId="CommentText">
    <w:name w:val="annotation text"/>
    <w:basedOn w:val="Normal"/>
    <w:link w:val="CommentTextChar"/>
    <w:uiPriority w:val="99"/>
    <w:rsid w:val="00576EB4"/>
    <w:pPr>
      <w:pBdr>
        <w:top w:val="none" w:sz="0" w:space="0" w:color="auto"/>
        <w:left w:val="none" w:sz="0" w:space="0" w:color="auto"/>
        <w:bottom w:val="none" w:sz="0" w:space="0" w:color="auto"/>
        <w:right w:val="none" w:sz="0" w:space="0" w:color="auto"/>
        <w:between w:val="none" w:sz="0" w:space="0" w:color="auto"/>
        <w:bar w:val="none" w:sz="0" w:color="auto"/>
      </w:pBdr>
    </w:pPr>
    <w:rPr>
      <w:rFonts w:eastAsia="Batang"/>
      <w:sz w:val="20"/>
      <w:szCs w:val="20"/>
      <w:bdr w:val="none" w:sz="0" w:space="0" w:color="auto"/>
    </w:rPr>
  </w:style>
  <w:style w:type="character" w:customStyle="1" w:styleId="CommentTextChar">
    <w:name w:val="Comment Text Char"/>
    <w:basedOn w:val="DefaultParagraphFont"/>
    <w:link w:val="CommentText"/>
    <w:uiPriority w:val="99"/>
    <w:rsid w:val="00576EB4"/>
    <w:rPr>
      <w:rFonts w:eastAsia="Batang"/>
      <w:bdr w:val="none" w:sz="0" w:space="0" w:color="auto"/>
      <w:lang w:val="en-US" w:eastAsia="en-US"/>
    </w:rPr>
  </w:style>
  <w:style w:type="paragraph" w:styleId="CommentSubject">
    <w:name w:val="annotation subject"/>
    <w:basedOn w:val="CommentText"/>
    <w:next w:val="CommentText"/>
    <w:link w:val="CommentSubjectChar"/>
    <w:semiHidden/>
    <w:rsid w:val="00576EB4"/>
    <w:rPr>
      <w:b/>
      <w:bCs/>
    </w:rPr>
  </w:style>
  <w:style w:type="character" w:customStyle="1" w:styleId="CommentSubjectChar">
    <w:name w:val="Comment Subject Char"/>
    <w:basedOn w:val="CommentTextChar"/>
    <w:link w:val="CommentSubject"/>
    <w:semiHidden/>
    <w:rsid w:val="00576EB4"/>
    <w:rPr>
      <w:rFonts w:eastAsia="Batang"/>
      <w:b/>
      <w:bCs/>
      <w:bdr w:val="none" w:sz="0" w:space="0" w:color="auto"/>
      <w:lang w:val="en-US" w:eastAsia="en-US"/>
    </w:rPr>
  </w:style>
  <w:style w:type="paragraph" w:customStyle="1" w:styleId="listparagraph0">
    <w:name w:val="listparagraph"/>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576EB4"/>
  </w:style>
  <w:style w:type="paragraph" w:customStyle="1" w:styleId="paragnormal">
    <w:name w:val="paragnormal"/>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BlockText">
    <w:name w:val="Block Text"/>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num" w:pos="900"/>
        <w:tab w:val="left" w:pos="1260"/>
      </w:tabs>
      <w:ind w:left="1440" w:right="720"/>
      <w:jc w:val="both"/>
    </w:pPr>
    <w:rPr>
      <w:rFonts w:ascii="Verdana" w:eastAsia="Times" w:hAnsi="Verdana"/>
      <w:sz w:val="18"/>
      <w:szCs w:val="20"/>
      <w:bdr w:val="none" w:sz="0" w:space="0" w:color="auto"/>
      <w:lang w:val="es-ES_tradnl" w:eastAsia="es-ES"/>
    </w:rPr>
  </w:style>
  <w:style w:type="paragraph" w:customStyle="1" w:styleId="JuPara">
    <w:name w:val="Ju_Para"/>
    <w:basedOn w:val="Normal"/>
    <w:rsid w:val="00576EB4"/>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284"/>
      <w:jc w:val="both"/>
    </w:pPr>
    <w:rPr>
      <w:rFonts w:eastAsia="Times New Roman"/>
      <w:szCs w:val="20"/>
      <w:bdr w:val="none" w:sz="0" w:space="0" w:color="auto"/>
      <w:lang w:val="en-GB" w:eastAsia="es-ES"/>
    </w:rPr>
  </w:style>
  <w:style w:type="paragraph" w:customStyle="1" w:styleId="negritamayuscula">
    <w:name w:val="negrita mayuscula"/>
    <w:basedOn w:val="Normal"/>
    <w:rsid w:val="00576EB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lang w:val="es-ES_tradnl" w:eastAsia="es-ES"/>
    </w:rPr>
  </w:style>
  <w:style w:type="paragraph" w:styleId="BodyTextIndent3">
    <w:name w:val="Body Text Indent 3"/>
    <w:basedOn w:val="Normal"/>
    <w:link w:val="BodyTextIndent3Char"/>
    <w:rsid w:val="00576EB4"/>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Batang"/>
      <w:sz w:val="16"/>
      <w:szCs w:val="16"/>
      <w:bdr w:val="none" w:sz="0" w:space="0" w:color="auto"/>
    </w:rPr>
  </w:style>
  <w:style w:type="character" w:customStyle="1" w:styleId="BodyTextIndent3Char">
    <w:name w:val="Body Text Indent 3 Char"/>
    <w:basedOn w:val="DefaultParagraphFont"/>
    <w:link w:val="BodyTextIndent3"/>
    <w:rsid w:val="00576EB4"/>
    <w:rPr>
      <w:rFonts w:eastAsia="Batang"/>
      <w:sz w:val="16"/>
      <w:szCs w:val="16"/>
      <w:bdr w:val="none" w:sz="0" w:space="0" w:color="auto"/>
      <w:lang w:val="en-US" w:eastAsia="en-US"/>
    </w:rPr>
  </w:style>
  <w:style w:type="character" w:styleId="EndnoteReference">
    <w:name w:val="endnote reference"/>
    <w:semiHidden/>
    <w:rsid w:val="00576EB4"/>
    <w:rPr>
      <w:vertAlign w:val="superscript"/>
    </w:rPr>
  </w:style>
  <w:style w:type="character" w:styleId="FollowedHyperlink">
    <w:name w:val="FollowedHyperlink"/>
    <w:rsid w:val="00576EB4"/>
    <w:rPr>
      <w:color w:val="800080"/>
      <w:u w:val="single"/>
    </w:rPr>
  </w:style>
  <w:style w:type="paragraph" w:customStyle="1" w:styleId="Sangradetindependiente2">
    <w:name w:val="Sangría de t. independiente2"/>
    <w:basedOn w:val="Normal"/>
    <w:rsid w:val="00576EB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paragraph" w:customStyle="1" w:styleId="Sangradetindependiente20">
    <w:name w:val="SangrÌa de t. independiente2"/>
    <w:basedOn w:val="Normal"/>
    <w:rsid w:val="00576EB4"/>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tLeast"/>
    </w:pPr>
    <w:rPr>
      <w:rFonts w:ascii="Arial" w:eastAsia="Times New Roman" w:hAnsi="Arial"/>
      <w:szCs w:val="20"/>
      <w:bdr w:val="none" w:sz="0" w:space="0" w:color="auto"/>
      <w:lang w:val="es-ES_tradnl" w:eastAsia="es-ES"/>
    </w:rPr>
  </w:style>
  <w:style w:type="character" w:customStyle="1" w:styleId="ju-005fpara-002cleft-002cfirst-0020line-003a-0020-00200-0020cm--char">
    <w:name w:val="ju-005fpara-002cleft-002cfirst-0020line-003a-0020-00200-0020cm--char"/>
    <w:rsid w:val="00576EB4"/>
  </w:style>
  <w:style w:type="paragraph" w:customStyle="1" w:styleId="Style4">
    <w:name w:val="Style4"/>
    <w:basedOn w:val="Heading2"/>
    <w:rsid w:val="00576E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pPr>
    <w:rPr>
      <w:rFonts w:ascii="Verdana" w:eastAsia="MS Mincho" w:hAnsi="Verdana" w:cs="Garamond"/>
      <w:i w:val="0"/>
      <w:iCs w:val="0"/>
      <w:smallCaps/>
      <w:sz w:val="20"/>
      <w:szCs w:val="20"/>
      <w:lang w:val="es-ES_tradnl"/>
    </w:rPr>
  </w:style>
  <w:style w:type="paragraph" w:customStyle="1" w:styleId="Style9">
    <w:name w:val="Style9"/>
    <w:basedOn w:val="Heading3"/>
    <w:autoRedefine/>
    <w:rsid w:val="00576EB4"/>
    <w:pPr>
      <w:numPr>
        <w:numId w:val="58"/>
      </w:numPr>
      <w:spacing w:before="120" w:after="120"/>
      <w:jc w:val="both"/>
    </w:pPr>
    <w:rPr>
      <w:rFonts w:ascii="Verdana" w:eastAsia="MS Mincho" w:hAnsi="Verdana"/>
      <w:i/>
      <w:sz w:val="20"/>
      <w:szCs w:val="20"/>
      <w:lang w:val="es-ES_tradnl"/>
    </w:rPr>
  </w:style>
  <w:style w:type="paragraph" w:styleId="NoSpacing">
    <w:name w:val="No Spacing"/>
    <w:qFormat/>
    <w:rsid w:val="00576EB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libri" w:eastAsia="Times New Roman" w:hAnsi="Calibri" w:cs="Calibri"/>
      <w:sz w:val="22"/>
      <w:szCs w:val="22"/>
      <w:bdr w:val="none" w:sz="0" w:space="0" w:color="auto"/>
      <w:lang w:eastAsia="en-US"/>
    </w:rPr>
  </w:style>
  <w:style w:type="paragraph" w:styleId="HTMLPreformatted">
    <w:name w:val="HTML Preformatted"/>
    <w:basedOn w:val="Normal"/>
    <w:link w:val="HTMLPreformattedChar"/>
    <w:uiPriority w:val="99"/>
    <w:unhideWhenUsed/>
    <w:rsid w:val="00576EB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576EB4"/>
    <w:rPr>
      <w:rFonts w:ascii="Courier New" w:eastAsia="Times New Roman" w:hAnsi="Courier New" w:cs="Courier New"/>
      <w:bdr w:val="none" w:sz="0" w:space="0" w:color="auto"/>
      <w:lang w:val="en-US" w:eastAsia="en-US"/>
    </w:rPr>
  </w:style>
  <w:style w:type="paragraph" w:customStyle="1" w:styleId="PrrafodeSentencia">
    <w:name w:val="*. Párrafo de Sentencia"/>
    <w:basedOn w:val="Normal"/>
    <w:next w:val="Normal"/>
    <w:link w:val="PrrafodeSentenciaChar"/>
    <w:qFormat/>
    <w:rsid w:val="00A10EFE"/>
    <w:pPr>
      <w:numPr>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firstLine="0"/>
      <w:jc w:val="both"/>
    </w:pPr>
    <w:rPr>
      <w:rFonts w:ascii="Verdana" w:eastAsia="Batang" w:hAnsi="Verdana"/>
      <w:spacing w:val="-4"/>
      <w:sz w:val="20"/>
      <w:szCs w:val="22"/>
      <w:bdr w:val="none" w:sz="0" w:space="0" w:color="auto"/>
      <w:lang w:val="es-CR" w:eastAsia="es-MX"/>
    </w:rPr>
  </w:style>
  <w:style w:type="character" w:customStyle="1" w:styleId="PrrafodeSentenciaChar">
    <w:name w:val="*. Párrafo de Sentencia Char"/>
    <w:basedOn w:val="DefaultParagraphFont"/>
    <w:link w:val="PrrafodeSentencia"/>
    <w:rsid w:val="00A10EFE"/>
    <w:rPr>
      <w:rFonts w:ascii="Verdana" w:eastAsia="Batang" w:hAnsi="Verdana"/>
      <w:spacing w:val="-4"/>
      <w:szCs w:val="22"/>
      <w:bdr w:val="none" w:sz="0" w:space="0" w:color="auto"/>
      <w:lang w:val="es-CR" w:eastAsia="es-MX"/>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1,ft Char1"/>
    <w:uiPriority w:val="99"/>
    <w:locked/>
    <w:rsid w:val="00300951"/>
    <w:rPr>
      <w:rFonts w:ascii="Univers" w:eastAsia="SimSun" w:hAnsi="Univers"/>
      <w:sz w:val="16"/>
      <w:lang w:val="en-US" w:eastAsia="zh-CN"/>
    </w:rPr>
  </w:style>
  <w:style w:type="paragraph" w:customStyle="1" w:styleId="Refdenotaalpi">
    <w:name w:val="Ref. de nota al pi"/>
    <w:aliases w:val="f1"/>
    <w:basedOn w:val="Normal"/>
    <w:link w:val="FootnoteReference"/>
    <w:uiPriority w:val="99"/>
    <w:rsid w:val="00E327BF"/>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sz w:val="20"/>
      <w:szCs w:val="20"/>
      <w:vertAlign w:val="superscript"/>
      <w:lang w:val="es-ES" w:eastAsia="es-ES"/>
    </w:rPr>
  </w:style>
  <w:style w:type="character" w:customStyle="1" w:styleId="ListParagraphChar">
    <w:name w:val="List Paragraph Char"/>
    <w:link w:val="ListParagraph"/>
    <w:uiPriority w:val="99"/>
    <w:locked/>
    <w:rsid w:val="00887F90"/>
    <w:rPr>
      <w:rFonts w:ascii="Cambria" w:eastAsia="Cambria" w:hAnsi="Cambria" w:cs="Cambria"/>
      <w:color w:val="000000"/>
      <w:sz w:val="24"/>
      <w:szCs w:val="24"/>
      <w:u w:color="000000"/>
      <w:lang w:val="en-US"/>
    </w:rPr>
  </w:style>
  <w:style w:type="paragraph" w:styleId="TOCHeading">
    <w:name w:val="TOC Heading"/>
    <w:basedOn w:val="Heading1"/>
    <w:next w:val="Normal"/>
    <w:uiPriority w:val="39"/>
    <w:semiHidden/>
    <w:unhideWhenUsed/>
    <w:qFormat/>
    <w:rsid w:val="007F15B8"/>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1453">
      <w:bodyDiv w:val="1"/>
      <w:marLeft w:val="0"/>
      <w:marRight w:val="0"/>
      <w:marTop w:val="0"/>
      <w:marBottom w:val="0"/>
      <w:divBdr>
        <w:top w:val="none" w:sz="0" w:space="0" w:color="auto"/>
        <w:left w:val="none" w:sz="0" w:space="0" w:color="auto"/>
        <w:bottom w:val="none" w:sz="0" w:space="0" w:color="auto"/>
        <w:right w:val="none" w:sz="0" w:space="0" w:color="auto"/>
      </w:divBdr>
      <w:divsChild>
        <w:div w:id="26909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9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429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559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7754754">
      <w:bodyDiv w:val="1"/>
      <w:marLeft w:val="0"/>
      <w:marRight w:val="0"/>
      <w:marTop w:val="0"/>
      <w:marBottom w:val="0"/>
      <w:divBdr>
        <w:top w:val="none" w:sz="0" w:space="0" w:color="auto"/>
        <w:left w:val="none" w:sz="0" w:space="0" w:color="auto"/>
        <w:bottom w:val="none" w:sz="0" w:space="0" w:color="auto"/>
        <w:right w:val="none" w:sz="0" w:space="0" w:color="auto"/>
      </w:divBdr>
    </w:div>
    <w:div w:id="291205302">
      <w:bodyDiv w:val="1"/>
      <w:marLeft w:val="0"/>
      <w:marRight w:val="0"/>
      <w:marTop w:val="0"/>
      <w:marBottom w:val="0"/>
      <w:divBdr>
        <w:top w:val="none" w:sz="0" w:space="0" w:color="auto"/>
        <w:left w:val="none" w:sz="0" w:space="0" w:color="auto"/>
        <w:bottom w:val="none" w:sz="0" w:space="0" w:color="auto"/>
        <w:right w:val="none" w:sz="0" w:space="0" w:color="auto"/>
      </w:divBdr>
    </w:div>
    <w:div w:id="532040803">
      <w:bodyDiv w:val="1"/>
      <w:marLeft w:val="0"/>
      <w:marRight w:val="0"/>
      <w:marTop w:val="0"/>
      <w:marBottom w:val="0"/>
      <w:divBdr>
        <w:top w:val="none" w:sz="0" w:space="0" w:color="auto"/>
        <w:left w:val="none" w:sz="0" w:space="0" w:color="auto"/>
        <w:bottom w:val="none" w:sz="0" w:space="0" w:color="auto"/>
        <w:right w:val="none" w:sz="0" w:space="0" w:color="auto"/>
      </w:divBdr>
    </w:div>
    <w:div w:id="764690630">
      <w:bodyDiv w:val="1"/>
      <w:marLeft w:val="0"/>
      <w:marRight w:val="0"/>
      <w:marTop w:val="0"/>
      <w:marBottom w:val="0"/>
      <w:divBdr>
        <w:top w:val="none" w:sz="0" w:space="0" w:color="auto"/>
        <w:left w:val="none" w:sz="0" w:space="0" w:color="auto"/>
        <w:bottom w:val="none" w:sz="0" w:space="0" w:color="auto"/>
        <w:right w:val="none" w:sz="0" w:space="0" w:color="auto"/>
      </w:divBdr>
    </w:div>
    <w:div w:id="1108428319">
      <w:bodyDiv w:val="1"/>
      <w:marLeft w:val="0"/>
      <w:marRight w:val="0"/>
      <w:marTop w:val="0"/>
      <w:marBottom w:val="0"/>
      <w:divBdr>
        <w:top w:val="none" w:sz="0" w:space="0" w:color="auto"/>
        <w:left w:val="none" w:sz="0" w:space="0" w:color="auto"/>
        <w:bottom w:val="none" w:sz="0" w:space="0" w:color="auto"/>
        <w:right w:val="none" w:sz="0" w:space="0" w:color="auto"/>
      </w:divBdr>
    </w:div>
    <w:div w:id="1129396899">
      <w:bodyDiv w:val="1"/>
      <w:marLeft w:val="0"/>
      <w:marRight w:val="0"/>
      <w:marTop w:val="0"/>
      <w:marBottom w:val="0"/>
      <w:divBdr>
        <w:top w:val="none" w:sz="0" w:space="0" w:color="auto"/>
        <w:left w:val="none" w:sz="0" w:space="0" w:color="auto"/>
        <w:bottom w:val="none" w:sz="0" w:space="0" w:color="auto"/>
        <w:right w:val="none" w:sz="0" w:space="0" w:color="auto"/>
      </w:divBdr>
    </w:div>
    <w:div w:id="1195773858">
      <w:bodyDiv w:val="1"/>
      <w:marLeft w:val="0"/>
      <w:marRight w:val="0"/>
      <w:marTop w:val="0"/>
      <w:marBottom w:val="0"/>
      <w:divBdr>
        <w:top w:val="none" w:sz="0" w:space="0" w:color="auto"/>
        <w:left w:val="none" w:sz="0" w:space="0" w:color="auto"/>
        <w:bottom w:val="none" w:sz="0" w:space="0" w:color="auto"/>
        <w:right w:val="none" w:sz="0" w:space="0" w:color="auto"/>
      </w:divBdr>
    </w:div>
    <w:div w:id="1207445432">
      <w:bodyDiv w:val="1"/>
      <w:marLeft w:val="0"/>
      <w:marRight w:val="0"/>
      <w:marTop w:val="0"/>
      <w:marBottom w:val="0"/>
      <w:divBdr>
        <w:top w:val="none" w:sz="0" w:space="0" w:color="auto"/>
        <w:left w:val="none" w:sz="0" w:space="0" w:color="auto"/>
        <w:bottom w:val="none" w:sz="0" w:space="0" w:color="auto"/>
        <w:right w:val="none" w:sz="0" w:space="0" w:color="auto"/>
      </w:divBdr>
    </w:div>
    <w:div w:id="1330988457">
      <w:bodyDiv w:val="1"/>
      <w:marLeft w:val="0"/>
      <w:marRight w:val="0"/>
      <w:marTop w:val="0"/>
      <w:marBottom w:val="0"/>
      <w:divBdr>
        <w:top w:val="none" w:sz="0" w:space="0" w:color="auto"/>
        <w:left w:val="none" w:sz="0" w:space="0" w:color="auto"/>
        <w:bottom w:val="none" w:sz="0" w:space="0" w:color="auto"/>
        <w:right w:val="none" w:sz="0" w:space="0" w:color="auto"/>
      </w:divBdr>
    </w:div>
    <w:div w:id="1386182504">
      <w:bodyDiv w:val="1"/>
      <w:marLeft w:val="0"/>
      <w:marRight w:val="0"/>
      <w:marTop w:val="0"/>
      <w:marBottom w:val="0"/>
      <w:divBdr>
        <w:top w:val="none" w:sz="0" w:space="0" w:color="auto"/>
        <w:left w:val="none" w:sz="0" w:space="0" w:color="auto"/>
        <w:bottom w:val="none" w:sz="0" w:space="0" w:color="auto"/>
        <w:right w:val="none" w:sz="0" w:space="0" w:color="auto"/>
      </w:divBdr>
    </w:div>
    <w:div w:id="1394889011">
      <w:bodyDiv w:val="1"/>
      <w:marLeft w:val="0"/>
      <w:marRight w:val="0"/>
      <w:marTop w:val="0"/>
      <w:marBottom w:val="0"/>
      <w:divBdr>
        <w:top w:val="none" w:sz="0" w:space="0" w:color="auto"/>
        <w:left w:val="none" w:sz="0" w:space="0" w:color="auto"/>
        <w:bottom w:val="none" w:sz="0" w:space="0" w:color="auto"/>
        <w:right w:val="none" w:sz="0" w:space="0" w:color="auto"/>
      </w:divBdr>
      <w:divsChild>
        <w:div w:id="1789738470">
          <w:marLeft w:val="0"/>
          <w:marRight w:val="0"/>
          <w:marTop w:val="0"/>
          <w:marBottom w:val="0"/>
          <w:divBdr>
            <w:top w:val="none" w:sz="0" w:space="0" w:color="auto"/>
            <w:left w:val="none" w:sz="0" w:space="0" w:color="auto"/>
            <w:bottom w:val="none" w:sz="0" w:space="0" w:color="auto"/>
            <w:right w:val="none" w:sz="0" w:space="0" w:color="auto"/>
          </w:divBdr>
          <w:divsChild>
            <w:div w:id="11230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94498">
      <w:bodyDiv w:val="1"/>
      <w:marLeft w:val="0"/>
      <w:marRight w:val="0"/>
      <w:marTop w:val="0"/>
      <w:marBottom w:val="0"/>
      <w:divBdr>
        <w:top w:val="none" w:sz="0" w:space="0" w:color="auto"/>
        <w:left w:val="none" w:sz="0" w:space="0" w:color="auto"/>
        <w:bottom w:val="none" w:sz="0" w:space="0" w:color="auto"/>
        <w:right w:val="none" w:sz="0" w:space="0" w:color="auto"/>
      </w:divBdr>
    </w:div>
    <w:div w:id="1586958878">
      <w:bodyDiv w:val="1"/>
      <w:marLeft w:val="0"/>
      <w:marRight w:val="0"/>
      <w:marTop w:val="0"/>
      <w:marBottom w:val="0"/>
      <w:divBdr>
        <w:top w:val="none" w:sz="0" w:space="0" w:color="auto"/>
        <w:left w:val="none" w:sz="0" w:space="0" w:color="auto"/>
        <w:bottom w:val="none" w:sz="0" w:space="0" w:color="auto"/>
        <w:right w:val="none" w:sz="0" w:space="0" w:color="auto"/>
      </w:divBdr>
    </w:div>
    <w:div w:id="1631130526">
      <w:bodyDiv w:val="1"/>
      <w:marLeft w:val="0"/>
      <w:marRight w:val="0"/>
      <w:marTop w:val="0"/>
      <w:marBottom w:val="0"/>
      <w:divBdr>
        <w:top w:val="none" w:sz="0" w:space="0" w:color="auto"/>
        <w:left w:val="none" w:sz="0" w:space="0" w:color="auto"/>
        <w:bottom w:val="none" w:sz="0" w:space="0" w:color="auto"/>
        <w:right w:val="none" w:sz="0" w:space="0" w:color="auto"/>
      </w:divBdr>
    </w:div>
    <w:div w:id="177204958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7093676">
      <w:bodyDiv w:val="1"/>
      <w:marLeft w:val="0"/>
      <w:marRight w:val="0"/>
      <w:marTop w:val="0"/>
      <w:marBottom w:val="0"/>
      <w:divBdr>
        <w:top w:val="none" w:sz="0" w:space="0" w:color="auto"/>
        <w:left w:val="none" w:sz="0" w:space="0" w:color="auto"/>
        <w:bottom w:val="none" w:sz="0" w:space="0" w:color="auto"/>
        <w:right w:val="none" w:sz="0" w:space="0" w:color="auto"/>
      </w:divBdr>
    </w:div>
    <w:div w:id="1888909632">
      <w:bodyDiv w:val="1"/>
      <w:marLeft w:val="0"/>
      <w:marRight w:val="0"/>
      <w:marTop w:val="0"/>
      <w:marBottom w:val="0"/>
      <w:divBdr>
        <w:top w:val="none" w:sz="0" w:space="0" w:color="auto"/>
        <w:left w:val="none" w:sz="0" w:space="0" w:color="auto"/>
        <w:bottom w:val="none" w:sz="0" w:space="0" w:color="auto"/>
        <w:right w:val="none" w:sz="0" w:space="0" w:color="auto"/>
      </w:divBdr>
    </w:div>
    <w:div w:id="1894732313">
      <w:bodyDiv w:val="1"/>
      <w:marLeft w:val="0"/>
      <w:marRight w:val="0"/>
      <w:marTop w:val="0"/>
      <w:marBottom w:val="0"/>
      <w:divBdr>
        <w:top w:val="none" w:sz="0" w:space="0" w:color="auto"/>
        <w:left w:val="none" w:sz="0" w:space="0" w:color="auto"/>
        <w:bottom w:val="none" w:sz="0" w:space="0" w:color="auto"/>
        <w:right w:val="none" w:sz="0" w:space="0" w:color="auto"/>
      </w:divBdr>
    </w:div>
    <w:div w:id="2078625592">
      <w:bodyDiv w:val="1"/>
      <w:marLeft w:val="0"/>
      <w:marRight w:val="0"/>
      <w:marTop w:val="0"/>
      <w:marBottom w:val="0"/>
      <w:divBdr>
        <w:top w:val="none" w:sz="0" w:space="0" w:color="auto"/>
        <w:left w:val="none" w:sz="0" w:space="0" w:color="auto"/>
        <w:bottom w:val="none" w:sz="0" w:space="0" w:color="auto"/>
        <w:right w:val="none" w:sz="0" w:space="0" w:color="auto"/>
      </w:divBdr>
    </w:div>
    <w:div w:id="2124421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expresion/docs/informes/anuales/Informe%20Anual%202009%201%20ESP.pdf" TargetMode="External"/><Relationship Id="rId3" Type="http://schemas.openxmlformats.org/officeDocument/2006/relationships/hyperlink" Target="http://www.martinoticias.com/a/fallecio-infarto-disidente-cubano-felix-bonne-carcasses/136771.html" TargetMode="External"/><Relationship Id="rId7" Type="http://schemas.openxmlformats.org/officeDocument/2006/relationships/hyperlink" Target="http://www.oas.org/es/cidh/expresion/docs/informes/anuales/Informe%20Anual%202009%201%20ESP.pdf" TargetMode="External"/><Relationship Id="rId2" Type="http://schemas.openxmlformats.org/officeDocument/2006/relationships/hyperlink" Target="https://www.cubanet.org/noticias/fallece-el-opositor-cubano-felix-bonne-carcasses/" TargetMode="External"/><Relationship Id="rId1" Type="http://schemas.openxmlformats.org/officeDocument/2006/relationships/hyperlink" Target="http://www.cidh.oas.org/annualrep/2006sp/Cuba12476sp.htm" TargetMode="External"/><Relationship Id="rId6" Type="http://schemas.openxmlformats.org/officeDocument/2006/relationships/hyperlink" Target="http://www.oas.org/es/cidh/prensa/comunicados/2015/103.asp" TargetMode="External"/><Relationship Id="rId5" Type="http://schemas.openxmlformats.org/officeDocument/2006/relationships/hyperlink" Target="http://www.oas.org/es/cidh/expresion/docs/informes/anuales/Informe%20Anual%202009%201%20ESP.pdf" TargetMode="External"/><Relationship Id="rId4" Type="http://schemas.openxmlformats.org/officeDocument/2006/relationships/hyperlink" Target="http://www.14ymedio.com/nacional/Fallece-Felix-Bonne-Carcasses-Patria_0_2141185861.html" TargetMode="External"/><Relationship Id="rId9" Type="http://schemas.openxmlformats.org/officeDocument/2006/relationships/hyperlink" Target="https://www.opensocietyfoundations.org/sites/default/files/tshwane-espanol-10302014%20%281%2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6855-3C14-476A-9AD3-47A6E221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18249</Words>
  <Characters>104023</Characters>
  <Application>Microsoft Office Word</Application>
  <DocSecurity>0</DocSecurity>
  <Lines>866</Lines>
  <Paragraphs>244</Paragraphs>
  <ScaleCrop>false</ScaleCrop>
  <Company/>
  <LinksUpToDate>false</LinksUpToDate>
  <CharactersWithSpaces>122028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27/18</dc:title>
  <dc:creator/>
  <cp:lastModifiedBy/>
  <cp:revision>1</cp:revision>
  <dcterms:created xsi:type="dcterms:W3CDTF">2018-04-03T19:06:00Z</dcterms:created>
  <dcterms:modified xsi:type="dcterms:W3CDTF">2018-04-03T19:06:00Z</dcterms:modified>
</cp:coreProperties>
</file>