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F251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F28496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35F1D">
                              <w:rPr>
                                <w:rFonts w:asciiTheme="majorHAnsi" w:hAnsiTheme="majorHAnsi" w:cs="Arial"/>
                                <w:b/>
                                <w:bCs/>
                                <w:color w:val="0D0D0D" w:themeColor="text1" w:themeTint="F2"/>
                                <w:sz w:val="36"/>
                                <w:szCs w:val="22"/>
                                <w:lang w:val="es-ES_tradnl"/>
                              </w:rPr>
                              <w:t>129</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33B4595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F6996">
                              <w:rPr>
                                <w:rFonts w:asciiTheme="majorHAnsi" w:hAnsiTheme="majorHAnsi" w:cs="Arial"/>
                                <w:b/>
                                <w:color w:val="0D0D0D" w:themeColor="text1" w:themeTint="F2"/>
                                <w:sz w:val="36"/>
                                <w:szCs w:val="22"/>
                                <w:lang w:val="es-ES_tradnl"/>
                              </w:rPr>
                              <w:t>1256</w:t>
                            </w:r>
                            <w:r w:rsidR="00246D1F" w:rsidRPr="004E2649">
                              <w:rPr>
                                <w:rFonts w:asciiTheme="majorHAnsi" w:hAnsiTheme="majorHAnsi" w:cs="Arial"/>
                                <w:b/>
                                <w:color w:val="0D0D0D" w:themeColor="text1" w:themeTint="F2"/>
                                <w:sz w:val="36"/>
                                <w:szCs w:val="22"/>
                                <w:lang w:val="es-ES_tradnl"/>
                              </w:rPr>
                              <w:t>-</w:t>
                            </w:r>
                            <w:r w:rsidR="003F6996">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28D43A1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50356C" w:rsidRDefault="008F1912" w:rsidP="00997BC5">
                            <w:pPr>
                              <w:spacing w:line="276" w:lineRule="auto"/>
                              <w:rPr>
                                <w:rFonts w:asciiTheme="majorHAnsi" w:hAnsiTheme="majorHAnsi" w:cs="Arial"/>
                                <w:color w:val="0D0D0D" w:themeColor="text1" w:themeTint="F2"/>
                                <w:lang w:val="es-ES"/>
                              </w:rPr>
                            </w:pPr>
                            <w:bookmarkStart w:id="1" w:name="_ftnref1"/>
                          </w:p>
                          <w:p w14:paraId="6AE40842" w14:textId="430BB4B1" w:rsidR="00636219" w:rsidRPr="00636219" w:rsidRDefault="00636219" w:rsidP="00997BC5">
                            <w:pPr>
                              <w:spacing w:line="276" w:lineRule="auto"/>
                              <w:rPr>
                                <w:rFonts w:asciiTheme="majorHAnsi" w:hAnsiTheme="majorHAnsi" w:cs="Arial"/>
                                <w:color w:val="0D0D0D" w:themeColor="text1" w:themeTint="F2"/>
                                <w:lang w:val="es-ES_tradnl"/>
                              </w:rPr>
                            </w:pPr>
                            <w:r w:rsidRPr="00636219">
                              <w:rPr>
                                <w:rFonts w:ascii="Cambria" w:hAnsi="Cambria"/>
                                <w:bCs/>
                                <w:lang w:val="es-ES"/>
                              </w:rPr>
                              <w:t>CORNELIO ANTONIO ISAZA ARANGO Y OTROS</w:t>
                            </w:r>
                          </w:p>
                          <w:p w14:paraId="4CFA2FBF" w14:textId="14F04A5E" w:rsidR="005B52B0" w:rsidRPr="0010736F" w:rsidRDefault="003F699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MASACRE DE LOS ASERRADEROS DE EL RETIRO</w:t>
                            </w:r>
                          </w:p>
                          <w:bookmarkEnd w:id="1"/>
                          <w:p w14:paraId="35068D0D" w14:textId="79D4185F" w:rsidR="005B52B0" w:rsidRPr="0010736F" w:rsidRDefault="003F699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F28496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35F1D">
                        <w:rPr>
                          <w:rFonts w:asciiTheme="majorHAnsi" w:hAnsiTheme="majorHAnsi" w:cs="Arial"/>
                          <w:b/>
                          <w:bCs/>
                          <w:color w:val="0D0D0D" w:themeColor="text1" w:themeTint="F2"/>
                          <w:sz w:val="36"/>
                          <w:szCs w:val="22"/>
                          <w:lang w:val="es-ES_tradnl"/>
                        </w:rPr>
                        <w:t>129</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33B4595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F6996">
                        <w:rPr>
                          <w:rFonts w:asciiTheme="majorHAnsi" w:hAnsiTheme="majorHAnsi" w:cs="Arial"/>
                          <w:b/>
                          <w:color w:val="0D0D0D" w:themeColor="text1" w:themeTint="F2"/>
                          <w:sz w:val="36"/>
                          <w:szCs w:val="22"/>
                          <w:lang w:val="es-ES_tradnl"/>
                        </w:rPr>
                        <w:t>1256</w:t>
                      </w:r>
                      <w:r w:rsidR="00246D1F" w:rsidRPr="004E2649">
                        <w:rPr>
                          <w:rFonts w:asciiTheme="majorHAnsi" w:hAnsiTheme="majorHAnsi" w:cs="Arial"/>
                          <w:b/>
                          <w:color w:val="0D0D0D" w:themeColor="text1" w:themeTint="F2"/>
                          <w:sz w:val="36"/>
                          <w:szCs w:val="22"/>
                          <w:lang w:val="es-ES_tradnl"/>
                        </w:rPr>
                        <w:t>-</w:t>
                      </w:r>
                      <w:r w:rsidR="003F6996">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28D43A1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50356C" w:rsidRDefault="008F1912" w:rsidP="00997BC5">
                      <w:pPr>
                        <w:spacing w:line="276" w:lineRule="auto"/>
                        <w:rPr>
                          <w:rFonts w:asciiTheme="majorHAnsi" w:hAnsiTheme="majorHAnsi" w:cs="Arial"/>
                          <w:color w:val="0D0D0D" w:themeColor="text1" w:themeTint="F2"/>
                          <w:lang w:val="es-ES"/>
                        </w:rPr>
                      </w:pPr>
                      <w:bookmarkStart w:id="2" w:name="_ftnref1"/>
                    </w:p>
                    <w:p w14:paraId="6AE40842" w14:textId="430BB4B1" w:rsidR="00636219" w:rsidRPr="00636219" w:rsidRDefault="00636219" w:rsidP="00997BC5">
                      <w:pPr>
                        <w:spacing w:line="276" w:lineRule="auto"/>
                        <w:rPr>
                          <w:rFonts w:asciiTheme="majorHAnsi" w:hAnsiTheme="majorHAnsi" w:cs="Arial"/>
                          <w:color w:val="0D0D0D" w:themeColor="text1" w:themeTint="F2"/>
                          <w:lang w:val="es-ES_tradnl"/>
                        </w:rPr>
                      </w:pPr>
                      <w:r w:rsidRPr="00636219">
                        <w:rPr>
                          <w:rFonts w:ascii="Cambria" w:hAnsi="Cambria"/>
                          <w:bCs/>
                          <w:lang w:val="es-ES"/>
                        </w:rPr>
                        <w:t>CORNELIO ANTONIO ISAZA ARANGO Y OTROS</w:t>
                      </w:r>
                    </w:p>
                    <w:p w14:paraId="4CFA2FBF" w14:textId="14F04A5E" w:rsidR="005B52B0" w:rsidRPr="0010736F" w:rsidRDefault="003F699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MASACRE DE LOS ASERRADEROS DE EL RETIRO</w:t>
                      </w:r>
                    </w:p>
                    <w:bookmarkEnd w:id="2"/>
                    <w:p w14:paraId="35068D0D" w14:textId="79D4185F" w:rsidR="005B52B0" w:rsidRPr="0010736F" w:rsidRDefault="003F699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4ED7541"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E12813E"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35F1D">
                              <w:rPr>
                                <w:rFonts w:asciiTheme="minorHAnsi" w:hAnsiTheme="minorHAnsi"/>
                                <w:color w:val="FFFFFF" w:themeColor="background1"/>
                                <w:sz w:val="22"/>
                                <w:lang w:val="pt-BR"/>
                              </w:rPr>
                              <w:t>146</w:t>
                            </w:r>
                          </w:p>
                          <w:p w14:paraId="69373ED2" w14:textId="622A1CD8" w:rsidR="00627C9F" w:rsidRPr="00961251" w:rsidRDefault="00435F1D"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20 noviembre</w:t>
                            </w:r>
                            <w:r w:rsidR="00627C9F" w:rsidRPr="00961251">
                              <w:rPr>
                                <w:rFonts w:asciiTheme="minorHAnsi" w:hAnsiTheme="minorHAnsi"/>
                                <w:color w:val="FFFFFF" w:themeColor="background1"/>
                                <w:sz w:val="22"/>
                                <w:lang w:val="es-MX"/>
                              </w:rPr>
                              <w:t xml:space="preserve"> 201</w:t>
                            </w:r>
                            <w:r w:rsidR="00834D49" w:rsidRPr="00961251">
                              <w:rPr>
                                <w:rFonts w:asciiTheme="minorHAnsi" w:hAnsiTheme="minorHAnsi"/>
                                <w:color w:val="FFFFFF" w:themeColor="background1"/>
                                <w:sz w:val="22"/>
                                <w:lang w:val="es-MX"/>
                              </w:rPr>
                              <w:t>8</w:t>
                            </w:r>
                          </w:p>
                          <w:p w14:paraId="0771DB5B" w14:textId="77777777" w:rsidR="00627C9F" w:rsidRPr="00961251" w:rsidRDefault="00E0340B" w:rsidP="007A5817">
                            <w:pPr>
                              <w:spacing w:line="276" w:lineRule="auto"/>
                              <w:jc w:val="right"/>
                              <w:rPr>
                                <w:rFonts w:asciiTheme="minorHAnsi" w:hAnsiTheme="minorHAnsi"/>
                                <w:color w:val="FFFFFF" w:themeColor="background1"/>
                                <w:sz w:val="22"/>
                                <w:lang w:val="es-MX"/>
                              </w:rPr>
                            </w:pPr>
                            <w:r w:rsidRPr="00961251">
                              <w:rPr>
                                <w:rFonts w:asciiTheme="minorHAnsi" w:hAnsiTheme="minorHAnsi"/>
                                <w:color w:val="FFFFFF" w:themeColor="background1"/>
                                <w:sz w:val="22"/>
                                <w:lang w:val="es-MX"/>
                              </w:rPr>
                              <w:t xml:space="preserve">Original: </w:t>
                            </w:r>
                            <w:r w:rsidR="008B12F5" w:rsidRPr="00961251">
                              <w:rPr>
                                <w:rFonts w:asciiTheme="minorHAnsi" w:hAnsiTheme="minorHAnsi"/>
                                <w:color w:val="FFFFFF" w:themeColor="background1"/>
                                <w:sz w:val="22"/>
                                <w:lang w:val="es-MX"/>
                              </w:rPr>
                              <w:t>e</w:t>
                            </w:r>
                            <w:r w:rsidR="00627C9F" w:rsidRPr="00961251">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4ED7541"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E12813E"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35F1D">
                        <w:rPr>
                          <w:rFonts w:asciiTheme="minorHAnsi" w:hAnsiTheme="minorHAnsi"/>
                          <w:color w:val="FFFFFF" w:themeColor="background1"/>
                          <w:sz w:val="22"/>
                          <w:lang w:val="pt-BR"/>
                        </w:rPr>
                        <w:t>146</w:t>
                      </w:r>
                    </w:p>
                    <w:p w14:paraId="69373ED2" w14:textId="622A1CD8" w:rsidR="00627C9F" w:rsidRPr="00961251" w:rsidRDefault="00435F1D"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20 noviembre</w:t>
                      </w:r>
                      <w:r w:rsidR="00627C9F" w:rsidRPr="00961251">
                        <w:rPr>
                          <w:rFonts w:asciiTheme="minorHAnsi" w:hAnsiTheme="minorHAnsi"/>
                          <w:color w:val="FFFFFF" w:themeColor="background1"/>
                          <w:sz w:val="22"/>
                          <w:lang w:val="es-MX"/>
                        </w:rPr>
                        <w:t xml:space="preserve"> 201</w:t>
                      </w:r>
                      <w:r w:rsidR="00834D49" w:rsidRPr="00961251">
                        <w:rPr>
                          <w:rFonts w:asciiTheme="minorHAnsi" w:hAnsiTheme="minorHAnsi"/>
                          <w:color w:val="FFFFFF" w:themeColor="background1"/>
                          <w:sz w:val="22"/>
                          <w:lang w:val="es-MX"/>
                        </w:rPr>
                        <w:t>8</w:t>
                      </w:r>
                    </w:p>
                    <w:p w14:paraId="0771DB5B" w14:textId="77777777" w:rsidR="00627C9F" w:rsidRPr="00961251" w:rsidRDefault="00E0340B" w:rsidP="007A5817">
                      <w:pPr>
                        <w:spacing w:line="276" w:lineRule="auto"/>
                        <w:jc w:val="right"/>
                        <w:rPr>
                          <w:rFonts w:asciiTheme="minorHAnsi" w:hAnsiTheme="minorHAnsi"/>
                          <w:color w:val="FFFFFF" w:themeColor="background1"/>
                          <w:sz w:val="22"/>
                          <w:lang w:val="es-MX"/>
                        </w:rPr>
                      </w:pPr>
                      <w:r w:rsidRPr="00961251">
                        <w:rPr>
                          <w:rFonts w:asciiTheme="minorHAnsi" w:hAnsiTheme="minorHAnsi"/>
                          <w:color w:val="FFFFFF" w:themeColor="background1"/>
                          <w:sz w:val="22"/>
                          <w:lang w:val="es-MX"/>
                        </w:rPr>
                        <w:t xml:space="preserve">Original: </w:t>
                      </w:r>
                      <w:r w:rsidR="008B12F5" w:rsidRPr="00961251">
                        <w:rPr>
                          <w:rFonts w:asciiTheme="minorHAnsi" w:hAnsiTheme="minorHAnsi"/>
                          <w:color w:val="FFFFFF" w:themeColor="background1"/>
                          <w:sz w:val="22"/>
                          <w:lang w:val="es-MX"/>
                        </w:rPr>
                        <w:t>e</w:t>
                      </w:r>
                      <w:r w:rsidR="00627C9F" w:rsidRPr="00961251">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3A6FC8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435F1D">
                              <w:rPr>
                                <w:rFonts w:asciiTheme="majorHAnsi" w:hAnsiTheme="majorHAnsi"/>
                                <w:color w:val="0D0D0D" w:themeColor="text1" w:themeTint="F2"/>
                                <w:sz w:val="18"/>
                                <w:szCs w:val="22"/>
                                <w:lang w:val="es-ES"/>
                              </w:rPr>
                              <w:t xml:space="preserve"> 20</w:t>
                            </w:r>
                            <w:r w:rsidRPr="00890650">
                              <w:rPr>
                                <w:rFonts w:asciiTheme="majorHAnsi" w:hAnsiTheme="majorHAnsi"/>
                                <w:color w:val="0D0D0D" w:themeColor="text1" w:themeTint="F2"/>
                                <w:sz w:val="18"/>
                                <w:szCs w:val="22"/>
                                <w:lang w:val="es-ES"/>
                              </w:rPr>
                              <w:t xml:space="preserve"> de </w:t>
                            </w:r>
                            <w:r w:rsidR="00435F1D">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4B0E9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03A6FC8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435F1D">
                        <w:rPr>
                          <w:rFonts w:asciiTheme="majorHAnsi" w:hAnsiTheme="majorHAnsi"/>
                          <w:color w:val="0D0D0D" w:themeColor="text1" w:themeTint="F2"/>
                          <w:sz w:val="18"/>
                          <w:szCs w:val="22"/>
                          <w:lang w:val="es-ES"/>
                        </w:rPr>
                        <w:t xml:space="preserve"> 20</w:t>
                      </w:r>
                      <w:r w:rsidRPr="00890650">
                        <w:rPr>
                          <w:rFonts w:asciiTheme="majorHAnsi" w:hAnsiTheme="majorHAnsi"/>
                          <w:color w:val="0D0D0D" w:themeColor="text1" w:themeTint="F2"/>
                          <w:sz w:val="18"/>
                          <w:szCs w:val="22"/>
                          <w:lang w:val="es-ES"/>
                        </w:rPr>
                        <w:t xml:space="preserve"> de </w:t>
                      </w:r>
                      <w:r w:rsidR="00435F1D">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4B0E9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132E031" w:rsidR="00113F73" w:rsidRPr="007B05C4" w:rsidRDefault="00113F73" w:rsidP="00221A35">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35F1D" w:rsidRPr="00435F1D">
                              <w:rPr>
                                <w:rFonts w:asciiTheme="majorHAnsi" w:hAnsiTheme="majorHAnsi"/>
                                <w:color w:val="595959" w:themeColor="text1" w:themeTint="A6"/>
                                <w:sz w:val="18"/>
                                <w:szCs w:val="18"/>
                                <w:lang w:val="pt-BR"/>
                              </w:rPr>
                              <w:t>129</w:t>
                            </w:r>
                            <w:r w:rsidR="007B05C4" w:rsidRPr="00435F1D">
                              <w:rPr>
                                <w:rFonts w:asciiTheme="majorHAnsi" w:hAnsiTheme="majorHAnsi"/>
                                <w:color w:val="595959" w:themeColor="text1" w:themeTint="A6"/>
                                <w:sz w:val="18"/>
                                <w:szCs w:val="18"/>
                                <w:lang w:val="pt-BR"/>
                              </w:rPr>
                              <w:t>/</w:t>
                            </w:r>
                            <w:r w:rsidR="003F6996" w:rsidRPr="00435F1D">
                              <w:rPr>
                                <w:rFonts w:asciiTheme="majorHAnsi" w:hAnsiTheme="majorHAnsi"/>
                                <w:color w:val="595959" w:themeColor="text1" w:themeTint="A6"/>
                                <w:sz w:val="18"/>
                                <w:szCs w:val="18"/>
                                <w:lang w:val="pt-BR"/>
                              </w:rPr>
                              <w:t xml:space="preserve">18. </w:t>
                            </w:r>
                            <w:r w:rsidRPr="00890650">
                              <w:rPr>
                                <w:rFonts w:asciiTheme="majorHAnsi" w:hAnsiTheme="majorHAnsi"/>
                                <w:color w:val="595959" w:themeColor="text1" w:themeTint="A6"/>
                                <w:sz w:val="18"/>
                                <w:szCs w:val="18"/>
                                <w:lang w:val="es-ES_tradnl"/>
                              </w:rPr>
                              <w:t>Admisibilidad</w:t>
                            </w:r>
                            <w:r w:rsidR="003F6996">
                              <w:rPr>
                                <w:rFonts w:asciiTheme="majorHAnsi" w:hAnsiTheme="majorHAnsi"/>
                                <w:color w:val="595959" w:themeColor="text1" w:themeTint="A6"/>
                                <w:sz w:val="18"/>
                                <w:szCs w:val="18"/>
                                <w:lang w:val="es-ES_tradnl"/>
                              </w:rPr>
                              <w:t>.</w:t>
                            </w:r>
                            <w:r w:rsidR="00221A35" w:rsidRPr="00221A35">
                              <w:rPr>
                                <w:lang w:val="es-ES"/>
                              </w:rPr>
                              <w:t xml:space="preserve"> </w:t>
                            </w:r>
                            <w:r w:rsidR="00221A35" w:rsidRPr="00221A35">
                              <w:rPr>
                                <w:rFonts w:asciiTheme="majorHAnsi" w:hAnsiTheme="majorHAnsi"/>
                                <w:color w:val="595959" w:themeColor="text1" w:themeTint="A6"/>
                                <w:sz w:val="18"/>
                                <w:szCs w:val="18"/>
                                <w:lang w:val="es-ES_tradnl"/>
                              </w:rPr>
                              <w:t>Cornelio Antonio Isaza Arango y otros</w:t>
                            </w:r>
                            <w:r w:rsidR="003F6996">
                              <w:rPr>
                                <w:rFonts w:asciiTheme="majorHAnsi" w:hAnsiTheme="majorHAnsi"/>
                                <w:color w:val="595959" w:themeColor="text1" w:themeTint="A6"/>
                                <w:sz w:val="18"/>
                                <w:szCs w:val="18"/>
                                <w:lang w:val="es-ES_tradnl"/>
                              </w:rPr>
                              <w:t xml:space="preserve"> </w:t>
                            </w:r>
                            <w:r w:rsidR="00221A35">
                              <w:rPr>
                                <w:rFonts w:asciiTheme="majorHAnsi" w:hAnsiTheme="majorHAnsi"/>
                                <w:color w:val="595959" w:themeColor="text1" w:themeTint="A6"/>
                                <w:sz w:val="18"/>
                                <w:szCs w:val="18"/>
                                <w:lang w:val="es-ES_tradnl"/>
                              </w:rPr>
                              <w:t>(</w:t>
                            </w:r>
                            <w:r w:rsidR="003F6996">
                              <w:rPr>
                                <w:rFonts w:asciiTheme="majorHAnsi" w:hAnsiTheme="majorHAnsi"/>
                                <w:color w:val="595959" w:themeColor="text1" w:themeTint="A6"/>
                                <w:sz w:val="18"/>
                                <w:szCs w:val="18"/>
                                <w:lang w:val="es-ES_tradnl"/>
                              </w:rPr>
                              <w:t>Masacre de los aserraderos de El Retiro</w:t>
                            </w:r>
                            <w:r w:rsidR="00221A35">
                              <w:rPr>
                                <w:rFonts w:asciiTheme="majorHAnsi" w:hAnsiTheme="majorHAnsi"/>
                                <w:color w:val="595959" w:themeColor="text1" w:themeTint="A6"/>
                                <w:sz w:val="18"/>
                                <w:szCs w:val="18"/>
                                <w:lang w:val="es-ES_tradnl"/>
                              </w:rPr>
                              <w:t>)</w:t>
                            </w:r>
                            <w:r w:rsidR="003F6996">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435F1D">
                              <w:rPr>
                                <w:rFonts w:asciiTheme="majorHAnsi" w:hAnsiTheme="majorHAnsi"/>
                                <w:color w:val="595959" w:themeColor="text1" w:themeTint="A6"/>
                                <w:sz w:val="18"/>
                                <w:szCs w:val="18"/>
                                <w:lang w:val="es-ES"/>
                              </w:rPr>
                              <w:t>20 de noviembre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132E031" w:rsidR="00113F73" w:rsidRPr="007B05C4" w:rsidRDefault="00113F73" w:rsidP="00221A35">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35F1D" w:rsidRPr="00435F1D">
                        <w:rPr>
                          <w:rFonts w:asciiTheme="majorHAnsi" w:hAnsiTheme="majorHAnsi"/>
                          <w:color w:val="595959" w:themeColor="text1" w:themeTint="A6"/>
                          <w:sz w:val="18"/>
                          <w:szCs w:val="18"/>
                          <w:lang w:val="pt-BR"/>
                        </w:rPr>
                        <w:t>129</w:t>
                      </w:r>
                      <w:r w:rsidR="007B05C4" w:rsidRPr="00435F1D">
                        <w:rPr>
                          <w:rFonts w:asciiTheme="majorHAnsi" w:hAnsiTheme="majorHAnsi"/>
                          <w:color w:val="595959" w:themeColor="text1" w:themeTint="A6"/>
                          <w:sz w:val="18"/>
                          <w:szCs w:val="18"/>
                          <w:lang w:val="pt-BR"/>
                        </w:rPr>
                        <w:t>/</w:t>
                      </w:r>
                      <w:r w:rsidR="003F6996" w:rsidRPr="00435F1D">
                        <w:rPr>
                          <w:rFonts w:asciiTheme="majorHAnsi" w:hAnsiTheme="majorHAnsi"/>
                          <w:color w:val="595959" w:themeColor="text1" w:themeTint="A6"/>
                          <w:sz w:val="18"/>
                          <w:szCs w:val="18"/>
                          <w:lang w:val="pt-BR"/>
                        </w:rPr>
                        <w:t xml:space="preserve">18. </w:t>
                      </w:r>
                      <w:r w:rsidRPr="00890650">
                        <w:rPr>
                          <w:rFonts w:asciiTheme="majorHAnsi" w:hAnsiTheme="majorHAnsi"/>
                          <w:color w:val="595959" w:themeColor="text1" w:themeTint="A6"/>
                          <w:sz w:val="18"/>
                          <w:szCs w:val="18"/>
                          <w:lang w:val="es-ES_tradnl"/>
                        </w:rPr>
                        <w:t>Admisibilidad</w:t>
                      </w:r>
                      <w:r w:rsidR="003F6996">
                        <w:rPr>
                          <w:rFonts w:asciiTheme="majorHAnsi" w:hAnsiTheme="majorHAnsi"/>
                          <w:color w:val="595959" w:themeColor="text1" w:themeTint="A6"/>
                          <w:sz w:val="18"/>
                          <w:szCs w:val="18"/>
                          <w:lang w:val="es-ES_tradnl"/>
                        </w:rPr>
                        <w:t>.</w:t>
                      </w:r>
                      <w:r w:rsidR="00221A35" w:rsidRPr="00221A35">
                        <w:rPr>
                          <w:lang w:val="es-ES"/>
                        </w:rPr>
                        <w:t xml:space="preserve"> </w:t>
                      </w:r>
                      <w:r w:rsidR="00221A35" w:rsidRPr="00221A35">
                        <w:rPr>
                          <w:rFonts w:asciiTheme="majorHAnsi" w:hAnsiTheme="majorHAnsi"/>
                          <w:color w:val="595959" w:themeColor="text1" w:themeTint="A6"/>
                          <w:sz w:val="18"/>
                          <w:szCs w:val="18"/>
                          <w:lang w:val="es-ES_tradnl"/>
                        </w:rPr>
                        <w:t>Cornelio Antonio Isaza Arango y otros</w:t>
                      </w:r>
                      <w:r w:rsidR="003F6996">
                        <w:rPr>
                          <w:rFonts w:asciiTheme="majorHAnsi" w:hAnsiTheme="majorHAnsi"/>
                          <w:color w:val="595959" w:themeColor="text1" w:themeTint="A6"/>
                          <w:sz w:val="18"/>
                          <w:szCs w:val="18"/>
                          <w:lang w:val="es-ES_tradnl"/>
                        </w:rPr>
                        <w:t xml:space="preserve"> </w:t>
                      </w:r>
                      <w:r w:rsidR="00221A35">
                        <w:rPr>
                          <w:rFonts w:asciiTheme="majorHAnsi" w:hAnsiTheme="majorHAnsi"/>
                          <w:color w:val="595959" w:themeColor="text1" w:themeTint="A6"/>
                          <w:sz w:val="18"/>
                          <w:szCs w:val="18"/>
                          <w:lang w:val="es-ES_tradnl"/>
                        </w:rPr>
                        <w:t>(</w:t>
                      </w:r>
                      <w:r w:rsidR="003F6996">
                        <w:rPr>
                          <w:rFonts w:asciiTheme="majorHAnsi" w:hAnsiTheme="majorHAnsi"/>
                          <w:color w:val="595959" w:themeColor="text1" w:themeTint="A6"/>
                          <w:sz w:val="18"/>
                          <w:szCs w:val="18"/>
                          <w:lang w:val="es-ES_tradnl"/>
                        </w:rPr>
                        <w:t>Masacre de los aserraderos de El Retiro</w:t>
                      </w:r>
                      <w:r w:rsidR="00221A35">
                        <w:rPr>
                          <w:rFonts w:asciiTheme="majorHAnsi" w:hAnsiTheme="majorHAnsi"/>
                          <w:color w:val="595959" w:themeColor="text1" w:themeTint="A6"/>
                          <w:sz w:val="18"/>
                          <w:szCs w:val="18"/>
                          <w:lang w:val="es-ES_tradnl"/>
                        </w:rPr>
                        <w:t>)</w:t>
                      </w:r>
                      <w:r w:rsidR="003F6996">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435F1D">
                        <w:rPr>
                          <w:rFonts w:asciiTheme="majorHAnsi" w:hAnsiTheme="majorHAnsi"/>
                          <w:color w:val="595959" w:themeColor="text1" w:themeTint="A6"/>
                          <w:sz w:val="18"/>
                          <w:szCs w:val="18"/>
                          <w:lang w:val="es-ES"/>
                        </w:rPr>
                        <w:t>20 de noviembre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017C4"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5760" w:type="dxa"/>
            <w:vAlign w:val="center"/>
          </w:tcPr>
          <w:p w14:paraId="3C5315D8" w14:textId="2674D94D" w:rsidR="003239B8" w:rsidRPr="00961251" w:rsidRDefault="003F6996" w:rsidP="008D2290">
            <w:pPr>
              <w:jc w:val="both"/>
              <w:rPr>
                <w:rFonts w:ascii="Cambria" w:hAnsi="Cambria"/>
                <w:bCs/>
                <w:sz w:val="20"/>
                <w:szCs w:val="20"/>
                <w:lang w:val="es-MX"/>
              </w:rPr>
            </w:pPr>
            <w:r w:rsidRPr="00961251">
              <w:rPr>
                <w:rFonts w:ascii="Cambria" w:hAnsi="Cambria"/>
                <w:bCs/>
                <w:sz w:val="20"/>
                <w:szCs w:val="20"/>
                <w:lang w:val="es-MX"/>
              </w:rPr>
              <w:t>Centro Jurídico de Derechos Humanos de Antioquia</w:t>
            </w:r>
          </w:p>
        </w:tc>
      </w:tr>
      <w:tr w:rsidR="003239B8" w:rsidRPr="006017C4"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8613A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534940EE" w:rsidR="003239B8" w:rsidRPr="004C2312" w:rsidRDefault="00823E62" w:rsidP="008D2290">
            <w:pPr>
              <w:jc w:val="both"/>
              <w:rPr>
                <w:rFonts w:ascii="Cambria" w:hAnsi="Cambria"/>
                <w:bCs/>
                <w:sz w:val="20"/>
                <w:szCs w:val="20"/>
                <w:lang w:val="es-ES"/>
              </w:rPr>
            </w:pPr>
            <w:r>
              <w:rPr>
                <w:rFonts w:ascii="Cambria" w:hAnsi="Cambria"/>
                <w:bCs/>
                <w:sz w:val="20"/>
                <w:szCs w:val="20"/>
                <w:lang w:val="es-ES"/>
              </w:rPr>
              <w:t>Cornelio Antonio Isaza Arango y otros</w:t>
            </w:r>
            <w:r>
              <w:rPr>
                <w:rStyle w:val="FootnoteReference"/>
                <w:rFonts w:ascii="Cambria" w:hAnsi="Cambria"/>
                <w:bCs/>
                <w:sz w:val="20"/>
                <w:szCs w:val="20"/>
                <w:lang w:val="es-ES"/>
              </w:rPr>
              <w:footnoteReference w:id="2"/>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5760" w:type="dxa"/>
            <w:vAlign w:val="center"/>
          </w:tcPr>
          <w:p w14:paraId="274C8A50" w14:textId="2E1068C7" w:rsidR="003239B8" w:rsidRPr="004B3C14" w:rsidRDefault="00F7326A" w:rsidP="008D2290">
            <w:pPr>
              <w:jc w:val="both"/>
              <w:rPr>
                <w:rFonts w:ascii="Cambria" w:hAnsi="Cambria"/>
                <w:bCs/>
                <w:sz w:val="20"/>
                <w:szCs w:val="20"/>
              </w:rPr>
            </w:pPr>
            <w:r>
              <w:rPr>
                <w:rFonts w:ascii="Cambria" w:hAnsi="Cambria"/>
                <w:bCs/>
                <w:sz w:val="20"/>
                <w:szCs w:val="20"/>
              </w:rPr>
              <w:t>Colombia</w:t>
            </w:r>
            <w:r w:rsidR="004A6A54">
              <w:rPr>
                <w:rStyle w:val="FootnoteReference"/>
                <w:rFonts w:ascii="Cambria" w:hAnsi="Cambria"/>
                <w:bCs/>
                <w:sz w:val="20"/>
                <w:szCs w:val="20"/>
              </w:rPr>
              <w:footnoteReference w:id="3"/>
            </w:r>
          </w:p>
        </w:tc>
      </w:tr>
      <w:tr w:rsidR="00223A29" w:rsidRPr="006017C4"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5760" w:type="dxa"/>
            <w:vAlign w:val="center"/>
          </w:tcPr>
          <w:p w14:paraId="6DEE1EEB" w14:textId="2BAA661E" w:rsidR="00223A29" w:rsidRPr="00C720F4" w:rsidRDefault="00C720F4" w:rsidP="0033638B">
            <w:pPr>
              <w:jc w:val="both"/>
              <w:rPr>
                <w:rFonts w:ascii="Cambria" w:hAnsi="Cambria"/>
                <w:bCs/>
                <w:sz w:val="20"/>
                <w:szCs w:val="20"/>
                <w:lang w:val="es-ES"/>
              </w:rPr>
            </w:pPr>
            <w:r>
              <w:rPr>
                <w:rFonts w:ascii="Cambria" w:hAnsi="Cambria"/>
                <w:bCs/>
                <w:sz w:val="20"/>
                <w:szCs w:val="20"/>
                <w:lang w:val="es-ES"/>
              </w:rPr>
              <w:t xml:space="preserve">Artículos </w:t>
            </w:r>
            <w:r w:rsidRPr="00C720F4">
              <w:rPr>
                <w:rFonts w:ascii="Cambria" w:hAnsi="Cambria"/>
                <w:bCs/>
                <w:sz w:val="20"/>
                <w:szCs w:val="20"/>
                <w:lang w:val="es-ES"/>
              </w:rPr>
              <w:t>4 (vida), 8 (garantías judiciales) y 25 (protección judicial)</w:t>
            </w:r>
            <w:r>
              <w:rPr>
                <w:rFonts w:ascii="Cambria" w:hAnsi="Cambria"/>
                <w:bCs/>
                <w:sz w:val="20"/>
                <w:szCs w:val="20"/>
                <w:lang w:val="es-ES"/>
              </w:rPr>
              <w:t xml:space="preserve"> en relación con el artículo 1.1 de la Convención Americana </w:t>
            </w:r>
            <w:r w:rsidR="0033638B">
              <w:rPr>
                <w:rFonts w:ascii="Cambria" w:hAnsi="Cambria"/>
                <w:bCs/>
                <w:sz w:val="20"/>
                <w:szCs w:val="20"/>
                <w:lang w:val="es-ES"/>
              </w:rPr>
              <w:t xml:space="preserve">sobre </w:t>
            </w:r>
            <w:r>
              <w:rPr>
                <w:rFonts w:ascii="Cambria" w:hAnsi="Cambria"/>
                <w:bCs/>
                <w:sz w:val="20"/>
                <w:szCs w:val="20"/>
                <w:lang w:val="es-ES"/>
              </w:rPr>
              <w:t>Derechos Humanos</w:t>
            </w:r>
            <w:r>
              <w:rPr>
                <w:rStyle w:val="FootnoteReference"/>
                <w:rFonts w:ascii="Cambria" w:hAnsi="Cambria"/>
                <w:bCs/>
                <w:sz w:val="20"/>
                <w:szCs w:val="20"/>
                <w:lang w:val="es-ES"/>
              </w:rPr>
              <w:footnoteReference w:id="4"/>
            </w:r>
            <w:r>
              <w:rPr>
                <w:rFonts w:ascii="Cambria" w:hAnsi="Cambria"/>
                <w:bCs/>
                <w:sz w:val="20"/>
                <w:szCs w:val="20"/>
                <w:lang w:val="es-ES"/>
              </w:rPr>
              <w:t>.</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2CE7A957" w:rsidR="004C2312" w:rsidRPr="003239B8" w:rsidRDefault="00C720F4" w:rsidP="002625EA">
            <w:pPr>
              <w:jc w:val="both"/>
              <w:rPr>
                <w:rFonts w:ascii="Cambria" w:hAnsi="Cambria"/>
                <w:bCs/>
                <w:sz w:val="20"/>
                <w:szCs w:val="20"/>
                <w:lang w:val="es-ES"/>
              </w:rPr>
            </w:pPr>
            <w:r>
              <w:rPr>
                <w:rFonts w:ascii="Cambria" w:hAnsi="Cambria"/>
                <w:bCs/>
                <w:sz w:val="20"/>
                <w:szCs w:val="20"/>
                <w:lang w:val="es-ES"/>
              </w:rPr>
              <w:t>25 de septiembre de 2007</w:t>
            </w:r>
          </w:p>
        </w:tc>
      </w:tr>
      <w:tr w:rsidR="004C2312" w:rsidRPr="003F6996"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509F3500" w:rsidR="004C2312" w:rsidRPr="003239B8" w:rsidRDefault="00170D98" w:rsidP="00170D98">
            <w:pPr>
              <w:jc w:val="both"/>
              <w:rPr>
                <w:rFonts w:ascii="Cambria" w:hAnsi="Cambria"/>
                <w:bCs/>
                <w:sz w:val="20"/>
                <w:szCs w:val="20"/>
                <w:lang w:val="es-ES"/>
              </w:rPr>
            </w:pPr>
            <w:r>
              <w:rPr>
                <w:rFonts w:ascii="Cambria" w:hAnsi="Cambria"/>
                <w:bCs/>
                <w:sz w:val="20"/>
                <w:szCs w:val="20"/>
                <w:lang w:val="es-ES"/>
              </w:rPr>
              <w:t>29 de septiembre de 2011</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2FCFDBA0" w:rsidR="004C2312" w:rsidRPr="003239B8" w:rsidRDefault="00C720F4" w:rsidP="008D2290">
            <w:pPr>
              <w:jc w:val="both"/>
              <w:rPr>
                <w:rFonts w:ascii="Cambria" w:hAnsi="Cambria"/>
                <w:bCs/>
                <w:sz w:val="20"/>
                <w:szCs w:val="20"/>
                <w:lang w:val="es-ES"/>
              </w:rPr>
            </w:pPr>
            <w:r>
              <w:rPr>
                <w:rFonts w:ascii="Cambria" w:hAnsi="Cambria"/>
                <w:bCs/>
                <w:sz w:val="20"/>
                <w:szCs w:val="20"/>
                <w:lang w:val="es-ES"/>
              </w:rPr>
              <w:t>6 de enero de 2012</w:t>
            </w:r>
          </w:p>
        </w:tc>
      </w:tr>
      <w:tr w:rsidR="001E49E7" w:rsidRPr="004065A8"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31C5E9CA" w:rsidR="001E49E7" w:rsidRPr="003239B8" w:rsidRDefault="004A6A54" w:rsidP="00BC1EE3">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362263B7" w:rsidR="001E49E7" w:rsidRPr="003239B8" w:rsidRDefault="00825705" w:rsidP="002625EA">
            <w:pPr>
              <w:jc w:val="both"/>
              <w:rPr>
                <w:rFonts w:ascii="Cambria" w:hAnsi="Cambria"/>
                <w:bCs/>
                <w:sz w:val="20"/>
                <w:szCs w:val="20"/>
                <w:lang w:val="es-ES"/>
              </w:rPr>
            </w:pPr>
            <w:r>
              <w:rPr>
                <w:rFonts w:ascii="Cambria" w:hAnsi="Cambria"/>
                <w:bCs/>
                <w:sz w:val="20"/>
                <w:szCs w:val="20"/>
                <w:lang w:val="es-ES"/>
              </w:rPr>
              <w:t>26 de mayo de 2017</w:t>
            </w:r>
          </w:p>
        </w:tc>
      </w:tr>
      <w:tr w:rsidR="001E49E7" w:rsidRPr="003F6996"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10A6A92D"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BC1EE3">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60583D9E" w:rsidR="001E49E7" w:rsidRPr="003239B8" w:rsidRDefault="00825705" w:rsidP="002625EA">
            <w:pPr>
              <w:jc w:val="both"/>
              <w:rPr>
                <w:rFonts w:ascii="Cambria" w:hAnsi="Cambria"/>
                <w:bCs/>
                <w:sz w:val="20"/>
                <w:szCs w:val="20"/>
                <w:lang w:val="es-ES"/>
              </w:rPr>
            </w:pPr>
            <w:r>
              <w:rPr>
                <w:rFonts w:ascii="Cambria" w:hAnsi="Cambria"/>
                <w:bCs/>
                <w:sz w:val="20"/>
                <w:szCs w:val="20"/>
                <w:lang w:val="es-ES"/>
              </w:rPr>
              <w:t>8 de junio de 2017</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5760" w:type="dxa"/>
            <w:vAlign w:val="center"/>
          </w:tcPr>
          <w:p w14:paraId="7707F3E9" w14:textId="1795BF04" w:rsidR="003239B8" w:rsidRPr="004B3C14" w:rsidRDefault="00825705"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5760" w:type="dxa"/>
            <w:vAlign w:val="center"/>
          </w:tcPr>
          <w:p w14:paraId="12C931CB" w14:textId="6630A5DF" w:rsidR="003239B8" w:rsidRPr="004B3C14" w:rsidRDefault="00825705"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5760" w:type="dxa"/>
            <w:vAlign w:val="center"/>
          </w:tcPr>
          <w:p w14:paraId="6F8B059B" w14:textId="735836E6" w:rsidR="003239B8" w:rsidRPr="00153E77" w:rsidRDefault="00825705" w:rsidP="008D2290">
            <w:pPr>
              <w:rPr>
                <w:bCs/>
                <w:sz w:val="20"/>
                <w:szCs w:val="20"/>
              </w:rPr>
            </w:pPr>
            <w:r>
              <w:rPr>
                <w:rFonts w:ascii="Cambria" w:hAnsi="Cambria"/>
                <w:bCs/>
                <w:sz w:val="20"/>
                <w:szCs w:val="20"/>
              </w:rPr>
              <w:t>Sí</w:t>
            </w:r>
          </w:p>
        </w:tc>
      </w:tr>
      <w:tr w:rsidR="003239B8" w:rsidRPr="006017C4"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5760" w:type="dxa"/>
            <w:vAlign w:val="center"/>
          </w:tcPr>
          <w:p w14:paraId="0C122F44" w14:textId="2F00E450" w:rsidR="003239B8" w:rsidRPr="004C2312" w:rsidRDefault="00825705" w:rsidP="008D2290">
            <w:pPr>
              <w:jc w:val="both"/>
              <w:rPr>
                <w:rFonts w:ascii="Cambria" w:hAnsi="Cambria"/>
                <w:bCs/>
                <w:sz w:val="20"/>
                <w:szCs w:val="20"/>
                <w:lang w:val="es-ES"/>
              </w:rPr>
            </w:pPr>
            <w:r w:rsidRPr="00A56C37">
              <w:rPr>
                <w:rFonts w:asciiTheme="majorHAnsi" w:hAnsiTheme="majorHAnsi"/>
                <w:bCs/>
                <w:sz w:val="20"/>
                <w:szCs w:val="20"/>
                <w:lang w:val="es-ES"/>
              </w:rPr>
              <w:t>Sí, Convención Americana (depósito de instrumento realizado el 31 de agosto de 1973)</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3F6996"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5043A368" w:rsidR="00EE00E9" w:rsidRPr="00EE00E9" w:rsidRDefault="00825705" w:rsidP="008D2290">
            <w:pPr>
              <w:jc w:val="both"/>
              <w:rPr>
                <w:rFonts w:ascii="Cambria" w:hAnsi="Cambria"/>
                <w:bCs/>
                <w:sz w:val="20"/>
                <w:szCs w:val="20"/>
                <w:lang w:val="es-ES"/>
              </w:rPr>
            </w:pPr>
            <w:r>
              <w:rPr>
                <w:rFonts w:ascii="Cambria" w:hAnsi="Cambria"/>
                <w:bCs/>
                <w:sz w:val="20"/>
                <w:szCs w:val="20"/>
                <w:lang w:val="es-ES"/>
              </w:rPr>
              <w:t>No</w:t>
            </w:r>
          </w:p>
        </w:tc>
      </w:tr>
      <w:tr w:rsidR="003239B8" w:rsidRPr="006017C4"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5760" w:type="dxa"/>
            <w:vAlign w:val="center"/>
          </w:tcPr>
          <w:p w14:paraId="6310C8F7" w14:textId="431C513C" w:rsidR="003239B8" w:rsidRPr="00AF13E4" w:rsidRDefault="00AF13E4" w:rsidP="0033638B">
            <w:pPr>
              <w:jc w:val="both"/>
              <w:rPr>
                <w:rFonts w:ascii="Cambria" w:hAnsi="Cambria"/>
                <w:bCs/>
                <w:sz w:val="20"/>
                <w:szCs w:val="20"/>
                <w:lang w:val="es-ES"/>
              </w:rPr>
            </w:pPr>
            <w:r w:rsidRPr="00AF13E4">
              <w:rPr>
                <w:rFonts w:ascii="Cambria" w:hAnsi="Cambria"/>
                <w:bCs/>
                <w:sz w:val="20"/>
                <w:szCs w:val="20"/>
                <w:lang w:val="es-ES"/>
              </w:rPr>
              <w:t xml:space="preserve">Artículos 4 (vida), </w:t>
            </w:r>
            <w:r w:rsidR="0033638B">
              <w:rPr>
                <w:rFonts w:ascii="Cambria" w:hAnsi="Cambria"/>
                <w:bCs/>
                <w:sz w:val="20"/>
                <w:szCs w:val="20"/>
                <w:lang w:val="es-ES"/>
              </w:rPr>
              <w:t xml:space="preserve">5 (integridad personal), </w:t>
            </w:r>
            <w:r w:rsidRPr="00AF13E4">
              <w:rPr>
                <w:rFonts w:ascii="Cambria" w:hAnsi="Cambria"/>
                <w:bCs/>
                <w:sz w:val="20"/>
                <w:szCs w:val="20"/>
                <w:lang w:val="es-ES"/>
              </w:rPr>
              <w:t>8 (garantías judiciales) y 25 (</w:t>
            </w:r>
            <w:r>
              <w:rPr>
                <w:rFonts w:ascii="Cambria" w:hAnsi="Cambria"/>
                <w:bCs/>
                <w:sz w:val="20"/>
                <w:szCs w:val="20"/>
                <w:lang w:val="es-ES"/>
              </w:rPr>
              <w:t>protección judicial</w:t>
            </w:r>
            <w:r w:rsidRPr="00AF13E4">
              <w:rPr>
                <w:rFonts w:ascii="Cambria" w:hAnsi="Cambria"/>
                <w:bCs/>
                <w:sz w:val="20"/>
                <w:szCs w:val="20"/>
                <w:lang w:val="es-ES"/>
              </w:rPr>
              <w:t>)</w:t>
            </w:r>
            <w:r>
              <w:rPr>
                <w:rFonts w:ascii="Cambria" w:hAnsi="Cambria"/>
                <w:bCs/>
                <w:sz w:val="20"/>
                <w:szCs w:val="20"/>
                <w:lang w:val="es-ES"/>
              </w:rPr>
              <w:t xml:space="preserve"> en relación con el artículo 1.1 de la Convención Americana </w:t>
            </w:r>
            <w:r w:rsidR="0033638B">
              <w:rPr>
                <w:rFonts w:ascii="Cambria" w:hAnsi="Cambria"/>
                <w:bCs/>
                <w:sz w:val="20"/>
                <w:szCs w:val="20"/>
                <w:lang w:val="es-ES"/>
              </w:rPr>
              <w:t xml:space="preserve">sobre </w:t>
            </w:r>
            <w:r>
              <w:rPr>
                <w:rFonts w:ascii="Cambria" w:hAnsi="Cambria"/>
                <w:bCs/>
                <w:sz w:val="20"/>
                <w:szCs w:val="20"/>
                <w:lang w:val="es-ES"/>
              </w:rPr>
              <w:t>Derechos Humanos</w:t>
            </w:r>
          </w:p>
        </w:tc>
      </w:tr>
      <w:tr w:rsidR="003239B8" w:rsidRPr="006017C4"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9C53E8A" w14:textId="2B4BB974" w:rsidR="003239B8" w:rsidRPr="00EE00E9" w:rsidRDefault="00746DAE"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6017C4"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5760" w:type="dxa"/>
            <w:vAlign w:val="center"/>
          </w:tcPr>
          <w:p w14:paraId="4A2A4569" w14:textId="3DBFDC9E" w:rsidR="003239B8" w:rsidRPr="00746DAE" w:rsidRDefault="00746DAE" w:rsidP="008D2290">
            <w:pPr>
              <w:rPr>
                <w:bCs/>
                <w:sz w:val="20"/>
                <w:szCs w:val="20"/>
                <w:lang w:val="es-ES"/>
              </w:rPr>
            </w:pPr>
            <w:r>
              <w:rPr>
                <w:rFonts w:ascii="Cambria" w:hAnsi="Cambria"/>
                <w:bCs/>
                <w:sz w:val="20"/>
                <w:szCs w:val="20"/>
                <w:lang w:val="es-ES"/>
              </w:rPr>
              <w:t>Sí, en los términos de la sección VI</w:t>
            </w:r>
          </w:p>
        </w:tc>
      </w:tr>
    </w:tbl>
    <w:p w14:paraId="18E6423B" w14:textId="77777777" w:rsidR="003239B8" w:rsidRPr="009E3E1D" w:rsidRDefault="00223A29" w:rsidP="003239B8">
      <w:pPr>
        <w:spacing w:before="240" w:after="240"/>
        <w:ind w:firstLine="720"/>
        <w:jc w:val="both"/>
        <w:rPr>
          <w:rFonts w:asciiTheme="majorHAnsi" w:hAnsiTheme="majorHAnsi"/>
          <w:b/>
          <w:sz w:val="20"/>
          <w:szCs w:val="20"/>
          <w:lang w:val="es-UY"/>
        </w:rPr>
      </w:pPr>
      <w:r w:rsidRPr="009E3E1D">
        <w:rPr>
          <w:rFonts w:asciiTheme="majorHAnsi" w:hAnsiTheme="majorHAnsi"/>
          <w:b/>
          <w:sz w:val="20"/>
          <w:szCs w:val="20"/>
          <w:lang w:val="es-UY"/>
        </w:rPr>
        <w:t xml:space="preserve">V. </w:t>
      </w:r>
      <w:r w:rsidRPr="009E3E1D">
        <w:rPr>
          <w:rFonts w:asciiTheme="majorHAnsi" w:hAnsiTheme="majorHAnsi"/>
          <w:b/>
          <w:sz w:val="20"/>
          <w:szCs w:val="20"/>
          <w:lang w:val="es-UY"/>
        </w:rPr>
        <w:tab/>
      </w:r>
      <w:r w:rsidR="003239B8" w:rsidRPr="009E3E1D">
        <w:rPr>
          <w:rFonts w:asciiTheme="majorHAnsi" w:hAnsiTheme="majorHAnsi"/>
          <w:b/>
          <w:sz w:val="20"/>
          <w:szCs w:val="20"/>
          <w:lang w:val="es-UY"/>
        </w:rPr>
        <w:t xml:space="preserve">HECHOS ALEGADOS </w:t>
      </w:r>
    </w:p>
    <w:p w14:paraId="6C26F0E6" w14:textId="637EE111" w:rsidR="007C662A" w:rsidRPr="009E3E1D" w:rsidRDefault="007C662A" w:rsidP="008722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E3E1D">
        <w:rPr>
          <w:rFonts w:ascii="Cambria" w:hAnsi="Cambria"/>
          <w:sz w:val="20"/>
          <w:szCs w:val="20"/>
          <w:lang w:val="es-ES"/>
        </w:rPr>
        <w:t xml:space="preserve">La presente petición </w:t>
      </w:r>
      <w:r w:rsidR="00102E1B" w:rsidRPr="009E3E1D">
        <w:rPr>
          <w:rFonts w:ascii="Cambria" w:hAnsi="Cambria"/>
          <w:sz w:val="20"/>
          <w:szCs w:val="20"/>
          <w:lang w:val="es-ES"/>
        </w:rPr>
        <w:t>alega la ocurrencia de una</w:t>
      </w:r>
      <w:r w:rsidRPr="009E3E1D">
        <w:rPr>
          <w:rFonts w:ascii="Cambria" w:hAnsi="Cambria"/>
          <w:sz w:val="20"/>
          <w:szCs w:val="20"/>
          <w:lang w:val="es-ES"/>
        </w:rPr>
        <w:t xml:space="preserve"> masacre el 14 de agosto de 199</w:t>
      </w:r>
      <w:r w:rsidR="00CE103D">
        <w:rPr>
          <w:rFonts w:ascii="Cambria" w:hAnsi="Cambria"/>
          <w:sz w:val="20"/>
          <w:szCs w:val="20"/>
          <w:lang w:val="es-ES"/>
        </w:rPr>
        <w:t>7</w:t>
      </w:r>
      <w:r w:rsidRPr="009E3E1D">
        <w:rPr>
          <w:rFonts w:ascii="Cambria" w:hAnsi="Cambria"/>
          <w:sz w:val="20"/>
          <w:szCs w:val="20"/>
          <w:lang w:val="es-ES"/>
        </w:rPr>
        <w:t xml:space="preserve"> en la finca </w:t>
      </w:r>
      <w:r w:rsidR="00102E1B" w:rsidRPr="009E3E1D">
        <w:rPr>
          <w:rFonts w:ascii="Cambria" w:hAnsi="Cambria"/>
          <w:sz w:val="20"/>
          <w:szCs w:val="20"/>
          <w:lang w:val="es-ES"/>
        </w:rPr>
        <w:t>“</w:t>
      </w:r>
      <w:r w:rsidRPr="009E3E1D">
        <w:rPr>
          <w:rFonts w:ascii="Cambria" w:hAnsi="Cambria"/>
          <w:sz w:val="20"/>
          <w:szCs w:val="20"/>
          <w:lang w:val="es-ES"/>
        </w:rPr>
        <w:t>la Argentina</w:t>
      </w:r>
      <w:r w:rsidR="00102E1B" w:rsidRPr="009E3E1D">
        <w:rPr>
          <w:rFonts w:ascii="Cambria" w:hAnsi="Cambria"/>
          <w:sz w:val="20"/>
          <w:szCs w:val="20"/>
          <w:lang w:val="es-ES"/>
        </w:rPr>
        <w:t>”</w:t>
      </w:r>
      <w:r w:rsidRPr="009E3E1D">
        <w:rPr>
          <w:rFonts w:ascii="Cambria" w:hAnsi="Cambria"/>
          <w:sz w:val="20"/>
          <w:szCs w:val="20"/>
          <w:lang w:val="es-ES"/>
        </w:rPr>
        <w:t xml:space="preserve">, situada en el sector de la Herradura del municipio del Retiro. La parte peticionaria alega que los homicidios se perpetraron en el contexto de diversos </w:t>
      </w:r>
      <w:r w:rsidR="00D47D04" w:rsidRPr="009E3E1D">
        <w:rPr>
          <w:rFonts w:ascii="Cambria" w:hAnsi="Cambria"/>
          <w:sz w:val="20"/>
          <w:szCs w:val="20"/>
          <w:lang w:val="es-ES"/>
        </w:rPr>
        <w:t xml:space="preserve">y articulados </w:t>
      </w:r>
      <w:r w:rsidRPr="009E3E1D">
        <w:rPr>
          <w:rFonts w:ascii="Cambria" w:hAnsi="Cambria"/>
          <w:sz w:val="20"/>
          <w:szCs w:val="20"/>
          <w:lang w:val="es-ES"/>
        </w:rPr>
        <w:t xml:space="preserve">crímenes que se cometían en la zona por parte de grupos paramilitares con el apoyo de cooperativas de vigilancia conocidas como </w:t>
      </w:r>
      <w:r w:rsidR="0033638B" w:rsidRPr="009E3E1D">
        <w:rPr>
          <w:rFonts w:ascii="Cambria" w:hAnsi="Cambria"/>
          <w:sz w:val="20"/>
          <w:szCs w:val="20"/>
          <w:lang w:val="es-ES"/>
        </w:rPr>
        <w:t>“</w:t>
      </w:r>
      <w:r w:rsidRPr="009E3E1D">
        <w:rPr>
          <w:rFonts w:ascii="Cambria" w:hAnsi="Cambria"/>
          <w:sz w:val="20"/>
          <w:szCs w:val="20"/>
          <w:lang w:val="es-ES"/>
        </w:rPr>
        <w:t>Convivir</w:t>
      </w:r>
      <w:r w:rsidR="0033638B" w:rsidRPr="009E3E1D">
        <w:rPr>
          <w:rFonts w:ascii="Cambria" w:hAnsi="Cambria"/>
          <w:sz w:val="20"/>
          <w:szCs w:val="20"/>
          <w:lang w:val="es-ES"/>
        </w:rPr>
        <w:t>”</w:t>
      </w:r>
      <w:r w:rsidRPr="009E3E1D">
        <w:rPr>
          <w:rFonts w:ascii="Cambria" w:hAnsi="Cambria"/>
          <w:sz w:val="20"/>
          <w:szCs w:val="20"/>
          <w:lang w:val="es-ES"/>
        </w:rPr>
        <w:t xml:space="preserve">  qu</w:t>
      </w:r>
      <w:r w:rsidR="00D87769" w:rsidRPr="009E3E1D">
        <w:rPr>
          <w:rFonts w:ascii="Cambria" w:hAnsi="Cambria"/>
          <w:sz w:val="20"/>
          <w:szCs w:val="20"/>
          <w:lang w:val="es-ES"/>
        </w:rPr>
        <w:t>i</w:t>
      </w:r>
      <w:r w:rsidRPr="009E3E1D">
        <w:rPr>
          <w:rFonts w:ascii="Cambria" w:hAnsi="Cambria"/>
          <w:sz w:val="20"/>
          <w:szCs w:val="20"/>
          <w:lang w:val="es-ES"/>
        </w:rPr>
        <w:t>e</w:t>
      </w:r>
      <w:r w:rsidR="00D87769" w:rsidRPr="009E3E1D">
        <w:rPr>
          <w:rFonts w:ascii="Cambria" w:hAnsi="Cambria"/>
          <w:sz w:val="20"/>
          <w:szCs w:val="20"/>
          <w:lang w:val="es-ES"/>
        </w:rPr>
        <w:t>nes</w:t>
      </w:r>
      <w:r w:rsidRPr="009E3E1D">
        <w:rPr>
          <w:rFonts w:ascii="Cambria" w:hAnsi="Cambria"/>
          <w:sz w:val="20"/>
          <w:szCs w:val="20"/>
          <w:lang w:val="es-ES"/>
        </w:rPr>
        <w:t xml:space="preserve"> actuaba</w:t>
      </w:r>
      <w:r w:rsidR="0033638B" w:rsidRPr="009E3E1D">
        <w:rPr>
          <w:rFonts w:ascii="Cambria" w:hAnsi="Cambria"/>
          <w:sz w:val="20"/>
          <w:szCs w:val="20"/>
          <w:lang w:val="es-ES"/>
        </w:rPr>
        <w:t>n</w:t>
      </w:r>
      <w:r w:rsidRPr="009E3E1D">
        <w:rPr>
          <w:rFonts w:ascii="Cambria" w:hAnsi="Cambria"/>
          <w:sz w:val="20"/>
          <w:szCs w:val="20"/>
          <w:lang w:val="es-ES"/>
        </w:rPr>
        <w:t xml:space="preserve"> con la aquiescencia del Estado e incluso la colaboración de miembros de las fuerzas </w:t>
      </w:r>
      <w:r w:rsidRPr="009E3E1D">
        <w:rPr>
          <w:rFonts w:ascii="Cambria" w:hAnsi="Cambria"/>
          <w:sz w:val="20"/>
          <w:szCs w:val="20"/>
          <w:lang w:val="es-ES"/>
        </w:rPr>
        <w:lastRenderedPageBreak/>
        <w:t>policiales y militares</w:t>
      </w:r>
      <w:r w:rsidR="00D47D04" w:rsidRPr="009E3E1D">
        <w:rPr>
          <w:rFonts w:ascii="Cambria" w:hAnsi="Cambria"/>
          <w:sz w:val="20"/>
          <w:szCs w:val="20"/>
          <w:lang w:val="es-ES"/>
        </w:rPr>
        <w:t>,</w:t>
      </w:r>
      <w:r w:rsidR="00D761A6" w:rsidRPr="009E3E1D">
        <w:rPr>
          <w:rFonts w:ascii="Cambria" w:hAnsi="Cambria"/>
          <w:sz w:val="20"/>
          <w:szCs w:val="20"/>
          <w:lang w:val="es-ES"/>
        </w:rPr>
        <w:t xml:space="preserve"> y que el único proceso </w:t>
      </w:r>
      <w:r w:rsidR="00D47D04" w:rsidRPr="009E3E1D">
        <w:rPr>
          <w:rFonts w:ascii="Cambria" w:hAnsi="Cambria"/>
          <w:sz w:val="20"/>
          <w:szCs w:val="20"/>
          <w:lang w:val="es-ES"/>
        </w:rPr>
        <w:t xml:space="preserve">judicial </w:t>
      </w:r>
      <w:r w:rsidR="00D761A6" w:rsidRPr="009E3E1D">
        <w:rPr>
          <w:rFonts w:ascii="Cambria" w:hAnsi="Cambria"/>
          <w:sz w:val="20"/>
          <w:szCs w:val="20"/>
          <w:lang w:val="es-ES"/>
        </w:rPr>
        <w:t>que se llevó a cabo de manera parcial</w:t>
      </w:r>
      <w:r w:rsidR="004E4E28" w:rsidRPr="009E3E1D">
        <w:rPr>
          <w:rFonts w:ascii="Cambria" w:hAnsi="Cambria"/>
          <w:sz w:val="20"/>
          <w:szCs w:val="20"/>
          <w:lang w:val="es-ES"/>
        </w:rPr>
        <w:t xml:space="preserve"> y centrándose únicamente en los líderes de la</w:t>
      </w:r>
      <w:r w:rsidR="0087227D" w:rsidRPr="009E3E1D">
        <w:rPr>
          <w:rFonts w:ascii="Cambria" w:hAnsi="Cambria"/>
          <w:sz w:val="20"/>
          <w:szCs w:val="20"/>
          <w:lang w:val="es-ES"/>
        </w:rPr>
        <w:t xml:space="preserve">s “Convivir el Paso” </w:t>
      </w:r>
      <w:r w:rsidR="00D761A6" w:rsidRPr="009E3E1D">
        <w:rPr>
          <w:rFonts w:ascii="Cambria" w:hAnsi="Cambria"/>
          <w:sz w:val="20"/>
          <w:szCs w:val="20"/>
          <w:lang w:val="es-ES"/>
        </w:rPr>
        <w:t>, terminó en impunidad</w:t>
      </w:r>
      <w:r w:rsidRPr="009E3E1D">
        <w:rPr>
          <w:rFonts w:ascii="Cambria" w:hAnsi="Cambria"/>
          <w:sz w:val="20"/>
          <w:szCs w:val="20"/>
          <w:lang w:val="es-ES"/>
        </w:rPr>
        <w:t>.</w:t>
      </w:r>
    </w:p>
    <w:p w14:paraId="755F89E6" w14:textId="29A2BECF" w:rsidR="00540784" w:rsidRPr="009E3E1D" w:rsidRDefault="00B578AE" w:rsidP="008F3E6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E3E1D">
        <w:rPr>
          <w:rFonts w:ascii="Cambria" w:hAnsi="Cambria"/>
          <w:sz w:val="20"/>
          <w:szCs w:val="20"/>
          <w:lang w:val="es-ES"/>
        </w:rPr>
        <w:t xml:space="preserve">La parte peticionaria </w:t>
      </w:r>
      <w:r w:rsidR="00DA52CB" w:rsidRPr="009E3E1D">
        <w:rPr>
          <w:rFonts w:ascii="Cambria" w:hAnsi="Cambria"/>
          <w:sz w:val="20"/>
          <w:szCs w:val="20"/>
          <w:lang w:val="es-ES"/>
        </w:rPr>
        <w:t>relata</w:t>
      </w:r>
      <w:r w:rsidRPr="009E3E1D">
        <w:rPr>
          <w:rFonts w:ascii="Cambria" w:hAnsi="Cambria"/>
          <w:sz w:val="20"/>
          <w:szCs w:val="20"/>
          <w:lang w:val="es-ES"/>
        </w:rPr>
        <w:t xml:space="preserve"> que l</w:t>
      </w:r>
      <w:r w:rsidR="00CE103D">
        <w:rPr>
          <w:rFonts w:ascii="Cambria" w:hAnsi="Cambria"/>
          <w:sz w:val="20"/>
          <w:szCs w:val="20"/>
          <w:lang w:val="es-ES"/>
        </w:rPr>
        <w:t>a noche del 14 de agosto de 199</w:t>
      </w:r>
      <w:r w:rsidR="006833CA">
        <w:rPr>
          <w:rFonts w:ascii="Cambria" w:hAnsi="Cambria"/>
          <w:sz w:val="20"/>
          <w:szCs w:val="20"/>
          <w:lang w:val="es-ES"/>
        </w:rPr>
        <w:t>7</w:t>
      </w:r>
      <w:r w:rsidRPr="009E3E1D">
        <w:rPr>
          <w:rFonts w:ascii="Cambria" w:hAnsi="Cambria"/>
          <w:sz w:val="20"/>
          <w:szCs w:val="20"/>
          <w:lang w:val="es-ES"/>
        </w:rPr>
        <w:t xml:space="preserve"> u</w:t>
      </w:r>
      <w:r w:rsidR="00BE388F" w:rsidRPr="009E3E1D">
        <w:rPr>
          <w:rFonts w:ascii="Cambria" w:hAnsi="Cambria"/>
          <w:sz w:val="20"/>
          <w:szCs w:val="20"/>
          <w:lang w:val="es-ES"/>
        </w:rPr>
        <w:t>n grupo de aserradores</w:t>
      </w:r>
      <w:r w:rsidRPr="009E3E1D">
        <w:rPr>
          <w:rFonts w:ascii="Cambria" w:hAnsi="Cambria"/>
          <w:sz w:val="20"/>
          <w:szCs w:val="20"/>
          <w:lang w:val="es-ES"/>
        </w:rPr>
        <w:t xml:space="preserve"> </w:t>
      </w:r>
      <w:r w:rsidR="0033638B" w:rsidRPr="009E3E1D">
        <w:rPr>
          <w:rFonts w:ascii="Cambria" w:hAnsi="Cambria"/>
          <w:sz w:val="20"/>
          <w:szCs w:val="20"/>
          <w:lang w:val="es-ES"/>
        </w:rPr>
        <w:t>-</w:t>
      </w:r>
      <w:r w:rsidRPr="009E3E1D">
        <w:rPr>
          <w:rFonts w:ascii="Cambria" w:hAnsi="Cambria"/>
          <w:sz w:val="20"/>
          <w:szCs w:val="20"/>
          <w:lang w:val="es-ES"/>
        </w:rPr>
        <w:t>compuesto por catorce hombres, una mujer y tres niños</w:t>
      </w:r>
      <w:r w:rsidR="0033638B" w:rsidRPr="009E3E1D">
        <w:rPr>
          <w:rFonts w:ascii="Cambria" w:hAnsi="Cambria"/>
          <w:sz w:val="20"/>
          <w:szCs w:val="20"/>
          <w:lang w:val="es-ES"/>
        </w:rPr>
        <w:t>-</w:t>
      </w:r>
      <w:r w:rsidRPr="009E3E1D">
        <w:rPr>
          <w:rFonts w:ascii="Cambria" w:hAnsi="Cambria"/>
          <w:sz w:val="20"/>
          <w:szCs w:val="20"/>
          <w:lang w:val="es-ES"/>
        </w:rPr>
        <w:t xml:space="preserve"> </w:t>
      </w:r>
      <w:r w:rsidR="001F2CED" w:rsidRPr="009E3E1D">
        <w:rPr>
          <w:rFonts w:ascii="Cambria" w:hAnsi="Cambria"/>
          <w:sz w:val="20"/>
          <w:szCs w:val="20"/>
          <w:lang w:val="es-ES"/>
        </w:rPr>
        <w:t xml:space="preserve">se encontraba </w:t>
      </w:r>
      <w:r w:rsidR="0033638B" w:rsidRPr="009E3E1D">
        <w:rPr>
          <w:rFonts w:ascii="Cambria" w:hAnsi="Cambria"/>
          <w:sz w:val="20"/>
          <w:szCs w:val="20"/>
          <w:lang w:val="es-ES"/>
        </w:rPr>
        <w:t>ubica</w:t>
      </w:r>
      <w:r w:rsidR="001F2CED" w:rsidRPr="009E3E1D">
        <w:rPr>
          <w:rFonts w:ascii="Cambria" w:hAnsi="Cambria"/>
          <w:sz w:val="20"/>
          <w:szCs w:val="20"/>
          <w:lang w:val="es-ES"/>
        </w:rPr>
        <w:t>do</w:t>
      </w:r>
      <w:r w:rsidR="0033638B" w:rsidRPr="009E3E1D">
        <w:rPr>
          <w:rFonts w:ascii="Cambria" w:hAnsi="Cambria"/>
          <w:sz w:val="20"/>
          <w:szCs w:val="20"/>
          <w:lang w:val="es-ES"/>
        </w:rPr>
        <w:t xml:space="preserve"> </w:t>
      </w:r>
      <w:r w:rsidRPr="009E3E1D">
        <w:rPr>
          <w:rFonts w:ascii="Cambria" w:hAnsi="Cambria"/>
          <w:sz w:val="20"/>
          <w:szCs w:val="20"/>
          <w:lang w:val="es-ES"/>
        </w:rPr>
        <w:t>en las instalaciones de los aserraderos</w:t>
      </w:r>
      <w:r w:rsidR="00636219" w:rsidRPr="009E3E1D">
        <w:rPr>
          <w:rFonts w:ascii="Cambria" w:hAnsi="Cambria"/>
          <w:sz w:val="20"/>
          <w:szCs w:val="20"/>
          <w:lang w:val="es-ES"/>
        </w:rPr>
        <w:t xml:space="preserve"> del municipio de El Retiro, Occidente, en el departamento de Antioquia</w:t>
      </w:r>
      <w:r w:rsidR="00053406" w:rsidRPr="009E3E1D">
        <w:rPr>
          <w:rFonts w:ascii="Cambria" w:hAnsi="Cambria"/>
          <w:sz w:val="20"/>
          <w:szCs w:val="20"/>
          <w:lang w:val="es-ES"/>
        </w:rPr>
        <w:t>.</w:t>
      </w:r>
      <w:r w:rsidR="00636219" w:rsidRPr="009E3E1D">
        <w:rPr>
          <w:rFonts w:ascii="Cambria" w:hAnsi="Cambria"/>
          <w:sz w:val="20"/>
          <w:szCs w:val="20"/>
          <w:lang w:val="es-ES"/>
        </w:rPr>
        <w:t xml:space="preserve"> </w:t>
      </w:r>
      <w:r w:rsidR="00AE2638" w:rsidRPr="009E3E1D">
        <w:rPr>
          <w:rFonts w:ascii="Cambria" w:hAnsi="Cambria"/>
          <w:sz w:val="20"/>
          <w:szCs w:val="20"/>
          <w:lang w:val="es-ES"/>
        </w:rPr>
        <w:t>A</w:t>
      </w:r>
      <w:r w:rsidR="005053FD" w:rsidRPr="009E3E1D">
        <w:rPr>
          <w:rFonts w:ascii="Cambria" w:hAnsi="Cambria"/>
          <w:sz w:val="20"/>
          <w:szCs w:val="20"/>
          <w:lang w:val="es-ES"/>
        </w:rPr>
        <w:t>lega que algunos aserradores</w:t>
      </w:r>
      <w:r w:rsidR="00AE2638" w:rsidRPr="009E3E1D">
        <w:rPr>
          <w:rFonts w:ascii="Cambria" w:hAnsi="Cambria"/>
          <w:sz w:val="20"/>
          <w:szCs w:val="20"/>
          <w:lang w:val="es-ES"/>
        </w:rPr>
        <w:t xml:space="preserve"> </w:t>
      </w:r>
      <w:r w:rsidR="0033638B" w:rsidRPr="009E3E1D">
        <w:rPr>
          <w:rFonts w:ascii="Cambria" w:hAnsi="Cambria"/>
          <w:sz w:val="20"/>
          <w:szCs w:val="20"/>
          <w:lang w:val="es-ES"/>
        </w:rPr>
        <w:t xml:space="preserve">estaban </w:t>
      </w:r>
      <w:r w:rsidR="00AE2638" w:rsidRPr="009E3E1D">
        <w:rPr>
          <w:rFonts w:ascii="Cambria" w:hAnsi="Cambria"/>
          <w:sz w:val="20"/>
          <w:szCs w:val="20"/>
          <w:lang w:val="es-ES"/>
        </w:rPr>
        <w:t>durmiendo</w:t>
      </w:r>
      <w:r w:rsidR="00636219" w:rsidRPr="009E3E1D">
        <w:rPr>
          <w:rFonts w:ascii="Cambria" w:hAnsi="Cambria"/>
          <w:sz w:val="20"/>
          <w:szCs w:val="20"/>
          <w:lang w:val="es-ES"/>
        </w:rPr>
        <w:t xml:space="preserve"> en </w:t>
      </w:r>
      <w:r w:rsidR="005053FD" w:rsidRPr="009E3E1D">
        <w:rPr>
          <w:rFonts w:ascii="Cambria" w:hAnsi="Cambria"/>
          <w:sz w:val="20"/>
          <w:szCs w:val="20"/>
          <w:lang w:val="es-ES"/>
        </w:rPr>
        <w:t>s</w:t>
      </w:r>
      <w:r w:rsidR="00636219" w:rsidRPr="009E3E1D">
        <w:rPr>
          <w:rFonts w:ascii="Cambria" w:hAnsi="Cambria"/>
          <w:sz w:val="20"/>
          <w:szCs w:val="20"/>
          <w:lang w:val="es-ES"/>
        </w:rPr>
        <w:t>us</w:t>
      </w:r>
      <w:r w:rsidR="005053FD" w:rsidRPr="009E3E1D">
        <w:rPr>
          <w:rFonts w:ascii="Cambria" w:hAnsi="Cambria"/>
          <w:sz w:val="20"/>
          <w:szCs w:val="20"/>
          <w:lang w:val="es-ES"/>
        </w:rPr>
        <w:t xml:space="preserve"> tiendas de campaña</w:t>
      </w:r>
      <w:r w:rsidR="00AE2638" w:rsidRPr="009E3E1D">
        <w:rPr>
          <w:rFonts w:ascii="Cambria" w:hAnsi="Cambria"/>
          <w:sz w:val="20"/>
          <w:szCs w:val="20"/>
          <w:lang w:val="es-ES"/>
        </w:rPr>
        <w:t>, cuando</w:t>
      </w:r>
      <w:r w:rsidR="00636219" w:rsidRPr="009E3E1D">
        <w:rPr>
          <w:rFonts w:ascii="Cambria" w:hAnsi="Cambria"/>
          <w:sz w:val="20"/>
          <w:szCs w:val="20"/>
          <w:lang w:val="es-ES"/>
        </w:rPr>
        <w:t xml:space="preserve"> llegó</w:t>
      </w:r>
      <w:r w:rsidR="00AE2638" w:rsidRPr="009E3E1D">
        <w:rPr>
          <w:rFonts w:ascii="Cambria" w:hAnsi="Cambria"/>
          <w:sz w:val="20"/>
          <w:szCs w:val="20"/>
          <w:lang w:val="es-ES"/>
        </w:rPr>
        <w:t xml:space="preserve"> una comitiva de hombres armados qu</w:t>
      </w:r>
      <w:r w:rsidR="00053406" w:rsidRPr="009E3E1D">
        <w:rPr>
          <w:rFonts w:ascii="Cambria" w:hAnsi="Cambria"/>
          <w:sz w:val="20"/>
          <w:szCs w:val="20"/>
          <w:lang w:val="es-ES"/>
        </w:rPr>
        <w:t xml:space="preserve">ienes </w:t>
      </w:r>
      <w:r w:rsidR="00636219" w:rsidRPr="009E3E1D">
        <w:rPr>
          <w:rFonts w:ascii="Cambria" w:hAnsi="Cambria"/>
          <w:sz w:val="20"/>
          <w:szCs w:val="20"/>
          <w:lang w:val="es-ES"/>
        </w:rPr>
        <w:t xml:space="preserve">procedieron a dispararles asesinando a diez de </w:t>
      </w:r>
      <w:r w:rsidR="00FB1F13" w:rsidRPr="009E3E1D">
        <w:rPr>
          <w:rFonts w:ascii="Cambria" w:hAnsi="Cambria"/>
          <w:sz w:val="20"/>
          <w:szCs w:val="20"/>
          <w:lang w:val="es-ES"/>
        </w:rPr>
        <w:t>los trabajadores</w:t>
      </w:r>
      <w:r w:rsidR="00053406" w:rsidRPr="009E3E1D">
        <w:rPr>
          <w:rFonts w:ascii="Cambria" w:hAnsi="Cambria"/>
          <w:sz w:val="20"/>
          <w:szCs w:val="20"/>
          <w:lang w:val="es-ES"/>
        </w:rPr>
        <w:t>.</w:t>
      </w:r>
      <w:r w:rsidR="00636219" w:rsidRPr="009E3E1D">
        <w:rPr>
          <w:rFonts w:ascii="Cambria" w:hAnsi="Cambria"/>
          <w:sz w:val="20"/>
          <w:szCs w:val="20"/>
          <w:lang w:val="es-ES"/>
        </w:rPr>
        <w:t xml:space="preserve"> Agrega que el </w:t>
      </w:r>
      <w:r w:rsidR="00053406" w:rsidRPr="009E3E1D">
        <w:rPr>
          <w:rFonts w:ascii="Cambria" w:hAnsi="Cambria"/>
          <w:sz w:val="20"/>
          <w:szCs w:val="20"/>
          <w:lang w:val="es-ES"/>
        </w:rPr>
        <w:t xml:space="preserve">grupo </w:t>
      </w:r>
      <w:r w:rsidR="00D761A6" w:rsidRPr="009E3E1D">
        <w:rPr>
          <w:rFonts w:ascii="Cambria" w:hAnsi="Cambria"/>
          <w:sz w:val="20"/>
          <w:szCs w:val="20"/>
          <w:lang w:val="es-ES"/>
        </w:rPr>
        <w:t>de atacantes</w:t>
      </w:r>
      <w:r w:rsidR="00636219" w:rsidRPr="009E3E1D">
        <w:rPr>
          <w:rFonts w:ascii="Cambria" w:hAnsi="Cambria"/>
          <w:sz w:val="20"/>
          <w:szCs w:val="20"/>
          <w:lang w:val="es-ES"/>
        </w:rPr>
        <w:t xml:space="preserve"> estaba</w:t>
      </w:r>
      <w:r w:rsidR="00053406" w:rsidRPr="009E3E1D">
        <w:rPr>
          <w:rFonts w:ascii="Cambria" w:hAnsi="Cambria"/>
          <w:sz w:val="20"/>
          <w:szCs w:val="20"/>
          <w:lang w:val="es-ES"/>
        </w:rPr>
        <w:t xml:space="preserve"> conformado por </w:t>
      </w:r>
      <w:r w:rsidR="00636219" w:rsidRPr="009E3E1D">
        <w:rPr>
          <w:rFonts w:ascii="Cambria" w:hAnsi="Cambria"/>
          <w:sz w:val="20"/>
          <w:szCs w:val="20"/>
          <w:lang w:val="es-ES"/>
        </w:rPr>
        <w:t xml:space="preserve">al menos </w:t>
      </w:r>
      <w:r w:rsidR="00053406" w:rsidRPr="009E3E1D">
        <w:rPr>
          <w:rFonts w:ascii="Cambria" w:hAnsi="Cambria"/>
          <w:sz w:val="20"/>
          <w:szCs w:val="20"/>
          <w:lang w:val="es-ES"/>
        </w:rPr>
        <w:t>cuatro integrantes de la</w:t>
      </w:r>
      <w:r w:rsidR="005301B5" w:rsidRPr="009E3E1D">
        <w:rPr>
          <w:rFonts w:ascii="Cambria" w:hAnsi="Cambria"/>
          <w:sz w:val="20"/>
          <w:szCs w:val="20"/>
          <w:lang w:val="es-ES"/>
        </w:rPr>
        <w:t xml:space="preserve"> cooperativa de vigilancia, </w:t>
      </w:r>
      <w:r w:rsidR="00102E1B" w:rsidRPr="009E3E1D">
        <w:rPr>
          <w:rFonts w:ascii="Cambria" w:hAnsi="Cambria"/>
          <w:sz w:val="20"/>
          <w:szCs w:val="20"/>
          <w:lang w:val="es-ES"/>
        </w:rPr>
        <w:t>“</w:t>
      </w:r>
      <w:r w:rsidR="005301B5" w:rsidRPr="009E3E1D">
        <w:rPr>
          <w:rFonts w:ascii="Cambria" w:hAnsi="Cambria"/>
          <w:sz w:val="20"/>
          <w:szCs w:val="20"/>
          <w:lang w:val="es-ES"/>
        </w:rPr>
        <w:t>Convivir el Paso</w:t>
      </w:r>
      <w:r w:rsidR="00D87769" w:rsidRPr="009E3E1D">
        <w:rPr>
          <w:rFonts w:ascii="Cambria" w:hAnsi="Cambria"/>
          <w:sz w:val="20"/>
          <w:szCs w:val="20"/>
          <w:lang w:val="es-ES"/>
        </w:rPr>
        <w:t>”</w:t>
      </w:r>
      <w:r w:rsidR="00B52190" w:rsidRPr="009E3E1D">
        <w:rPr>
          <w:rFonts w:ascii="Cambria" w:hAnsi="Cambria"/>
          <w:sz w:val="20"/>
          <w:szCs w:val="20"/>
          <w:lang w:val="es-ES"/>
        </w:rPr>
        <w:t xml:space="preserve">, quienes habrían sido informados por agentes estatales de </w:t>
      </w:r>
      <w:r w:rsidR="008F3E63" w:rsidRPr="009E3E1D">
        <w:rPr>
          <w:rFonts w:ascii="Cambria" w:hAnsi="Cambria"/>
          <w:sz w:val="20"/>
          <w:szCs w:val="20"/>
          <w:lang w:val="es-ES"/>
        </w:rPr>
        <w:t xml:space="preserve">Seccional de Investigación Criminal (SIJIN) </w:t>
      </w:r>
      <w:r w:rsidR="00B52190" w:rsidRPr="009E3E1D">
        <w:rPr>
          <w:rFonts w:ascii="Cambria" w:hAnsi="Cambria"/>
          <w:sz w:val="20"/>
          <w:szCs w:val="20"/>
          <w:lang w:val="es-ES"/>
        </w:rPr>
        <w:t>de Rionegro de la presencia de los trabajadores en el lugar, indicándoles que era un campamento de guerrilleros</w:t>
      </w:r>
      <w:r w:rsidR="00406495" w:rsidRPr="009E3E1D">
        <w:rPr>
          <w:rFonts w:ascii="Cambria" w:hAnsi="Cambria"/>
          <w:sz w:val="20"/>
          <w:szCs w:val="20"/>
          <w:lang w:val="es-ES"/>
        </w:rPr>
        <w:t xml:space="preserve"> Sostiene que “Convivir el Paso” fue creada por Decreto presidencial 356 de 1994 y que actuaban bajo la dirección de la Superintendencia de Vigilancia y los gobernadores departamentales. </w:t>
      </w:r>
    </w:p>
    <w:p w14:paraId="7281A03C" w14:textId="5855B221" w:rsidR="00771711" w:rsidRPr="00D51BFA" w:rsidRDefault="00391506" w:rsidP="00D47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91506">
        <w:rPr>
          <w:rFonts w:ascii="Cambria" w:hAnsi="Cambria"/>
          <w:sz w:val="20"/>
          <w:szCs w:val="20"/>
          <w:lang w:val="es-ES"/>
        </w:rPr>
        <w:t>La parte peticionaria</w:t>
      </w:r>
      <w:r>
        <w:rPr>
          <w:rFonts w:ascii="Cambria" w:hAnsi="Cambria"/>
          <w:sz w:val="20"/>
          <w:szCs w:val="20"/>
          <w:lang w:val="es-ES"/>
        </w:rPr>
        <w:t xml:space="preserve"> refiere que a</w:t>
      </w:r>
      <w:r w:rsidR="00540784">
        <w:rPr>
          <w:rFonts w:ascii="Cambria" w:hAnsi="Cambria"/>
          <w:sz w:val="20"/>
          <w:szCs w:val="20"/>
          <w:lang w:val="es-ES"/>
        </w:rPr>
        <w:t xml:space="preserve"> la maña</w:t>
      </w:r>
      <w:r>
        <w:rPr>
          <w:rFonts w:ascii="Cambria" w:hAnsi="Cambria"/>
          <w:sz w:val="20"/>
          <w:szCs w:val="20"/>
          <w:lang w:val="es-ES"/>
        </w:rPr>
        <w:t>na siguiente</w:t>
      </w:r>
      <w:r w:rsidR="00540784">
        <w:rPr>
          <w:rFonts w:ascii="Cambria" w:hAnsi="Cambria"/>
          <w:sz w:val="20"/>
          <w:szCs w:val="20"/>
          <w:lang w:val="es-ES"/>
        </w:rPr>
        <w:t xml:space="preserve">, las fuerzas policiacas </w:t>
      </w:r>
      <w:r w:rsidR="00102E1B">
        <w:rPr>
          <w:rFonts w:ascii="Cambria" w:hAnsi="Cambria"/>
          <w:sz w:val="20"/>
          <w:szCs w:val="20"/>
          <w:lang w:val="es-ES"/>
        </w:rPr>
        <w:t xml:space="preserve">acudieron </w:t>
      </w:r>
      <w:r w:rsidR="00540784">
        <w:rPr>
          <w:rFonts w:ascii="Cambria" w:hAnsi="Cambria"/>
          <w:sz w:val="20"/>
          <w:szCs w:val="20"/>
          <w:lang w:val="es-ES"/>
        </w:rPr>
        <w:t>a la zona</w:t>
      </w:r>
      <w:r w:rsidR="001F2CED">
        <w:rPr>
          <w:rFonts w:ascii="Cambria" w:hAnsi="Cambria"/>
          <w:sz w:val="20"/>
          <w:szCs w:val="20"/>
          <w:lang w:val="es-ES"/>
        </w:rPr>
        <w:t>,</w:t>
      </w:r>
      <w:r w:rsidR="00540784">
        <w:rPr>
          <w:rFonts w:ascii="Cambria" w:hAnsi="Cambria"/>
          <w:sz w:val="20"/>
          <w:szCs w:val="20"/>
          <w:lang w:val="es-ES"/>
        </w:rPr>
        <w:t xml:space="preserve"> </w:t>
      </w:r>
      <w:r w:rsidR="001F2CED">
        <w:rPr>
          <w:rFonts w:ascii="Cambria" w:hAnsi="Cambria"/>
          <w:sz w:val="20"/>
          <w:szCs w:val="20"/>
          <w:lang w:val="es-ES"/>
        </w:rPr>
        <w:t xml:space="preserve"> que</w:t>
      </w:r>
      <w:r w:rsidR="00540784">
        <w:rPr>
          <w:rFonts w:ascii="Cambria" w:hAnsi="Cambria"/>
          <w:sz w:val="20"/>
          <w:szCs w:val="20"/>
          <w:lang w:val="es-ES"/>
        </w:rPr>
        <w:t xml:space="preserve"> </w:t>
      </w:r>
      <w:r w:rsidR="00150230">
        <w:rPr>
          <w:rFonts w:ascii="Cambria" w:hAnsi="Cambria"/>
          <w:sz w:val="20"/>
          <w:szCs w:val="20"/>
          <w:lang w:val="es-ES"/>
        </w:rPr>
        <w:t>se</w:t>
      </w:r>
      <w:r w:rsidR="004141B7">
        <w:rPr>
          <w:rFonts w:ascii="Cambria" w:hAnsi="Cambria"/>
          <w:sz w:val="20"/>
          <w:szCs w:val="20"/>
          <w:lang w:val="es-ES"/>
        </w:rPr>
        <w:t xml:space="preserve"> </w:t>
      </w:r>
      <w:r>
        <w:rPr>
          <w:rFonts w:ascii="Cambria" w:hAnsi="Cambria"/>
          <w:sz w:val="20"/>
          <w:szCs w:val="20"/>
          <w:lang w:val="es-ES"/>
        </w:rPr>
        <w:t xml:space="preserve">inició una investigación y </w:t>
      </w:r>
      <w:r w:rsidR="001F2CED">
        <w:rPr>
          <w:rFonts w:ascii="Cambria" w:hAnsi="Cambria"/>
          <w:sz w:val="20"/>
          <w:szCs w:val="20"/>
          <w:lang w:val="es-ES"/>
        </w:rPr>
        <w:t xml:space="preserve">que </w:t>
      </w:r>
      <w:r>
        <w:rPr>
          <w:rFonts w:ascii="Cambria" w:hAnsi="Cambria"/>
          <w:sz w:val="20"/>
          <w:szCs w:val="20"/>
          <w:lang w:val="es-ES"/>
        </w:rPr>
        <w:t>el</w:t>
      </w:r>
      <w:r w:rsidR="004141B7">
        <w:rPr>
          <w:rFonts w:ascii="Cambria" w:hAnsi="Cambria"/>
          <w:sz w:val="20"/>
          <w:szCs w:val="20"/>
          <w:lang w:val="es-ES"/>
        </w:rPr>
        <w:t xml:space="preserve"> 18 de febrero de 1998 </w:t>
      </w:r>
      <w:r w:rsidR="00150230">
        <w:rPr>
          <w:rFonts w:ascii="Cambria" w:hAnsi="Cambria"/>
          <w:sz w:val="20"/>
          <w:szCs w:val="20"/>
          <w:lang w:val="es-ES"/>
        </w:rPr>
        <w:t xml:space="preserve">la Fiscalía </w:t>
      </w:r>
      <w:r w:rsidR="007E0718">
        <w:rPr>
          <w:rFonts w:ascii="Cambria" w:hAnsi="Cambria"/>
          <w:sz w:val="20"/>
          <w:szCs w:val="20"/>
          <w:lang w:val="es-ES"/>
        </w:rPr>
        <w:t xml:space="preserve">General de la Nación </w:t>
      </w:r>
      <w:r w:rsidR="004141B7">
        <w:rPr>
          <w:rFonts w:ascii="Cambria" w:hAnsi="Cambria"/>
          <w:sz w:val="20"/>
          <w:szCs w:val="20"/>
          <w:lang w:val="es-ES"/>
        </w:rPr>
        <w:t>formuló cargos en contra de cuatro presuntos responsables</w:t>
      </w:r>
      <w:r w:rsidR="004E4E28">
        <w:rPr>
          <w:rFonts w:ascii="Cambria" w:hAnsi="Cambria"/>
          <w:sz w:val="20"/>
          <w:szCs w:val="20"/>
          <w:lang w:val="es-ES"/>
        </w:rPr>
        <w:t xml:space="preserve"> y supervisores </w:t>
      </w:r>
      <w:r w:rsidR="00D47D04">
        <w:rPr>
          <w:rFonts w:ascii="Cambria" w:hAnsi="Cambria"/>
          <w:sz w:val="20"/>
          <w:szCs w:val="20"/>
          <w:lang w:val="es-ES"/>
        </w:rPr>
        <w:t xml:space="preserve">de la </w:t>
      </w:r>
      <w:r w:rsidR="00D47D04" w:rsidRPr="00D47D04">
        <w:rPr>
          <w:rFonts w:ascii="Cambria" w:hAnsi="Cambria"/>
          <w:sz w:val="20"/>
          <w:szCs w:val="20"/>
          <w:lang w:val="es-ES"/>
        </w:rPr>
        <w:t xml:space="preserve">“Convivir el Paso” </w:t>
      </w:r>
      <w:r w:rsidR="004141B7">
        <w:rPr>
          <w:rFonts w:ascii="Cambria" w:hAnsi="Cambria"/>
          <w:sz w:val="20"/>
          <w:szCs w:val="20"/>
          <w:lang w:val="es-ES"/>
        </w:rPr>
        <w:t xml:space="preserve"> </w:t>
      </w:r>
      <w:r w:rsidR="007E0718">
        <w:rPr>
          <w:rFonts w:ascii="Cambria" w:hAnsi="Cambria"/>
          <w:sz w:val="20"/>
          <w:szCs w:val="20"/>
          <w:lang w:val="es-ES"/>
        </w:rPr>
        <w:t>por los delitos de concierto para la conformación de escuadrones de la muerte y homicidio múltiple agravado</w:t>
      </w:r>
      <w:r w:rsidR="001F2CED">
        <w:rPr>
          <w:rFonts w:ascii="Cambria" w:hAnsi="Cambria"/>
          <w:sz w:val="20"/>
          <w:szCs w:val="20"/>
          <w:lang w:val="es-ES"/>
        </w:rPr>
        <w:t>.  Agrega que e</w:t>
      </w:r>
      <w:r w:rsidR="00150230">
        <w:rPr>
          <w:rFonts w:ascii="Cambria" w:hAnsi="Cambria"/>
          <w:sz w:val="20"/>
          <w:szCs w:val="20"/>
          <w:lang w:val="es-ES"/>
        </w:rPr>
        <w:t>stos</w:t>
      </w:r>
      <w:r>
        <w:rPr>
          <w:rFonts w:ascii="Cambria" w:hAnsi="Cambria"/>
          <w:sz w:val="20"/>
          <w:szCs w:val="20"/>
          <w:lang w:val="es-ES"/>
        </w:rPr>
        <w:t xml:space="preserve"> fueron </w:t>
      </w:r>
      <w:r w:rsidR="004141B7">
        <w:rPr>
          <w:rFonts w:ascii="Cambria" w:hAnsi="Cambria"/>
          <w:sz w:val="20"/>
          <w:szCs w:val="20"/>
          <w:lang w:val="es-ES"/>
        </w:rPr>
        <w:t>absueltos y puestos en libertad</w:t>
      </w:r>
      <w:r w:rsidR="008F7610">
        <w:rPr>
          <w:rFonts w:ascii="Cambria" w:hAnsi="Cambria"/>
          <w:sz w:val="20"/>
          <w:szCs w:val="20"/>
          <w:lang w:val="es-ES"/>
        </w:rPr>
        <w:t>,</w:t>
      </w:r>
      <w:r w:rsidR="004141B7">
        <w:rPr>
          <w:rFonts w:ascii="Cambria" w:hAnsi="Cambria"/>
          <w:sz w:val="20"/>
          <w:szCs w:val="20"/>
          <w:lang w:val="es-ES"/>
        </w:rPr>
        <w:t xml:space="preserve"> </w:t>
      </w:r>
      <w:r w:rsidR="004141B7" w:rsidRPr="007E0718">
        <w:rPr>
          <w:rFonts w:ascii="Cambria" w:hAnsi="Cambria"/>
          <w:sz w:val="20"/>
          <w:szCs w:val="20"/>
          <w:lang w:val="es-ES"/>
        </w:rPr>
        <w:t>el 12 de diciembre de 2000</w:t>
      </w:r>
      <w:r w:rsidR="004141B7">
        <w:rPr>
          <w:rFonts w:ascii="Cambria" w:hAnsi="Cambria"/>
          <w:sz w:val="20"/>
          <w:szCs w:val="20"/>
          <w:lang w:val="es-ES"/>
        </w:rPr>
        <w:t xml:space="preserve"> por sentencia del </w:t>
      </w:r>
      <w:r w:rsidR="00F16820" w:rsidRPr="00F16820">
        <w:rPr>
          <w:rFonts w:ascii="Cambria" w:hAnsi="Cambria"/>
          <w:sz w:val="20"/>
          <w:szCs w:val="20"/>
          <w:lang w:val="es-ES"/>
        </w:rPr>
        <w:t>Juzgado Penal del Circuito Especializado de Antioquia</w:t>
      </w:r>
      <w:r w:rsidR="007E0718">
        <w:rPr>
          <w:rFonts w:ascii="Cambria" w:hAnsi="Cambria"/>
          <w:sz w:val="20"/>
          <w:szCs w:val="20"/>
          <w:lang w:val="es-ES"/>
        </w:rPr>
        <w:t xml:space="preserve">, que consideró </w:t>
      </w:r>
      <w:r w:rsidR="007E0718" w:rsidRPr="007E0718">
        <w:rPr>
          <w:rFonts w:ascii="Cambria" w:hAnsi="Cambria"/>
          <w:sz w:val="20"/>
          <w:szCs w:val="20"/>
          <w:lang w:val="es-ES"/>
        </w:rPr>
        <w:t xml:space="preserve">que los testigos carecían de credibilidad y que era imposible </w:t>
      </w:r>
      <w:r w:rsidR="007E0718" w:rsidRPr="009E3E1D">
        <w:rPr>
          <w:rFonts w:ascii="Cambria" w:hAnsi="Cambria"/>
          <w:sz w:val="20"/>
          <w:szCs w:val="20"/>
          <w:lang w:val="es-ES"/>
        </w:rPr>
        <w:t>determinar cuál de los imputados había disparado el arma que arrojó resultados positivos en el examen de balística</w:t>
      </w:r>
      <w:r w:rsidR="004675DD" w:rsidRPr="009E3E1D">
        <w:rPr>
          <w:rFonts w:ascii="Cambria" w:hAnsi="Cambria"/>
          <w:sz w:val="20"/>
          <w:szCs w:val="20"/>
          <w:lang w:val="es-ES"/>
        </w:rPr>
        <w:t>.</w:t>
      </w:r>
      <w:r w:rsidR="00406495" w:rsidRPr="009E3E1D">
        <w:rPr>
          <w:rFonts w:ascii="Cambria" w:hAnsi="Cambria"/>
          <w:sz w:val="20"/>
          <w:szCs w:val="20"/>
          <w:lang w:val="es-ES"/>
        </w:rPr>
        <w:t xml:space="preserve"> Por tanto, alega que a pesar de la existencia de pruebas que comprometieron directamente a miembros de la fuerzas de seguridad del Estado</w:t>
      </w:r>
      <w:r w:rsidR="0087227D" w:rsidRPr="009E3E1D">
        <w:rPr>
          <w:rFonts w:ascii="Cambria" w:hAnsi="Cambria"/>
          <w:sz w:val="20"/>
          <w:szCs w:val="20"/>
          <w:lang w:val="es-ES"/>
        </w:rPr>
        <w:t xml:space="preserve">, grupos paramilitares </w:t>
      </w:r>
      <w:r w:rsidR="00406495" w:rsidRPr="009E3E1D">
        <w:rPr>
          <w:rFonts w:ascii="Cambria" w:hAnsi="Cambria"/>
          <w:sz w:val="20"/>
          <w:szCs w:val="20"/>
          <w:lang w:val="es-ES"/>
        </w:rPr>
        <w:t xml:space="preserve"> y de miembros de “Convivir el Paso”, </w:t>
      </w:r>
      <w:r w:rsidR="00D761A6" w:rsidRPr="009E3E1D">
        <w:rPr>
          <w:rFonts w:ascii="Cambria" w:hAnsi="Cambria"/>
          <w:sz w:val="20"/>
          <w:szCs w:val="20"/>
          <w:lang w:val="es-ES"/>
        </w:rPr>
        <w:t xml:space="preserve">las autoridades estatales no realizaron investigaciones </w:t>
      </w:r>
      <w:r w:rsidR="00174EB8" w:rsidRPr="009E3E1D">
        <w:rPr>
          <w:rFonts w:ascii="Cambria" w:hAnsi="Cambria"/>
          <w:sz w:val="20"/>
          <w:szCs w:val="20"/>
          <w:lang w:val="es-ES"/>
        </w:rPr>
        <w:t>ni actuaciones posteriores con el fin sancionar a los responsables de la masacre y los hechos permanecen en la impunidad</w:t>
      </w:r>
      <w:r w:rsidR="00406495" w:rsidRPr="009E3E1D">
        <w:rPr>
          <w:rFonts w:asciiTheme="majorHAnsi" w:hAnsiTheme="majorHAnsi"/>
          <w:sz w:val="20"/>
          <w:szCs w:val="20"/>
          <w:lang w:val="es-ES"/>
        </w:rPr>
        <w:t>.</w:t>
      </w:r>
      <w:r w:rsidR="0087227D" w:rsidRPr="009E3E1D">
        <w:rPr>
          <w:rFonts w:asciiTheme="majorHAnsi" w:hAnsiTheme="majorHAnsi"/>
          <w:sz w:val="20"/>
          <w:szCs w:val="20"/>
          <w:lang w:val="es-ES"/>
        </w:rPr>
        <w:t xml:space="preserve"> Específicamente refieren que nunca se vinculó a miembro alguno de la fuerza pública ni a líderes paramilitares por la masacre. </w:t>
      </w:r>
      <w:r w:rsidR="00406495" w:rsidRPr="009E3E1D">
        <w:rPr>
          <w:rFonts w:asciiTheme="majorHAnsi" w:hAnsiTheme="majorHAnsi"/>
          <w:sz w:val="20"/>
          <w:szCs w:val="20"/>
          <w:lang w:val="es-ES"/>
        </w:rPr>
        <w:t xml:space="preserve"> </w:t>
      </w:r>
      <w:r w:rsidR="00D51BFA" w:rsidRPr="009E3E1D">
        <w:rPr>
          <w:rFonts w:asciiTheme="majorHAnsi" w:hAnsiTheme="majorHAnsi"/>
          <w:sz w:val="20"/>
          <w:szCs w:val="20"/>
          <w:lang w:val="es-ES"/>
        </w:rPr>
        <w:t xml:space="preserve">La parte peticionaria agrega que </w:t>
      </w:r>
      <w:r w:rsidR="009F6836" w:rsidRPr="009E3E1D">
        <w:rPr>
          <w:rFonts w:asciiTheme="majorHAnsi" w:hAnsiTheme="majorHAnsi"/>
          <w:sz w:val="20"/>
          <w:szCs w:val="20"/>
          <w:lang w:val="es-ES"/>
        </w:rPr>
        <w:t>los familiares de las personas asesinadas</w:t>
      </w:r>
      <w:r w:rsidR="009F6836">
        <w:rPr>
          <w:rFonts w:asciiTheme="majorHAnsi" w:hAnsiTheme="majorHAnsi"/>
          <w:sz w:val="20"/>
          <w:szCs w:val="20"/>
          <w:lang w:val="es-ES"/>
        </w:rPr>
        <w:t xml:space="preserve"> </w:t>
      </w:r>
      <w:r w:rsidR="00D51BFA" w:rsidRPr="00C96E84">
        <w:rPr>
          <w:rFonts w:asciiTheme="majorHAnsi" w:hAnsiTheme="majorHAnsi"/>
          <w:sz w:val="20"/>
          <w:szCs w:val="20"/>
          <w:lang w:val="es-ES"/>
        </w:rPr>
        <w:t xml:space="preserve">promovieron acciones de reparación directa el 11 de agosto de 1999 </w:t>
      </w:r>
      <w:r w:rsidR="007E0718">
        <w:rPr>
          <w:rFonts w:asciiTheme="majorHAnsi" w:hAnsiTheme="majorHAnsi"/>
          <w:sz w:val="20"/>
          <w:szCs w:val="20"/>
          <w:lang w:val="es-ES"/>
        </w:rPr>
        <w:t xml:space="preserve">ante el Tribunal Administrativo de Antioquia </w:t>
      </w:r>
      <w:r w:rsidR="00D51BFA" w:rsidRPr="00C96E84">
        <w:rPr>
          <w:rFonts w:asciiTheme="majorHAnsi" w:hAnsiTheme="majorHAnsi"/>
          <w:sz w:val="20"/>
          <w:szCs w:val="20"/>
          <w:lang w:val="es-ES"/>
        </w:rPr>
        <w:t>y que a la fecha seguirían sin obtener respuesta ni resolución sobre el estado y seguimiento de los procedimientos de reparaci</w:t>
      </w:r>
      <w:r w:rsidR="00D51BFA">
        <w:rPr>
          <w:rFonts w:asciiTheme="majorHAnsi" w:hAnsiTheme="majorHAnsi"/>
          <w:sz w:val="20"/>
          <w:szCs w:val="20"/>
          <w:lang w:val="es-ES"/>
        </w:rPr>
        <w:t xml:space="preserve">ón correspondientes, por lo que alega que </w:t>
      </w:r>
      <w:r w:rsidR="00102E1B">
        <w:rPr>
          <w:rFonts w:asciiTheme="majorHAnsi" w:hAnsiTheme="majorHAnsi"/>
          <w:sz w:val="20"/>
          <w:szCs w:val="20"/>
          <w:lang w:val="es-ES"/>
        </w:rPr>
        <w:t xml:space="preserve">existe </w:t>
      </w:r>
      <w:r w:rsidR="00D51BFA">
        <w:rPr>
          <w:rFonts w:asciiTheme="majorHAnsi" w:hAnsiTheme="majorHAnsi"/>
          <w:sz w:val="20"/>
          <w:szCs w:val="20"/>
          <w:lang w:val="es-ES"/>
        </w:rPr>
        <w:t xml:space="preserve">un retraso injustificado. </w:t>
      </w:r>
      <w:r w:rsidR="00737B77">
        <w:rPr>
          <w:rFonts w:asciiTheme="majorHAnsi" w:hAnsiTheme="majorHAnsi"/>
          <w:sz w:val="20"/>
          <w:szCs w:val="20"/>
          <w:lang w:val="es-ES"/>
        </w:rPr>
        <w:t xml:space="preserve">Por tanto, </w:t>
      </w:r>
      <w:r w:rsidR="00323A19">
        <w:rPr>
          <w:rFonts w:asciiTheme="majorHAnsi" w:hAnsiTheme="majorHAnsi"/>
          <w:sz w:val="20"/>
          <w:szCs w:val="20"/>
          <w:lang w:val="es-ES"/>
        </w:rPr>
        <w:t>sostiene</w:t>
      </w:r>
      <w:r w:rsidR="00737B77">
        <w:rPr>
          <w:rFonts w:asciiTheme="majorHAnsi" w:hAnsiTheme="majorHAnsi"/>
          <w:sz w:val="20"/>
          <w:szCs w:val="20"/>
          <w:lang w:val="es-ES"/>
        </w:rPr>
        <w:t xml:space="preserve"> que transcurridas décadas </w:t>
      </w:r>
      <w:r w:rsidR="0087227D">
        <w:rPr>
          <w:rFonts w:asciiTheme="majorHAnsi" w:hAnsiTheme="majorHAnsi"/>
          <w:sz w:val="20"/>
          <w:szCs w:val="20"/>
          <w:lang w:val="es-ES"/>
        </w:rPr>
        <w:t>de</w:t>
      </w:r>
      <w:r w:rsidR="00737B77">
        <w:rPr>
          <w:rFonts w:asciiTheme="majorHAnsi" w:hAnsiTheme="majorHAnsi"/>
          <w:sz w:val="20"/>
          <w:szCs w:val="20"/>
          <w:lang w:val="es-ES"/>
        </w:rPr>
        <w:t>sde</w:t>
      </w:r>
      <w:r w:rsidR="0087227D">
        <w:rPr>
          <w:rFonts w:asciiTheme="majorHAnsi" w:hAnsiTheme="majorHAnsi"/>
          <w:sz w:val="20"/>
          <w:szCs w:val="20"/>
          <w:lang w:val="es-ES"/>
        </w:rPr>
        <w:t xml:space="preserve"> que los aserradores fueran ejecutados extrajudicialmente todavía los recursos judiciales no han sido resueltos de forma definitiva</w:t>
      </w:r>
      <w:r w:rsidR="00737B77">
        <w:rPr>
          <w:rFonts w:asciiTheme="majorHAnsi" w:hAnsiTheme="majorHAnsi"/>
          <w:sz w:val="20"/>
          <w:szCs w:val="20"/>
          <w:lang w:val="es-ES"/>
        </w:rPr>
        <w:t>, manteniéndose los hechos en la impunidad y sin que exista una decisión que analice y defina la cuestión de la responsabilidad estatal en la masacre.</w:t>
      </w:r>
    </w:p>
    <w:p w14:paraId="7E06EE7F" w14:textId="1FE903F7" w:rsidR="00D51BFA" w:rsidRDefault="0038076A" w:rsidP="00F1682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Cambria" w:hAnsi="Cambria"/>
          <w:sz w:val="20"/>
          <w:szCs w:val="20"/>
          <w:lang w:val="es-ES"/>
        </w:rPr>
        <w:t xml:space="preserve">La parte peticionaria </w:t>
      </w:r>
      <w:r w:rsidR="00BA00C3">
        <w:rPr>
          <w:rFonts w:ascii="Cambria" w:hAnsi="Cambria"/>
          <w:sz w:val="20"/>
          <w:szCs w:val="20"/>
          <w:lang w:val="es-ES"/>
        </w:rPr>
        <w:t xml:space="preserve">alega que el grupo criminal </w:t>
      </w:r>
      <w:r w:rsidR="00391506">
        <w:rPr>
          <w:rFonts w:ascii="Cambria" w:hAnsi="Cambria"/>
          <w:sz w:val="20"/>
          <w:szCs w:val="20"/>
          <w:lang w:val="es-ES"/>
        </w:rPr>
        <w:t xml:space="preserve">involucrado en los homicidios </w:t>
      </w:r>
      <w:r w:rsidR="001F2CED">
        <w:rPr>
          <w:rFonts w:ascii="Cambria" w:hAnsi="Cambria"/>
          <w:sz w:val="20"/>
          <w:szCs w:val="20"/>
          <w:lang w:val="es-ES"/>
        </w:rPr>
        <w:t xml:space="preserve">utilizó </w:t>
      </w:r>
      <w:r w:rsidR="005301B5">
        <w:rPr>
          <w:rFonts w:ascii="Cambria" w:hAnsi="Cambria"/>
          <w:sz w:val="20"/>
          <w:szCs w:val="20"/>
          <w:lang w:val="es-ES"/>
        </w:rPr>
        <w:t>dispositivos de lo</w:t>
      </w:r>
      <w:r w:rsidR="008D67AD">
        <w:rPr>
          <w:rFonts w:ascii="Cambria" w:hAnsi="Cambria"/>
          <w:sz w:val="20"/>
          <w:szCs w:val="20"/>
          <w:lang w:val="es-ES"/>
        </w:rPr>
        <w:t>s cuerpos de seguridad pública para transmitir información y coordinar los actos ilegales.</w:t>
      </w:r>
      <w:r w:rsidR="00391506">
        <w:rPr>
          <w:rFonts w:ascii="Cambria" w:hAnsi="Cambria"/>
          <w:sz w:val="20"/>
          <w:szCs w:val="20"/>
          <w:lang w:val="es-ES"/>
        </w:rPr>
        <w:t xml:space="preserve"> </w:t>
      </w:r>
      <w:r w:rsidR="003502B5">
        <w:rPr>
          <w:rFonts w:ascii="Cambria" w:hAnsi="Cambria"/>
          <w:sz w:val="20"/>
          <w:szCs w:val="20"/>
          <w:lang w:val="es-ES"/>
        </w:rPr>
        <w:t>A modo de contexto, s</w:t>
      </w:r>
      <w:r w:rsidR="001F2CED">
        <w:rPr>
          <w:rFonts w:ascii="Cambria" w:hAnsi="Cambria"/>
          <w:sz w:val="20"/>
          <w:szCs w:val="20"/>
          <w:lang w:val="es-ES"/>
        </w:rPr>
        <w:t xml:space="preserve">ostiene </w:t>
      </w:r>
      <w:r>
        <w:rPr>
          <w:rFonts w:ascii="Cambria" w:hAnsi="Cambria"/>
          <w:sz w:val="20"/>
          <w:szCs w:val="20"/>
          <w:lang w:val="es-ES"/>
        </w:rPr>
        <w:t xml:space="preserve">que </w:t>
      </w:r>
      <w:r w:rsidR="003502B5">
        <w:rPr>
          <w:rFonts w:ascii="Cambria" w:hAnsi="Cambria"/>
          <w:sz w:val="20"/>
          <w:szCs w:val="20"/>
          <w:lang w:val="es-ES"/>
        </w:rPr>
        <w:t>el referido pacto de colaboración entre las fuerzas de seguridad y</w:t>
      </w:r>
      <w:r w:rsidR="00174EB8">
        <w:rPr>
          <w:rFonts w:ascii="Cambria" w:hAnsi="Cambria"/>
          <w:sz w:val="20"/>
          <w:szCs w:val="20"/>
          <w:lang w:val="es-ES"/>
        </w:rPr>
        <w:t xml:space="preserve"> </w:t>
      </w:r>
      <w:r w:rsidR="00F16820" w:rsidRPr="00F16820">
        <w:rPr>
          <w:rFonts w:ascii="Cambria" w:hAnsi="Cambria"/>
          <w:sz w:val="20"/>
          <w:szCs w:val="20"/>
          <w:lang w:val="es-ES"/>
        </w:rPr>
        <w:t>“Convivir el Paso”</w:t>
      </w:r>
      <w:r w:rsidR="003502B5">
        <w:rPr>
          <w:rFonts w:ascii="Cambria" w:hAnsi="Cambria"/>
          <w:sz w:val="20"/>
          <w:szCs w:val="20"/>
          <w:lang w:val="es-ES"/>
        </w:rPr>
        <w:t xml:space="preserve"> </w:t>
      </w:r>
      <w:r>
        <w:rPr>
          <w:rFonts w:ascii="Cambria" w:hAnsi="Cambria"/>
          <w:sz w:val="20"/>
          <w:szCs w:val="20"/>
          <w:lang w:val="es-ES"/>
        </w:rPr>
        <w:t>quedó acreditada mediante diversos procesos disciplinarios y judiciale</w:t>
      </w:r>
      <w:r w:rsidR="00F16820">
        <w:rPr>
          <w:rFonts w:ascii="Cambria" w:hAnsi="Cambria"/>
          <w:sz w:val="20"/>
          <w:szCs w:val="20"/>
          <w:lang w:val="es-ES"/>
        </w:rPr>
        <w:t xml:space="preserve">s, a modo de ejemplo  </w:t>
      </w:r>
      <w:r w:rsidR="003502B5">
        <w:rPr>
          <w:rFonts w:ascii="Cambria" w:hAnsi="Cambria"/>
          <w:sz w:val="20"/>
          <w:szCs w:val="20"/>
          <w:lang w:val="es-ES"/>
        </w:rPr>
        <w:t>refiere que</w:t>
      </w:r>
      <w:r w:rsidR="00F16820">
        <w:rPr>
          <w:rFonts w:ascii="Cambria" w:hAnsi="Cambria"/>
          <w:sz w:val="20"/>
          <w:szCs w:val="20"/>
          <w:lang w:val="es-ES"/>
        </w:rPr>
        <w:t xml:space="preserve"> </w:t>
      </w:r>
      <w:r w:rsidR="00C2279C">
        <w:rPr>
          <w:rFonts w:ascii="Cambria" w:hAnsi="Cambria"/>
          <w:sz w:val="20"/>
          <w:szCs w:val="20"/>
          <w:lang w:val="es-ES"/>
        </w:rPr>
        <w:t>el 13 de diciembre de 2000, la Procuraduría General de la Nación</w:t>
      </w:r>
      <w:r w:rsidR="00391506">
        <w:rPr>
          <w:rFonts w:ascii="Cambria" w:hAnsi="Cambria"/>
          <w:sz w:val="20"/>
          <w:szCs w:val="20"/>
          <w:lang w:val="es-ES"/>
        </w:rPr>
        <w:t xml:space="preserve"> (PGN</w:t>
      </w:r>
      <w:r w:rsidR="00081637">
        <w:rPr>
          <w:rFonts w:ascii="Cambria" w:hAnsi="Cambria"/>
          <w:sz w:val="20"/>
          <w:szCs w:val="20"/>
          <w:lang w:val="es-ES"/>
        </w:rPr>
        <w:t>)</w:t>
      </w:r>
      <w:r w:rsidR="00275C06">
        <w:rPr>
          <w:rFonts w:ascii="Cambria" w:hAnsi="Cambria"/>
          <w:sz w:val="20"/>
          <w:szCs w:val="20"/>
          <w:lang w:val="es-ES"/>
        </w:rPr>
        <w:t xml:space="preserve"> inició </w:t>
      </w:r>
      <w:r w:rsidR="00391506">
        <w:rPr>
          <w:rFonts w:ascii="Cambria" w:hAnsi="Cambria"/>
          <w:sz w:val="20"/>
          <w:szCs w:val="20"/>
          <w:lang w:val="es-ES"/>
        </w:rPr>
        <w:t xml:space="preserve">en </w:t>
      </w:r>
      <w:r w:rsidR="00C2279C" w:rsidRPr="00C96E84">
        <w:rPr>
          <w:rFonts w:asciiTheme="majorHAnsi" w:hAnsiTheme="majorHAnsi"/>
          <w:sz w:val="20"/>
          <w:szCs w:val="20"/>
          <w:lang w:val="es-ES"/>
        </w:rPr>
        <w:t xml:space="preserve">contra </w:t>
      </w:r>
      <w:r w:rsidR="00391506">
        <w:rPr>
          <w:rFonts w:asciiTheme="majorHAnsi" w:hAnsiTheme="majorHAnsi"/>
          <w:sz w:val="20"/>
          <w:szCs w:val="20"/>
          <w:lang w:val="es-ES"/>
        </w:rPr>
        <w:t xml:space="preserve">de </w:t>
      </w:r>
      <w:r w:rsidR="00F16820">
        <w:rPr>
          <w:rFonts w:asciiTheme="majorHAnsi" w:hAnsiTheme="majorHAnsi"/>
          <w:sz w:val="20"/>
          <w:szCs w:val="20"/>
          <w:lang w:val="es-ES"/>
        </w:rPr>
        <w:t xml:space="preserve">integrantes </w:t>
      </w:r>
      <w:r w:rsidR="00391506">
        <w:rPr>
          <w:rFonts w:asciiTheme="majorHAnsi" w:hAnsiTheme="majorHAnsi"/>
          <w:sz w:val="20"/>
          <w:szCs w:val="20"/>
          <w:lang w:val="es-ES"/>
        </w:rPr>
        <w:t>del E</w:t>
      </w:r>
      <w:r w:rsidR="00C2279C" w:rsidRPr="00C96E84">
        <w:rPr>
          <w:rFonts w:asciiTheme="majorHAnsi" w:hAnsiTheme="majorHAnsi"/>
          <w:sz w:val="20"/>
          <w:szCs w:val="20"/>
          <w:lang w:val="es-ES"/>
        </w:rPr>
        <w:t>jército</w:t>
      </w:r>
      <w:r w:rsidR="00F16820">
        <w:rPr>
          <w:rFonts w:asciiTheme="majorHAnsi" w:hAnsiTheme="majorHAnsi"/>
          <w:sz w:val="20"/>
          <w:szCs w:val="20"/>
          <w:lang w:val="es-ES"/>
        </w:rPr>
        <w:t>, la Policía Nacional y políticos</w:t>
      </w:r>
      <w:r w:rsidR="00C2279C" w:rsidRPr="00C96E84">
        <w:rPr>
          <w:rFonts w:asciiTheme="majorHAnsi" w:hAnsiTheme="majorHAnsi"/>
          <w:sz w:val="20"/>
          <w:szCs w:val="20"/>
          <w:lang w:val="es-ES"/>
        </w:rPr>
        <w:t xml:space="preserve"> que participaron en actos</w:t>
      </w:r>
      <w:r w:rsidR="008D67AD">
        <w:rPr>
          <w:rFonts w:asciiTheme="majorHAnsi" w:hAnsiTheme="majorHAnsi"/>
          <w:sz w:val="20"/>
          <w:szCs w:val="20"/>
          <w:lang w:val="es-ES"/>
        </w:rPr>
        <w:t xml:space="preserve"> delictuosos</w:t>
      </w:r>
      <w:r w:rsidR="004C6489">
        <w:rPr>
          <w:rFonts w:asciiTheme="majorHAnsi" w:hAnsiTheme="majorHAnsi"/>
          <w:sz w:val="20"/>
          <w:szCs w:val="20"/>
          <w:lang w:val="es-ES"/>
        </w:rPr>
        <w:t>,</w:t>
      </w:r>
      <w:r w:rsidR="00F16820">
        <w:rPr>
          <w:rFonts w:asciiTheme="majorHAnsi" w:hAnsiTheme="majorHAnsi"/>
          <w:sz w:val="20"/>
          <w:szCs w:val="20"/>
          <w:lang w:val="es-ES"/>
        </w:rPr>
        <w:t xml:space="preserve"> similares a la denunciada masacre.</w:t>
      </w:r>
      <w:r w:rsidR="00C2279C" w:rsidRPr="00C96E84">
        <w:rPr>
          <w:rFonts w:asciiTheme="majorHAnsi" w:hAnsiTheme="majorHAnsi"/>
          <w:sz w:val="20"/>
          <w:szCs w:val="20"/>
          <w:lang w:val="es-ES"/>
        </w:rPr>
        <w:t xml:space="preserve"> </w:t>
      </w:r>
      <w:r w:rsidR="00391506">
        <w:rPr>
          <w:rFonts w:asciiTheme="majorHAnsi" w:hAnsiTheme="majorHAnsi"/>
          <w:sz w:val="20"/>
          <w:szCs w:val="20"/>
          <w:lang w:val="es-ES"/>
        </w:rPr>
        <w:t>A</w:t>
      </w:r>
      <w:r w:rsidR="00C2279C" w:rsidRPr="00391506">
        <w:rPr>
          <w:rFonts w:asciiTheme="majorHAnsi" w:hAnsiTheme="majorHAnsi"/>
          <w:sz w:val="20"/>
          <w:szCs w:val="20"/>
          <w:lang w:val="es-ES"/>
        </w:rPr>
        <w:t>grega que</w:t>
      </w:r>
      <w:r w:rsidR="00F16820">
        <w:rPr>
          <w:rFonts w:asciiTheme="majorHAnsi" w:hAnsiTheme="majorHAnsi"/>
          <w:sz w:val="20"/>
          <w:szCs w:val="20"/>
          <w:lang w:val="es-ES"/>
        </w:rPr>
        <w:t xml:space="preserve"> el </w:t>
      </w:r>
      <w:r w:rsidR="00F16820" w:rsidRPr="00F16820">
        <w:rPr>
          <w:rFonts w:asciiTheme="majorHAnsi" w:hAnsiTheme="majorHAnsi"/>
          <w:sz w:val="20"/>
          <w:szCs w:val="20"/>
          <w:lang w:val="es-ES"/>
        </w:rPr>
        <w:t xml:space="preserve">30 de noviembre de 2004, la Sala de Decisión </w:t>
      </w:r>
      <w:r w:rsidR="00F16820" w:rsidRPr="009E3E1D">
        <w:rPr>
          <w:rFonts w:asciiTheme="majorHAnsi" w:hAnsiTheme="majorHAnsi"/>
          <w:sz w:val="20"/>
          <w:szCs w:val="20"/>
          <w:lang w:val="es-ES"/>
        </w:rPr>
        <w:t>Penal del Tribunal Superior de confirmó la sentencia condenatoria</w:t>
      </w:r>
      <w:r w:rsidR="00C2279C" w:rsidRPr="009E3E1D">
        <w:rPr>
          <w:rFonts w:asciiTheme="majorHAnsi" w:hAnsiTheme="majorHAnsi"/>
          <w:sz w:val="20"/>
          <w:szCs w:val="20"/>
          <w:lang w:val="es-ES"/>
        </w:rPr>
        <w:t xml:space="preserve"> </w:t>
      </w:r>
      <w:r w:rsidR="004C6489" w:rsidRPr="009E3E1D">
        <w:rPr>
          <w:rFonts w:asciiTheme="majorHAnsi" w:hAnsiTheme="majorHAnsi"/>
          <w:sz w:val="20"/>
          <w:szCs w:val="20"/>
          <w:lang w:val="es-ES"/>
        </w:rPr>
        <w:t>emitida por el Juzgado Segundo Penal del Circuito Especializado de Antioquia</w:t>
      </w:r>
      <w:r w:rsidR="00F16820" w:rsidRPr="009E3E1D">
        <w:rPr>
          <w:rFonts w:asciiTheme="majorHAnsi" w:hAnsiTheme="majorHAnsi"/>
          <w:sz w:val="20"/>
          <w:szCs w:val="20"/>
          <w:lang w:val="es-ES"/>
        </w:rPr>
        <w:t xml:space="preserve"> en contra de dos de los imputados </w:t>
      </w:r>
      <w:r w:rsidR="004675DD" w:rsidRPr="009E3E1D">
        <w:rPr>
          <w:rFonts w:asciiTheme="majorHAnsi" w:hAnsiTheme="majorHAnsi"/>
          <w:sz w:val="20"/>
          <w:szCs w:val="20"/>
          <w:lang w:val="es-ES"/>
        </w:rPr>
        <w:t>por el delito de concierto para delinquir</w:t>
      </w:r>
      <w:r w:rsidR="00F16820" w:rsidRPr="009E3E1D">
        <w:rPr>
          <w:rFonts w:asciiTheme="majorHAnsi" w:hAnsiTheme="majorHAnsi"/>
          <w:sz w:val="20"/>
          <w:szCs w:val="20"/>
          <w:lang w:val="es-ES"/>
        </w:rPr>
        <w:t>, evidenciando los denunciados vínculos entre agencias estatales y los perpetradores de la masacre</w:t>
      </w:r>
      <w:r w:rsidR="00BE4CF1" w:rsidRPr="009E3E1D">
        <w:rPr>
          <w:rFonts w:asciiTheme="majorHAnsi" w:hAnsiTheme="majorHAnsi"/>
          <w:sz w:val="20"/>
          <w:szCs w:val="20"/>
          <w:lang w:val="es-ES"/>
        </w:rPr>
        <w:t xml:space="preserve">. </w:t>
      </w:r>
      <w:r w:rsidR="001E31CC" w:rsidRPr="009E3E1D">
        <w:rPr>
          <w:rFonts w:asciiTheme="majorHAnsi" w:hAnsiTheme="majorHAnsi"/>
          <w:sz w:val="20"/>
          <w:szCs w:val="20"/>
          <w:lang w:val="es-ES"/>
        </w:rPr>
        <w:t xml:space="preserve"> </w:t>
      </w:r>
      <w:r w:rsidR="006B3118" w:rsidRPr="009E3E1D">
        <w:rPr>
          <w:rFonts w:asciiTheme="majorHAnsi" w:hAnsiTheme="majorHAnsi"/>
          <w:sz w:val="20"/>
          <w:szCs w:val="20"/>
          <w:lang w:val="es-ES"/>
        </w:rPr>
        <w:t xml:space="preserve">Por ello, alega que a pesar de ser una relación pública, notoria y determinada judicialmente, </w:t>
      </w:r>
      <w:r w:rsidR="00174EB8" w:rsidRPr="009E3E1D">
        <w:rPr>
          <w:rFonts w:asciiTheme="majorHAnsi" w:hAnsiTheme="majorHAnsi"/>
          <w:sz w:val="20"/>
          <w:szCs w:val="20"/>
          <w:lang w:val="es-ES"/>
        </w:rPr>
        <w:t xml:space="preserve">en el caso concreto de la masacre las autoridades no han ejercido su obligación de investigar los hechos </w:t>
      </w:r>
      <w:r w:rsidR="006B3118" w:rsidRPr="009E3E1D">
        <w:rPr>
          <w:rFonts w:asciiTheme="majorHAnsi" w:hAnsiTheme="majorHAnsi"/>
          <w:sz w:val="20"/>
          <w:szCs w:val="20"/>
          <w:lang w:val="es-ES"/>
        </w:rPr>
        <w:t>ni sancionar a los responsables.</w:t>
      </w:r>
    </w:p>
    <w:p w14:paraId="5ACB9913" w14:textId="77777777" w:rsidR="00D51BFA" w:rsidRDefault="00D51BFA" w:rsidP="00D51BF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318B6126" w14:textId="02FF88E5" w:rsidR="00D51BFA" w:rsidRDefault="00275C06" w:rsidP="004C64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1BFA">
        <w:rPr>
          <w:rFonts w:asciiTheme="majorHAnsi" w:hAnsiTheme="majorHAnsi"/>
          <w:sz w:val="20"/>
          <w:szCs w:val="20"/>
          <w:lang w:val="es-ES"/>
        </w:rPr>
        <w:t xml:space="preserve">El Estado alega que </w:t>
      </w:r>
      <w:r w:rsidR="007E0718">
        <w:rPr>
          <w:rFonts w:asciiTheme="majorHAnsi" w:hAnsiTheme="majorHAnsi"/>
          <w:sz w:val="20"/>
          <w:szCs w:val="20"/>
          <w:lang w:val="es-ES"/>
        </w:rPr>
        <w:t xml:space="preserve">los </w:t>
      </w:r>
      <w:r w:rsidR="004C6489">
        <w:rPr>
          <w:rFonts w:asciiTheme="majorHAnsi" w:hAnsiTheme="majorHAnsi"/>
          <w:sz w:val="20"/>
          <w:szCs w:val="20"/>
          <w:lang w:val="es-ES"/>
        </w:rPr>
        <w:t xml:space="preserve">hechos presentados en la petición fueron puestos en consideración de los órganos </w:t>
      </w:r>
      <w:r w:rsidR="008F7610">
        <w:rPr>
          <w:rFonts w:asciiTheme="majorHAnsi" w:hAnsiTheme="majorHAnsi"/>
          <w:sz w:val="20"/>
          <w:szCs w:val="20"/>
          <w:lang w:val="es-ES"/>
        </w:rPr>
        <w:t>competentes,</w:t>
      </w:r>
      <w:r w:rsidR="004C6489">
        <w:rPr>
          <w:rFonts w:asciiTheme="majorHAnsi" w:hAnsiTheme="majorHAnsi"/>
          <w:sz w:val="20"/>
          <w:szCs w:val="20"/>
          <w:lang w:val="es-ES"/>
        </w:rPr>
        <w:t xml:space="preserve"> </w:t>
      </w:r>
      <w:r w:rsidR="001E31CC" w:rsidRPr="00D51BFA">
        <w:rPr>
          <w:rFonts w:asciiTheme="majorHAnsi" w:hAnsiTheme="majorHAnsi"/>
          <w:sz w:val="20"/>
          <w:szCs w:val="20"/>
          <w:lang w:val="es-ES"/>
        </w:rPr>
        <w:t>los procedimientos fueron iniciados y llevados conforme al debido proceso</w:t>
      </w:r>
      <w:r w:rsidR="005F7B29">
        <w:rPr>
          <w:rFonts w:asciiTheme="majorHAnsi" w:hAnsiTheme="majorHAnsi"/>
          <w:sz w:val="20"/>
          <w:szCs w:val="20"/>
          <w:lang w:val="es-ES"/>
        </w:rPr>
        <w:t xml:space="preserve">; </w:t>
      </w:r>
      <w:r w:rsidR="004C6489">
        <w:rPr>
          <w:rFonts w:asciiTheme="majorHAnsi" w:hAnsiTheme="majorHAnsi"/>
          <w:sz w:val="20"/>
          <w:szCs w:val="20"/>
          <w:lang w:val="es-ES"/>
        </w:rPr>
        <w:t xml:space="preserve">y </w:t>
      </w:r>
      <w:r w:rsidR="005F7B29">
        <w:rPr>
          <w:rFonts w:asciiTheme="majorHAnsi" w:hAnsiTheme="majorHAnsi"/>
          <w:sz w:val="20"/>
          <w:szCs w:val="20"/>
          <w:lang w:val="es-ES"/>
        </w:rPr>
        <w:t>que</w:t>
      </w:r>
      <w:r w:rsidR="001E31CC" w:rsidRPr="00D51BFA">
        <w:rPr>
          <w:rFonts w:asciiTheme="majorHAnsi" w:hAnsiTheme="majorHAnsi"/>
          <w:sz w:val="20"/>
          <w:szCs w:val="20"/>
          <w:lang w:val="es-ES"/>
        </w:rPr>
        <w:t xml:space="preserve"> por falta de medios probatorios no se pudo vincular </w:t>
      </w:r>
      <w:r w:rsidR="005F7B29">
        <w:rPr>
          <w:rFonts w:asciiTheme="majorHAnsi" w:hAnsiTheme="majorHAnsi"/>
          <w:sz w:val="20"/>
          <w:szCs w:val="20"/>
          <w:lang w:val="es-ES"/>
        </w:rPr>
        <w:t>la</w:t>
      </w:r>
      <w:r w:rsidR="005F7B29" w:rsidRPr="00D51BFA">
        <w:rPr>
          <w:rFonts w:asciiTheme="majorHAnsi" w:hAnsiTheme="majorHAnsi"/>
          <w:sz w:val="20"/>
          <w:szCs w:val="20"/>
          <w:lang w:val="es-ES"/>
        </w:rPr>
        <w:t xml:space="preserve"> </w:t>
      </w:r>
      <w:r w:rsidR="001E31CC" w:rsidRPr="00D51BFA">
        <w:rPr>
          <w:rFonts w:asciiTheme="majorHAnsi" w:hAnsiTheme="majorHAnsi"/>
          <w:sz w:val="20"/>
          <w:szCs w:val="20"/>
          <w:lang w:val="es-ES"/>
        </w:rPr>
        <w:t xml:space="preserve">participación </w:t>
      </w:r>
      <w:r w:rsidR="005F7B29">
        <w:rPr>
          <w:rFonts w:asciiTheme="majorHAnsi" w:hAnsiTheme="majorHAnsi"/>
          <w:sz w:val="20"/>
          <w:szCs w:val="20"/>
          <w:lang w:val="es-ES"/>
        </w:rPr>
        <w:t xml:space="preserve">de los indiciados </w:t>
      </w:r>
      <w:r w:rsidR="004C6489">
        <w:rPr>
          <w:rFonts w:asciiTheme="majorHAnsi" w:hAnsiTheme="majorHAnsi"/>
          <w:sz w:val="20"/>
          <w:szCs w:val="20"/>
          <w:lang w:val="es-ES"/>
        </w:rPr>
        <w:t>e</w:t>
      </w:r>
      <w:r w:rsidR="001E31CC" w:rsidRPr="00D51BFA">
        <w:rPr>
          <w:rFonts w:asciiTheme="majorHAnsi" w:hAnsiTheme="majorHAnsi"/>
          <w:sz w:val="20"/>
          <w:szCs w:val="20"/>
          <w:lang w:val="es-ES"/>
        </w:rPr>
        <w:t xml:space="preserve">n los hechos. </w:t>
      </w:r>
      <w:r w:rsidR="00D51BFA" w:rsidRPr="00D51BFA">
        <w:rPr>
          <w:rFonts w:asciiTheme="majorHAnsi" w:hAnsiTheme="majorHAnsi"/>
          <w:sz w:val="20"/>
          <w:szCs w:val="20"/>
          <w:lang w:val="es-ES"/>
        </w:rPr>
        <w:t xml:space="preserve">Adicionalmente, manifiesta que un fallo desfavorable a los intereses de las presuntas víctimas no implica por sí mismo una violación a la Convención. Por tanto, considera que ha dado cumplimiento a sus obligaciones y deberes convencionales en cuanto al procedimiento penal. </w:t>
      </w:r>
      <w:r w:rsidRPr="00D51BFA">
        <w:rPr>
          <w:rFonts w:asciiTheme="majorHAnsi" w:hAnsiTheme="majorHAnsi"/>
          <w:sz w:val="20"/>
          <w:szCs w:val="20"/>
          <w:lang w:val="es-ES"/>
        </w:rPr>
        <w:t>En segundo término, el E</w:t>
      </w:r>
      <w:r w:rsidR="001E31CC" w:rsidRPr="00D51BFA">
        <w:rPr>
          <w:rFonts w:asciiTheme="majorHAnsi" w:hAnsiTheme="majorHAnsi"/>
          <w:sz w:val="20"/>
          <w:szCs w:val="20"/>
          <w:lang w:val="es-ES"/>
        </w:rPr>
        <w:t>stado refiere que no es posible implicar la participación de agentes estatales puesto que de ningún medio probatorio se deriva que</w:t>
      </w:r>
      <w:r w:rsidR="00D51BFA" w:rsidRPr="00D51BFA">
        <w:rPr>
          <w:rFonts w:asciiTheme="majorHAnsi" w:hAnsiTheme="majorHAnsi"/>
          <w:sz w:val="20"/>
          <w:szCs w:val="20"/>
          <w:lang w:val="es-ES"/>
        </w:rPr>
        <w:t xml:space="preserve"> estos fueran parte del delito, </w:t>
      </w:r>
      <w:r w:rsidR="004C6489">
        <w:rPr>
          <w:rFonts w:asciiTheme="majorHAnsi" w:hAnsiTheme="majorHAnsi"/>
          <w:sz w:val="20"/>
          <w:szCs w:val="20"/>
          <w:lang w:val="es-ES"/>
        </w:rPr>
        <w:t xml:space="preserve">refiere que del proceso instruido por </w:t>
      </w:r>
      <w:r w:rsidR="004C6489" w:rsidRPr="004C6489">
        <w:rPr>
          <w:rFonts w:asciiTheme="majorHAnsi" w:hAnsiTheme="majorHAnsi"/>
          <w:sz w:val="20"/>
          <w:szCs w:val="20"/>
          <w:lang w:val="es-ES"/>
        </w:rPr>
        <w:t xml:space="preserve">el Juzgado Segundo Penal del Circuito </w:t>
      </w:r>
      <w:r w:rsidR="004C6489" w:rsidRPr="004C6489">
        <w:rPr>
          <w:rFonts w:asciiTheme="majorHAnsi" w:hAnsiTheme="majorHAnsi"/>
          <w:sz w:val="20"/>
          <w:szCs w:val="20"/>
          <w:lang w:val="es-ES"/>
        </w:rPr>
        <w:lastRenderedPageBreak/>
        <w:t>Especializado de Antioquia</w:t>
      </w:r>
      <w:r w:rsidR="004C6489">
        <w:rPr>
          <w:rFonts w:asciiTheme="majorHAnsi" w:hAnsiTheme="majorHAnsi"/>
          <w:sz w:val="20"/>
          <w:szCs w:val="20"/>
          <w:lang w:val="es-ES"/>
        </w:rPr>
        <w:t xml:space="preserve"> no se puede presumir la participación de agentes estatales en la Masacre de los Aserraderos, pues en </w:t>
      </w:r>
      <w:r w:rsidR="00B52190">
        <w:rPr>
          <w:rFonts w:asciiTheme="majorHAnsi" w:hAnsiTheme="majorHAnsi"/>
          <w:sz w:val="20"/>
          <w:szCs w:val="20"/>
          <w:lang w:val="es-ES"/>
        </w:rPr>
        <w:t xml:space="preserve">dicho proceso </w:t>
      </w:r>
      <w:r w:rsidR="004C6489">
        <w:rPr>
          <w:rFonts w:asciiTheme="majorHAnsi" w:hAnsiTheme="majorHAnsi"/>
          <w:sz w:val="20"/>
          <w:szCs w:val="20"/>
          <w:lang w:val="es-ES"/>
        </w:rPr>
        <w:t>no consta referencia a los hechos de la presente petición.  Respecto al proceso de reparación directa, destaca que es un recurso adecuado y</w:t>
      </w:r>
      <w:r w:rsidR="00B52190">
        <w:rPr>
          <w:rFonts w:asciiTheme="majorHAnsi" w:hAnsiTheme="majorHAnsi"/>
          <w:sz w:val="20"/>
          <w:szCs w:val="20"/>
          <w:lang w:val="es-ES"/>
        </w:rPr>
        <w:t xml:space="preserve"> que el mismo no se ha resuelto teniendo en cuenta las dificultades especiales del caso. </w:t>
      </w:r>
    </w:p>
    <w:p w14:paraId="40D81F7A" w14:textId="77777777" w:rsidR="00D51BFA" w:rsidRPr="008F7610" w:rsidRDefault="00D51BFA" w:rsidP="008F7610">
      <w:pPr>
        <w:rPr>
          <w:rFonts w:asciiTheme="majorHAnsi" w:hAnsiTheme="majorHAnsi"/>
          <w:sz w:val="20"/>
          <w:szCs w:val="20"/>
          <w:lang w:val="es-ES"/>
        </w:rPr>
      </w:pPr>
    </w:p>
    <w:p w14:paraId="04CDC257" w14:textId="48BABE0F" w:rsidR="00081637" w:rsidRDefault="00081637" w:rsidP="00D51BF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1BFA">
        <w:rPr>
          <w:rFonts w:asciiTheme="majorHAnsi" w:hAnsiTheme="majorHAnsi"/>
          <w:sz w:val="20"/>
          <w:szCs w:val="20"/>
          <w:lang w:val="es-ES"/>
        </w:rPr>
        <w:t>Por otro lado, el Estado alega que la parte peticionaria no cumple con el plazo de presentación de seis meses que se contempla en la Convención, debido a que la última actuación es la sentencia emitida el 12 de diciembre de 2000, cuya consulta fue resuelta el 25 de julio de 2001 sin que se interpusieran recursos ante ello, mientras que la petición fue presentada el 25 de septiembre de 2007.</w:t>
      </w:r>
      <w:r w:rsidR="006F1612" w:rsidRPr="00D51BFA">
        <w:rPr>
          <w:rFonts w:asciiTheme="majorHAnsi" w:hAnsiTheme="majorHAnsi"/>
          <w:sz w:val="20"/>
          <w:szCs w:val="20"/>
          <w:lang w:val="es-ES"/>
        </w:rPr>
        <w:t xml:space="preserve"> Agrega que por tratarse de un asunto resuelto, la Comisión constituiría una </w:t>
      </w:r>
      <w:r w:rsidR="00BD18C1">
        <w:rPr>
          <w:rFonts w:asciiTheme="majorHAnsi" w:hAnsiTheme="majorHAnsi"/>
          <w:sz w:val="20"/>
          <w:szCs w:val="20"/>
          <w:lang w:val="es-ES"/>
        </w:rPr>
        <w:t xml:space="preserve">cuarta instancia al </w:t>
      </w:r>
      <w:r w:rsidR="005F7B29">
        <w:rPr>
          <w:rFonts w:asciiTheme="majorHAnsi" w:hAnsiTheme="majorHAnsi"/>
          <w:sz w:val="20"/>
          <w:szCs w:val="20"/>
          <w:lang w:val="es-ES"/>
        </w:rPr>
        <w:t xml:space="preserve">declararla </w:t>
      </w:r>
      <w:r w:rsidR="00BD18C1">
        <w:rPr>
          <w:rFonts w:asciiTheme="majorHAnsi" w:hAnsiTheme="majorHAnsi"/>
          <w:sz w:val="20"/>
          <w:szCs w:val="20"/>
          <w:lang w:val="es-ES"/>
        </w:rPr>
        <w:t>admisible</w:t>
      </w:r>
      <w:r w:rsidR="006F1612" w:rsidRPr="00D51BFA">
        <w:rPr>
          <w:rFonts w:asciiTheme="majorHAnsi" w:hAnsiTheme="majorHAnsi"/>
          <w:sz w:val="20"/>
          <w:szCs w:val="20"/>
          <w:lang w:val="es-ES"/>
        </w:rPr>
        <w:t>.</w:t>
      </w:r>
    </w:p>
    <w:p w14:paraId="6F4D4171" w14:textId="61F41104"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01D47E3F" w14:textId="2C27CADB" w:rsidR="003239B8" w:rsidRPr="00BD18C1" w:rsidRDefault="00356503" w:rsidP="00BD18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Respecto a la</w:t>
      </w:r>
      <w:r w:rsidR="00394E6F">
        <w:rPr>
          <w:rFonts w:ascii="Cambria" w:hAnsi="Cambria"/>
          <w:sz w:val="20"/>
          <w:szCs w:val="20"/>
          <w:lang w:val="es-ES"/>
        </w:rPr>
        <w:t>s alegadas violaciones a la investigación</w:t>
      </w:r>
      <w:r>
        <w:rPr>
          <w:rFonts w:ascii="Cambria" w:hAnsi="Cambria"/>
          <w:sz w:val="20"/>
          <w:szCs w:val="20"/>
          <w:lang w:val="es-ES"/>
        </w:rPr>
        <w:t xml:space="preserve"> penal, la</w:t>
      </w:r>
      <w:r w:rsidR="00A90385">
        <w:rPr>
          <w:rFonts w:ascii="Cambria" w:hAnsi="Cambria"/>
          <w:sz w:val="20"/>
          <w:szCs w:val="20"/>
          <w:lang w:val="es-ES"/>
        </w:rPr>
        <w:t xml:space="preserve"> parte peticionaria alega que el Juzgado Penal del Circuito Especializado de </w:t>
      </w:r>
      <w:r w:rsidR="00BD18C1">
        <w:rPr>
          <w:rFonts w:ascii="Cambria" w:hAnsi="Cambria"/>
          <w:sz w:val="20"/>
          <w:szCs w:val="20"/>
          <w:lang w:val="es-ES"/>
        </w:rPr>
        <w:t>Antioquia</w:t>
      </w:r>
      <w:r w:rsidR="00A90385">
        <w:rPr>
          <w:rFonts w:ascii="Cambria" w:hAnsi="Cambria"/>
          <w:sz w:val="20"/>
          <w:szCs w:val="20"/>
          <w:lang w:val="es-ES"/>
        </w:rPr>
        <w:t xml:space="preserve"> resolvió absolver a</w:t>
      </w:r>
      <w:r w:rsidR="00275C06">
        <w:rPr>
          <w:rFonts w:ascii="Cambria" w:hAnsi="Cambria"/>
          <w:sz w:val="20"/>
          <w:szCs w:val="20"/>
          <w:lang w:val="es-ES"/>
        </w:rPr>
        <w:t xml:space="preserve"> algunos</w:t>
      </w:r>
      <w:r w:rsidR="00A90385">
        <w:rPr>
          <w:rFonts w:ascii="Cambria" w:hAnsi="Cambria"/>
          <w:sz w:val="20"/>
          <w:szCs w:val="20"/>
          <w:lang w:val="es-ES"/>
        </w:rPr>
        <w:t xml:space="preserve"> los presuntos responsables de la masacre de los aserradores </w:t>
      </w:r>
      <w:r>
        <w:rPr>
          <w:rFonts w:ascii="Cambria" w:hAnsi="Cambria"/>
          <w:sz w:val="20"/>
          <w:szCs w:val="20"/>
          <w:lang w:val="es-ES"/>
        </w:rPr>
        <w:t xml:space="preserve">el 12 de diciembre de 2000 por falta de medios probatorios, </w:t>
      </w:r>
      <w:r w:rsidR="00275C06">
        <w:rPr>
          <w:rFonts w:ascii="Cambria" w:hAnsi="Cambria"/>
          <w:sz w:val="20"/>
          <w:szCs w:val="20"/>
          <w:lang w:val="es-ES"/>
        </w:rPr>
        <w:t>y no continuaría</w:t>
      </w:r>
      <w:r>
        <w:rPr>
          <w:rFonts w:ascii="Cambria" w:hAnsi="Cambria"/>
          <w:sz w:val="20"/>
          <w:szCs w:val="20"/>
          <w:lang w:val="es-ES"/>
        </w:rPr>
        <w:t xml:space="preserve"> con la investigación penal, quedando en la impunidad la presunta comisión de los homicidios</w:t>
      </w:r>
      <w:r w:rsidR="00275C06">
        <w:rPr>
          <w:rFonts w:ascii="Cambria" w:hAnsi="Cambria"/>
          <w:sz w:val="20"/>
          <w:szCs w:val="20"/>
          <w:lang w:val="es-ES"/>
        </w:rPr>
        <w:t>, alegando que no existen recursos necesarios para resolver su situación</w:t>
      </w:r>
      <w:r w:rsidR="00B94FE3">
        <w:rPr>
          <w:rFonts w:ascii="Cambria" w:hAnsi="Cambria"/>
          <w:sz w:val="20"/>
          <w:szCs w:val="20"/>
          <w:lang w:val="es-ES"/>
        </w:rPr>
        <w:t>.</w:t>
      </w:r>
      <w:r w:rsidR="00BD18C1">
        <w:rPr>
          <w:rFonts w:ascii="Cambria" w:hAnsi="Cambria"/>
          <w:sz w:val="20"/>
          <w:szCs w:val="20"/>
          <w:lang w:val="es-ES"/>
        </w:rPr>
        <w:t xml:space="preserve"> </w:t>
      </w:r>
      <w:r w:rsidRPr="00BD18C1">
        <w:rPr>
          <w:rFonts w:ascii="Cambria" w:hAnsi="Cambria"/>
          <w:sz w:val="20"/>
          <w:szCs w:val="20"/>
          <w:lang w:val="es-ES"/>
        </w:rPr>
        <w:t>El Estado alega que se llevó a cabo el procedimiento penal correspondiente, por lo que ha realizado su deber convencional, y que dicho procedimiento terminó con la sentencia absolutoria</w:t>
      </w:r>
      <w:r w:rsidR="00275C06" w:rsidRPr="00BD18C1">
        <w:rPr>
          <w:rFonts w:ascii="Cambria" w:hAnsi="Cambria"/>
          <w:sz w:val="20"/>
          <w:szCs w:val="20"/>
          <w:lang w:val="es-ES"/>
        </w:rPr>
        <w:t xml:space="preserve"> el 12 de diciembre de 2000</w:t>
      </w:r>
      <w:r w:rsidRPr="00BD18C1">
        <w:rPr>
          <w:rFonts w:ascii="Cambria" w:hAnsi="Cambria"/>
          <w:sz w:val="20"/>
          <w:szCs w:val="20"/>
          <w:lang w:val="es-ES"/>
        </w:rPr>
        <w:t xml:space="preserve">, por lo que la presentación de la petición </w:t>
      </w:r>
      <w:r w:rsidR="00394E6F" w:rsidRPr="00BD18C1">
        <w:rPr>
          <w:rFonts w:ascii="Cambria" w:hAnsi="Cambria"/>
          <w:sz w:val="20"/>
          <w:szCs w:val="20"/>
          <w:lang w:val="es-ES"/>
        </w:rPr>
        <w:t>se encuentra fuera de plazo.</w:t>
      </w:r>
    </w:p>
    <w:p w14:paraId="42DD6186" w14:textId="6C559DD0" w:rsidR="00B94FE3" w:rsidRPr="00B94FE3" w:rsidRDefault="00B94FE3" w:rsidP="00BD18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 xml:space="preserve">Respecto a las alegadas violaciones en cuanto a la reparación de las víctimas, </w:t>
      </w:r>
      <w:r w:rsidR="00BD18C1">
        <w:rPr>
          <w:rFonts w:asciiTheme="majorHAnsi" w:hAnsiTheme="majorHAnsi"/>
          <w:sz w:val="20"/>
          <w:szCs w:val="20"/>
          <w:lang w:val="es-ES"/>
        </w:rPr>
        <w:t>la parte peticionaria alega que las presuntas víctimas promovieron</w:t>
      </w:r>
      <w:r>
        <w:rPr>
          <w:rFonts w:asciiTheme="majorHAnsi" w:hAnsiTheme="majorHAnsi"/>
          <w:sz w:val="20"/>
          <w:szCs w:val="20"/>
          <w:lang w:val="es-ES"/>
        </w:rPr>
        <w:t xml:space="preserve"> acciones de reparación el 11 de agosto de 1999 pero no haber recibido respuesta o resolución hasta la fecha; el Estado alega que el procedimiento todavía se encuentra en revisión, por lo que no se ha emitido una respuesta</w:t>
      </w:r>
      <w:r w:rsidR="00B52190">
        <w:rPr>
          <w:rFonts w:asciiTheme="majorHAnsi" w:hAnsiTheme="majorHAnsi"/>
          <w:sz w:val="20"/>
          <w:szCs w:val="20"/>
          <w:lang w:val="es-ES"/>
        </w:rPr>
        <w:t xml:space="preserve"> debido a las dificultades especiales del caso</w:t>
      </w:r>
      <w:r>
        <w:rPr>
          <w:rFonts w:asciiTheme="majorHAnsi" w:hAnsiTheme="majorHAnsi"/>
          <w:sz w:val="20"/>
          <w:szCs w:val="20"/>
          <w:lang w:val="es-ES"/>
        </w:rPr>
        <w:t>.</w:t>
      </w:r>
    </w:p>
    <w:p w14:paraId="57B4FC51" w14:textId="6CC2508F" w:rsidR="00394E6F" w:rsidRDefault="00394E6F" w:rsidP="002C43F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Unicode MS" w:cs="Times New Roman"/>
          <w:color w:val="auto"/>
          <w:sz w:val="20"/>
          <w:szCs w:val="20"/>
          <w:lang w:val="es-ES" w:eastAsia="en-US"/>
        </w:rPr>
      </w:pPr>
      <w:r>
        <w:rPr>
          <w:sz w:val="20"/>
          <w:szCs w:val="20"/>
          <w:lang w:val="es-ES"/>
        </w:rPr>
        <w:t>La</w:t>
      </w:r>
      <w:r>
        <w:rPr>
          <w:rFonts w:eastAsia="Arial Unicode MS" w:cs="Times New Roman"/>
          <w:color w:val="auto"/>
          <w:sz w:val="20"/>
          <w:szCs w:val="20"/>
          <w:lang w:val="es-ES" w:eastAsia="en-US"/>
        </w:rPr>
        <w:t xml:space="preserve"> Comisión observa que, en situaciones como la planteada que in</w:t>
      </w:r>
      <w:r w:rsidR="00B94FE3">
        <w:rPr>
          <w:rFonts w:eastAsia="Arial Unicode MS" w:cs="Times New Roman"/>
          <w:color w:val="auto"/>
          <w:sz w:val="20"/>
          <w:szCs w:val="20"/>
          <w:lang w:val="es-ES" w:eastAsia="en-US"/>
        </w:rPr>
        <w:t>cluyen delitos contra la vida, los recursos</w:t>
      </w:r>
      <w:r>
        <w:rPr>
          <w:rFonts w:eastAsia="Arial Unicode MS" w:cs="Times New Roman"/>
          <w:color w:val="auto"/>
          <w:sz w:val="20"/>
          <w:szCs w:val="20"/>
          <w:lang w:val="es-ES" w:eastAsia="en-US"/>
        </w:rPr>
        <w:t xml:space="preserve"> que debe</w:t>
      </w:r>
      <w:r w:rsidR="00B94FE3">
        <w:rPr>
          <w:rFonts w:eastAsia="Arial Unicode MS" w:cs="Times New Roman"/>
          <w:color w:val="auto"/>
          <w:sz w:val="20"/>
          <w:szCs w:val="20"/>
          <w:lang w:val="es-ES" w:eastAsia="en-US"/>
        </w:rPr>
        <w:t>n</w:t>
      </w:r>
      <w:r>
        <w:rPr>
          <w:rFonts w:eastAsia="Arial Unicode MS" w:cs="Times New Roman"/>
          <w:color w:val="auto"/>
          <w:sz w:val="20"/>
          <w:szCs w:val="20"/>
          <w:lang w:val="es-ES" w:eastAsia="en-US"/>
        </w:rPr>
        <w:t xml:space="preserve"> tomarse en cuenta a los efectos de la admisibilidad de las peticiones</w:t>
      </w:r>
      <w:r w:rsidR="00B94FE3">
        <w:rPr>
          <w:rFonts w:eastAsia="Arial Unicode MS" w:cs="Times New Roman"/>
          <w:color w:val="auto"/>
          <w:sz w:val="20"/>
          <w:szCs w:val="20"/>
          <w:lang w:val="es-ES" w:eastAsia="en-US"/>
        </w:rPr>
        <w:t xml:space="preserve"> son los</w:t>
      </w:r>
      <w:r>
        <w:rPr>
          <w:rFonts w:eastAsia="Arial Unicode MS" w:cs="Times New Roman"/>
          <w:color w:val="auto"/>
          <w:sz w:val="20"/>
          <w:szCs w:val="20"/>
          <w:lang w:val="es-ES" w:eastAsia="en-US"/>
        </w:rPr>
        <w:t xml:space="preserve"> relacionado</w:t>
      </w:r>
      <w:r w:rsidR="00B94FE3">
        <w:rPr>
          <w:rFonts w:eastAsia="Arial Unicode MS" w:cs="Times New Roman"/>
          <w:color w:val="auto"/>
          <w:sz w:val="20"/>
          <w:szCs w:val="20"/>
          <w:lang w:val="es-ES" w:eastAsia="en-US"/>
        </w:rPr>
        <w:t>s</w:t>
      </w:r>
      <w:r>
        <w:rPr>
          <w:rFonts w:eastAsia="Arial Unicode MS" w:cs="Times New Roman"/>
          <w:color w:val="auto"/>
          <w:sz w:val="20"/>
          <w:szCs w:val="20"/>
          <w:lang w:val="es-ES" w:eastAsia="en-US"/>
        </w:rPr>
        <w:t xml:space="preserve"> con la investigación penal y sanción de los responsables</w:t>
      </w:r>
      <w:r w:rsidR="00737B77">
        <w:rPr>
          <w:rFonts w:eastAsia="Arial Unicode MS" w:cs="Times New Roman"/>
          <w:color w:val="auto"/>
          <w:sz w:val="20"/>
          <w:szCs w:val="20"/>
          <w:lang w:val="es-ES" w:eastAsia="en-US"/>
        </w:rPr>
        <w:t xml:space="preserve">. La CIDH </w:t>
      </w:r>
      <w:r>
        <w:rPr>
          <w:rFonts w:eastAsia="Arial Unicode MS" w:cs="Times New Roman"/>
          <w:color w:val="auto"/>
          <w:sz w:val="20"/>
          <w:szCs w:val="20"/>
          <w:lang w:val="es-ES" w:eastAsia="en-US"/>
        </w:rPr>
        <w:t xml:space="preserve">nota </w:t>
      </w:r>
      <w:r w:rsidR="00323A19">
        <w:rPr>
          <w:rFonts w:eastAsia="Arial Unicode MS" w:cs="Times New Roman"/>
          <w:color w:val="auto"/>
          <w:sz w:val="20"/>
          <w:szCs w:val="20"/>
          <w:lang w:val="es-ES" w:eastAsia="en-US"/>
        </w:rPr>
        <w:t>el alegato de que</w:t>
      </w:r>
      <w:r w:rsidR="00285D3E">
        <w:rPr>
          <w:rFonts w:eastAsia="Arial Unicode MS" w:cs="Times New Roman"/>
          <w:color w:val="auto"/>
          <w:sz w:val="20"/>
          <w:szCs w:val="20"/>
          <w:lang w:val="es-ES" w:eastAsia="en-US"/>
        </w:rPr>
        <w:t xml:space="preserve"> la investigación penal se prol</w:t>
      </w:r>
      <w:r w:rsidR="00285D3E" w:rsidRPr="00285D3E">
        <w:rPr>
          <w:rFonts w:eastAsia="Arial Unicode MS" w:cs="Times New Roman"/>
          <w:color w:val="auto"/>
          <w:sz w:val="20"/>
          <w:szCs w:val="20"/>
          <w:lang w:val="es-ES" w:eastAsia="en-US"/>
        </w:rPr>
        <w:t>o</w:t>
      </w:r>
      <w:r w:rsidR="00285D3E">
        <w:rPr>
          <w:rFonts w:eastAsia="Arial Unicode MS" w:cs="Times New Roman"/>
          <w:color w:val="auto"/>
          <w:sz w:val="20"/>
          <w:szCs w:val="20"/>
          <w:lang w:val="es-ES" w:eastAsia="en-US"/>
        </w:rPr>
        <w:t>ngó</w:t>
      </w:r>
      <w:r w:rsidR="00285D3E" w:rsidRPr="00285D3E">
        <w:rPr>
          <w:rFonts w:eastAsia="Arial Unicode MS" w:cs="Times New Roman"/>
          <w:color w:val="auto"/>
          <w:sz w:val="20"/>
          <w:szCs w:val="20"/>
          <w:lang w:val="es-ES" w:eastAsia="en-US"/>
        </w:rPr>
        <w:t xml:space="preserve"> sin llegar a</w:t>
      </w:r>
      <w:r w:rsidR="00285D3E">
        <w:rPr>
          <w:rFonts w:eastAsia="Arial Unicode MS" w:cs="Times New Roman"/>
          <w:color w:val="auto"/>
          <w:sz w:val="20"/>
          <w:szCs w:val="20"/>
          <w:lang w:val="es-ES" w:eastAsia="en-US"/>
        </w:rPr>
        <w:t xml:space="preserve"> una determinación precisa de los hechos ni a una individualización de los responsables, situación que se plasma</w:t>
      </w:r>
      <w:r w:rsidR="00323A19">
        <w:rPr>
          <w:rFonts w:eastAsia="Arial Unicode MS" w:cs="Times New Roman"/>
          <w:color w:val="auto"/>
          <w:sz w:val="20"/>
          <w:szCs w:val="20"/>
          <w:lang w:val="es-ES" w:eastAsia="en-US"/>
        </w:rPr>
        <w:t>ría</w:t>
      </w:r>
      <w:r w:rsidR="00285D3E">
        <w:rPr>
          <w:rFonts w:eastAsia="Arial Unicode MS" w:cs="Times New Roman"/>
          <w:color w:val="auto"/>
          <w:sz w:val="20"/>
          <w:szCs w:val="20"/>
          <w:lang w:val="es-ES" w:eastAsia="en-US"/>
        </w:rPr>
        <w:t xml:space="preserve"> en la </w:t>
      </w:r>
      <w:r w:rsidR="0019739C">
        <w:rPr>
          <w:rFonts w:eastAsia="Arial Unicode MS" w:cs="Times New Roman"/>
          <w:color w:val="auto"/>
          <w:sz w:val="20"/>
          <w:szCs w:val="20"/>
          <w:lang w:val="es-ES" w:eastAsia="en-US"/>
        </w:rPr>
        <w:t xml:space="preserve">impunidad de la situación denunciada. </w:t>
      </w:r>
      <w:r w:rsidR="00285D3E">
        <w:rPr>
          <w:rFonts w:eastAsia="Arial Unicode MS" w:cs="Times New Roman"/>
          <w:color w:val="auto"/>
          <w:sz w:val="20"/>
          <w:szCs w:val="20"/>
          <w:lang w:val="es-ES" w:eastAsia="en-US"/>
        </w:rPr>
        <w:t>ausencia de sentencias condenatorias</w:t>
      </w:r>
      <w:r w:rsidR="00CA1B02">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sin investigación correspondiente que sancione</w:t>
      </w:r>
      <w:r w:rsidR="00CA1B02">
        <w:rPr>
          <w:rFonts w:eastAsia="Arial Unicode MS" w:cs="Times New Roman"/>
          <w:color w:val="auto"/>
          <w:sz w:val="20"/>
          <w:szCs w:val="20"/>
          <w:lang w:val="es-ES" w:eastAsia="en-US"/>
        </w:rPr>
        <w:t xml:space="preserve"> los hechos ocurridos</w:t>
      </w:r>
      <w:r>
        <w:rPr>
          <w:rFonts w:eastAsia="Arial Unicode MS" w:cs="Times New Roman"/>
          <w:color w:val="auto"/>
          <w:sz w:val="20"/>
          <w:szCs w:val="20"/>
          <w:lang w:val="es-ES" w:eastAsia="en-US"/>
        </w:rPr>
        <w:t xml:space="preserve">. Atendido lo anterior, la CIDH concluye que, en relación con este aspecto de la petición, aplica la excepción al </w:t>
      </w:r>
      <w:r w:rsidR="00B94FE3">
        <w:rPr>
          <w:rFonts w:eastAsia="Arial Unicode MS" w:cs="Times New Roman"/>
          <w:color w:val="auto"/>
          <w:sz w:val="20"/>
          <w:szCs w:val="20"/>
          <w:lang w:val="es-ES" w:eastAsia="en-US"/>
        </w:rPr>
        <w:t>agotamiento de los recursos</w:t>
      </w:r>
      <w:r>
        <w:rPr>
          <w:rFonts w:eastAsia="Arial Unicode MS" w:cs="Times New Roman"/>
          <w:color w:val="auto"/>
          <w:sz w:val="20"/>
          <w:szCs w:val="20"/>
          <w:lang w:val="es-ES" w:eastAsia="en-US"/>
        </w:rPr>
        <w:t xml:space="preserve"> prevista en el artículo 46.2.c de la Convención Americana.</w:t>
      </w:r>
    </w:p>
    <w:p w14:paraId="4ADF110A" w14:textId="77777777" w:rsidR="00394E6F" w:rsidRDefault="00394E6F" w:rsidP="00394E6F">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Unicode MS" w:cs="Times New Roman"/>
          <w:color w:val="auto"/>
          <w:sz w:val="20"/>
          <w:szCs w:val="20"/>
          <w:lang w:val="es-ES" w:eastAsia="en-US"/>
        </w:rPr>
      </w:pPr>
    </w:p>
    <w:p w14:paraId="1F1476D3" w14:textId="62F289C5" w:rsidR="00394E6F" w:rsidRPr="00394E6F" w:rsidRDefault="00394E6F" w:rsidP="00BD18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703E8">
        <w:rPr>
          <w:rFonts w:asciiTheme="majorHAnsi" w:hAnsiTheme="majorHAnsi"/>
          <w:sz w:val="20"/>
          <w:szCs w:val="20"/>
          <w:lang w:val="es-ES"/>
        </w:rPr>
        <w:t>La CIDH recuerda que, a efectos de determinar la admisibilidad de un reclamo de la naturaleza del presente, la acción de reparación no constituye la vía idónea ni resulta necesario su agotamiento, dado que no es adecuada para proporcionar una reparación inte</w:t>
      </w:r>
      <w:r>
        <w:rPr>
          <w:rFonts w:asciiTheme="majorHAnsi" w:hAnsiTheme="majorHAnsi"/>
          <w:sz w:val="20"/>
          <w:szCs w:val="20"/>
          <w:lang w:val="es-ES"/>
        </w:rPr>
        <w:t>gral y justicia a los familiares</w:t>
      </w:r>
      <w:r w:rsidRPr="004703E8">
        <w:rPr>
          <w:rFonts w:asciiTheme="majorHAnsi" w:hAnsiTheme="majorHAnsi"/>
          <w:sz w:val="20"/>
          <w:szCs w:val="20"/>
          <w:lang w:val="es-ES"/>
        </w:rPr>
        <w:t>. Adicionalmente, la CIDH ha sostenido que la determinación de una reparación por la vía administrativa o judicial, además de no ser excluyente, no exime al Estado de sus obligaciones relacionadas con el componente de justici</w:t>
      </w:r>
      <w:r>
        <w:rPr>
          <w:rFonts w:asciiTheme="majorHAnsi" w:hAnsiTheme="majorHAnsi"/>
          <w:sz w:val="20"/>
          <w:szCs w:val="20"/>
          <w:lang w:val="es-ES"/>
        </w:rPr>
        <w:t xml:space="preserve">a por las violaciones causadas </w:t>
      </w:r>
    </w:p>
    <w:p w14:paraId="36DB3DB7" w14:textId="1473031A" w:rsidR="00394E6F" w:rsidRDefault="00394E6F" w:rsidP="00BD18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56C37">
        <w:rPr>
          <w:rFonts w:asciiTheme="majorHAnsi" w:hAnsiTheme="majorHAnsi"/>
          <w:sz w:val="20"/>
          <w:szCs w:val="20"/>
          <w:lang w:val="es-ES"/>
        </w:rPr>
        <w:t xml:space="preserve">En cuanto al plazo de presentación, la Comisión concluye que, habiéndose reconocido la excepción </w:t>
      </w:r>
      <w:r w:rsidRPr="004703E8">
        <w:rPr>
          <w:rFonts w:asciiTheme="majorHAnsi" w:hAnsiTheme="majorHAnsi"/>
          <w:sz w:val="20"/>
          <w:szCs w:val="20"/>
          <w:lang w:val="es-ES"/>
        </w:rPr>
        <w:t>prevista en el artículo 46.2.c de la Convención</w:t>
      </w:r>
      <w:r w:rsidRPr="00A56C37">
        <w:rPr>
          <w:rFonts w:asciiTheme="majorHAnsi" w:hAnsiTheme="majorHAnsi"/>
          <w:sz w:val="20"/>
          <w:szCs w:val="20"/>
          <w:lang w:val="es-ES"/>
        </w:rPr>
        <w:t xml:space="preserve">, la petición se ha presentado dentro de un plazo razonable con fundamento en el artículo 32.2 de su Reglamento. Esta última determinación deriva del hecho de que si bien los presuntos hechos materia del reclamo datan del </w:t>
      </w:r>
      <w:r>
        <w:rPr>
          <w:rFonts w:asciiTheme="majorHAnsi" w:hAnsiTheme="majorHAnsi"/>
          <w:sz w:val="20"/>
          <w:szCs w:val="20"/>
          <w:lang w:val="es-ES"/>
        </w:rPr>
        <w:t>14 de julio de 1997</w:t>
      </w:r>
      <w:r w:rsidRPr="00A56C37">
        <w:rPr>
          <w:rFonts w:asciiTheme="majorHAnsi" w:hAnsiTheme="majorHAnsi"/>
          <w:sz w:val="20"/>
          <w:szCs w:val="20"/>
          <w:lang w:val="es-ES"/>
        </w:rPr>
        <w:t xml:space="preserve"> y la petición fue recibida el </w:t>
      </w:r>
      <w:r>
        <w:rPr>
          <w:rFonts w:asciiTheme="majorHAnsi" w:hAnsiTheme="majorHAnsi"/>
          <w:sz w:val="20"/>
          <w:szCs w:val="20"/>
          <w:lang w:val="es-ES"/>
        </w:rPr>
        <w:t>25 de septiembre</w:t>
      </w:r>
      <w:r w:rsidRPr="00A56C37">
        <w:rPr>
          <w:rFonts w:asciiTheme="majorHAnsi" w:hAnsiTheme="majorHAnsi"/>
          <w:sz w:val="20"/>
          <w:szCs w:val="20"/>
          <w:lang w:val="es-ES"/>
        </w:rPr>
        <w:t xml:space="preserve"> de 2007, algunos de los efectos de los hechos alegados se extenderían hasta el presente, como la ausencia de determinación y sanción de los responsables, y la falta de reparación de las víctimas. </w:t>
      </w:r>
    </w:p>
    <w:p w14:paraId="02522B71" w14:textId="77777777" w:rsidR="000E7626" w:rsidRDefault="000E7626" w:rsidP="000E76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25593371" w14:textId="77777777" w:rsidR="000E7626" w:rsidRPr="00394E6F" w:rsidRDefault="000E7626" w:rsidP="000E76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4FFBE378" w14:textId="64322DE9"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lastRenderedPageBreak/>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0D524F5C" w14:textId="5F15E02B" w:rsidR="00A11E44" w:rsidRPr="00F62FBB" w:rsidRDefault="00A90385" w:rsidP="007E071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Pr>
          <w:rFonts w:asciiTheme="majorHAnsi" w:hAnsiTheme="majorHAnsi"/>
          <w:sz w:val="20"/>
          <w:szCs w:val="20"/>
          <w:lang w:val="es-ES"/>
        </w:rPr>
        <w:t xml:space="preserve">En vista de los elementos de hecho y de derecho presentados por las partes, de la naturaleza del asunto puesto bajo su conocimiento, y del contexto en el que se enmarcan la denuncia, la CIDH considera que, de ser probados las alegadas vulneraciones a la vida </w:t>
      </w:r>
      <w:r w:rsidR="007E0718">
        <w:rPr>
          <w:rFonts w:asciiTheme="majorHAnsi" w:hAnsiTheme="majorHAnsi"/>
          <w:sz w:val="20"/>
          <w:szCs w:val="20"/>
          <w:lang w:val="es-ES"/>
        </w:rPr>
        <w:t xml:space="preserve">e integridad </w:t>
      </w:r>
      <w:r>
        <w:rPr>
          <w:rFonts w:asciiTheme="majorHAnsi" w:hAnsiTheme="majorHAnsi"/>
          <w:sz w:val="20"/>
          <w:szCs w:val="20"/>
          <w:lang w:val="es-ES"/>
        </w:rPr>
        <w:t>de las presuntas víctimas</w:t>
      </w:r>
      <w:r w:rsidR="007E0718">
        <w:rPr>
          <w:rFonts w:asciiTheme="majorHAnsi" w:hAnsiTheme="majorHAnsi"/>
          <w:sz w:val="20"/>
          <w:szCs w:val="20"/>
          <w:lang w:val="es-ES"/>
        </w:rPr>
        <w:t xml:space="preserve"> por parte de integrantes de </w:t>
      </w:r>
      <w:r w:rsidR="007E0718" w:rsidRPr="007E0718">
        <w:rPr>
          <w:rFonts w:asciiTheme="majorHAnsi" w:hAnsiTheme="majorHAnsi"/>
          <w:sz w:val="20"/>
          <w:szCs w:val="20"/>
          <w:lang w:val="es-ES"/>
        </w:rPr>
        <w:t>“Convivir el Paso”</w:t>
      </w:r>
      <w:r w:rsidR="007E0718" w:rsidRPr="0006411D">
        <w:rPr>
          <w:lang w:val="es-ES"/>
        </w:rPr>
        <w:t xml:space="preserve"> </w:t>
      </w:r>
      <w:r w:rsidR="007E0718" w:rsidRPr="007E0718">
        <w:rPr>
          <w:rFonts w:asciiTheme="majorHAnsi" w:hAnsiTheme="majorHAnsi"/>
          <w:sz w:val="20"/>
          <w:szCs w:val="20"/>
          <w:lang w:val="es-ES"/>
        </w:rPr>
        <w:t>con</w:t>
      </w:r>
      <w:r w:rsidR="007E0718">
        <w:rPr>
          <w:rFonts w:asciiTheme="majorHAnsi" w:hAnsiTheme="majorHAnsi"/>
          <w:sz w:val="20"/>
          <w:szCs w:val="20"/>
          <w:lang w:val="es-ES"/>
        </w:rPr>
        <w:t xml:space="preserve"> la presunta</w:t>
      </w:r>
      <w:r w:rsidR="000E7626">
        <w:rPr>
          <w:rFonts w:asciiTheme="majorHAnsi" w:hAnsiTheme="majorHAnsi"/>
          <w:sz w:val="20"/>
          <w:szCs w:val="20"/>
          <w:lang w:val="es-ES"/>
        </w:rPr>
        <w:t xml:space="preserve"> aquiescencia del Estado</w:t>
      </w:r>
      <w:r>
        <w:rPr>
          <w:rFonts w:asciiTheme="majorHAnsi" w:hAnsiTheme="majorHAnsi"/>
          <w:sz w:val="20"/>
          <w:szCs w:val="20"/>
          <w:lang w:val="es-ES"/>
        </w:rPr>
        <w:t>, así como la falta de investigación y sanción de los responsables</w:t>
      </w:r>
      <w:r w:rsidR="00CA1B02">
        <w:rPr>
          <w:rFonts w:asciiTheme="majorHAnsi" w:hAnsiTheme="majorHAnsi"/>
          <w:sz w:val="20"/>
          <w:szCs w:val="20"/>
          <w:lang w:val="es-ES"/>
        </w:rPr>
        <w:t xml:space="preserve"> y la falta de reparación de las víctimas</w:t>
      </w:r>
      <w:r>
        <w:rPr>
          <w:rFonts w:asciiTheme="majorHAnsi" w:hAnsiTheme="majorHAnsi"/>
          <w:sz w:val="20"/>
          <w:szCs w:val="20"/>
          <w:lang w:val="es-ES"/>
        </w:rPr>
        <w:t>, podrían caracterizar posibles violaciones a los derechos protegidos en los artículos 4 (vida),</w:t>
      </w:r>
      <w:r w:rsidR="00285D3E" w:rsidRPr="0006411D">
        <w:rPr>
          <w:lang w:val="es-ES"/>
        </w:rPr>
        <w:t xml:space="preserve"> </w:t>
      </w:r>
      <w:r w:rsidR="000E7626">
        <w:rPr>
          <w:rFonts w:asciiTheme="majorHAnsi" w:hAnsiTheme="majorHAnsi"/>
          <w:sz w:val="20"/>
          <w:szCs w:val="20"/>
          <w:lang w:val="es-ES"/>
        </w:rPr>
        <w:t>5 (integridad personal),</w:t>
      </w:r>
      <w:r>
        <w:rPr>
          <w:rFonts w:asciiTheme="majorHAnsi" w:hAnsiTheme="majorHAnsi"/>
          <w:sz w:val="20"/>
          <w:szCs w:val="20"/>
          <w:lang w:val="es-ES"/>
        </w:rPr>
        <w:t xml:space="preserve"> 8 (garantías judiciales), y 25 (protección judicial), en relación con el artículo 1.1 (obligación de respetar los derechos) de la Convención Americana.</w:t>
      </w:r>
    </w:p>
    <w:p w14:paraId="6FBAB4D8" w14:textId="77777777" w:rsidR="00F62FBB" w:rsidRPr="00F62FBB" w:rsidRDefault="00F62FBB" w:rsidP="00F62FB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p>
    <w:p w14:paraId="5E9D20DF" w14:textId="520E0553" w:rsidR="00F62FBB" w:rsidRPr="00F62FBB" w:rsidRDefault="00F62FBB" w:rsidP="00BD18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62FBB">
        <w:rPr>
          <w:rFonts w:asciiTheme="majorHAnsi" w:eastAsia="Times New Roman" w:hAnsiTheme="majorHAnsi"/>
          <w:sz w:val="20"/>
          <w:szCs w:val="20"/>
          <w:bdr w:val="none" w:sz="0" w:space="0" w:color="auto"/>
          <w:lang w:val="es-ES"/>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en concordancia con los derechos protegidos por la Convención Americana.</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1AA5BF6" w14:textId="7CFCCBE1" w:rsidR="000419AD" w:rsidRPr="006F1612" w:rsidRDefault="003239B8" w:rsidP="0094761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sidR="006F1612">
        <w:rPr>
          <w:rFonts w:asciiTheme="majorHAnsi" w:hAnsiTheme="majorHAnsi"/>
          <w:sz w:val="20"/>
          <w:szCs w:val="20"/>
          <w:lang w:val="es-ES"/>
        </w:rPr>
        <w:t xml:space="preserve"> los artículos 4, </w:t>
      </w:r>
      <w:r w:rsidR="00D7561F">
        <w:rPr>
          <w:rFonts w:asciiTheme="majorHAnsi" w:hAnsiTheme="majorHAnsi"/>
          <w:sz w:val="20"/>
          <w:szCs w:val="20"/>
          <w:lang w:val="es-ES"/>
        </w:rPr>
        <w:t xml:space="preserve">5, </w:t>
      </w:r>
      <w:r w:rsidR="006F1612">
        <w:rPr>
          <w:rFonts w:asciiTheme="majorHAnsi" w:hAnsiTheme="majorHAnsi"/>
          <w:sz w:val="20"/>
          <w:szCs w:val="20"/>
          <w:lang w:val="es-ES"/>
        </w:rPr>
        <w:t>8 y 25 en relación con el artículo 1.1 de la Convención Americana de Derechos Humanos</w:t>
      </w:r>
      <w:r w:rsidR="00A758AA">
        <w:rPr>
          <w:rFonts w:asciiTheme="majorHAnsi" w:hAnsiTheme="majorHAnsi"/>
          <w:sz w:val="20"/>
          <w:szCs w:val="20"/>
          <w:lang w:val="es-ES"/>
        </w:rPr>
        <w:t>;</w:t>
      </w:r>
      <w:r w:rsidR="00E44FDF">
        <w:rPr>
          <w:rFonts w:asciiTheme="majorHAnsi" w:hAnsiTheme="majorHAnsi"/>
          <w:sz w:val="20"/>
          <w:szCs w:val="20"/>
          <w:lang w:val="es-ES"/>
        </w:rPr>
        <w:t xml:space="preserve"> y</w:t>
      </w:r>
    </w:p>
    <w:p w14:paraId="12A7002C" w14:textId="77777777" w:rsidR="004A6A54" w:rsidRPr="009B7794" w:rsidRDefault="004A6A54" w:rsidP="0094761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5DA77FDA" w14:textId="5982B5BC" w:rsidR="00F947B2" w:rsidRDefault="00F947B2" w:rsidP="00F947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cs="Arial"/>
          <w:noProof/>
          <w:spacing w:val="-2"/>
          <w:sz w:val="20"/>
          <w:szCs w:val="20"/>
          <w:lang w:val="es-CL"/>
        </w:rPr>
        <w:t>20</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noviembre</w:t>
      </w:r>
      <w:r w:rsidRPr="00E75191">
        <w:rPr>
          <w:rFonts w:asciiTheme="majorHAnsi" w:hAnsiTheme="majorHAnsi"/>
          <w:sz w:val="20"/>
          <w:szCs w:val="20"/>
          <w:lang w:val="es-ES"/>
        </w:rPr>
        <w:t xml:space="preserve"> de 2018.  (Firmado): Margarette May Macaulay, Presidenta; Esmeralda E. Arosemena Bernal de Troitiño, Primera Vicepresidenta; Francisco José Eguiguren Praeli, Joel Hernández García, Antonia Urrejola, y Flávia Piovesan, Miembros de la Comisión.</w:t>
      </w:r>
    </w:p>
    <w:p w14:paraId="13491055" w14:textId="3831679C" w:rsidR="0050356C" w:rsidRPr="00974491" w:rsidRDefault="00F947B2" w:rsidP="004B0E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r>
        <w:rPr>
          <w:rFonts w:asciiTheme="majorHAnsi" w:hAnsiTheme="majorHAnsi"/>
          <w:sz w:val="20"/>
          <w:szCs w:val="20"/>
          <w:lang w:val="es-ES"/>
        </w:rPr>
        <w:tab/>
      </w:r>
    </w:p>
    <w:p w14:paraId="28E44DA0" w14:textId="580FD6EA" w:rsidR="00F947B2" w:rsidRPr="00C770A6" w:rsidRDefault="00F947B2" w:rsidP="005035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p>
    <w:p w14:paraId="7CD4DFBD" w14:textId="645E79D0" w:rsidR="003239B8" w:rsidRPr="00D33A79" w:rsidRDefault="003239B8" w:rsidP="00435F1D">
      <w:pPr>
        <w:suppressAutoHyphens/>
        <w:jc w:val="center"/>
        <w:rPr>
          <w:rFonts w:asciiTheme="majorHAnsi" w:hAnsiTheme="majorHAnsi"/>
          <w:sz w:val="20"/>
          <w:szCs w:val="20"/>
          <w:lang w:val="es-ES"/>
        </w:rPr>
      </w:pPr>
    </w:p>
    <w:p w14:paraId="0D98495A" w14:textId="77777777" w:rsidR="008D768D" w:rsidRPr="003239B8"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14:paraId="6AC80CA6" w14:textId="2F6646BF" w:rsidR="00B44290" w:rsidRDefault="00B44290">
      <w:pPr>
        <w:rPr>
          <w:rFonts w:ascii="Cambria" w:hAnsi="Cambria" w:cs="Calibri"/>
          <w:sz w:val="20"/>
          <w:szCs w:val="20"/>
          <w:lang w:val="es-ES"/>
        </w:rPr>
      </w:pPr>
      <w:r>
        <w:rPr>
          <w:rFonts w:ascii="Cambria" w:hAnsi="Cambria" w:cs="Calibri"/>
          <w:sz w:val="20"/>
          <w:szCs w:val="20"/>
          <w:lang w:val="es-ES"/>
        </w:rPr>
        <w:br w:type="page"/>
      </w:r>
    </w:p>
    <w:p w14:paraId="01B4D89E" w14:textId="50284C1B" w:rsidR="00722C9F" w:rsidRDefault="00B44290" w:rsidP="007A3323">
      <w:pPr>
        <w:jc w:val="center"/>
        <w:rPr>
          <w:rFonts w:ascii="Cambria" w:hAnsi="Cambria" w:cs="Calibri"/>
          <w:b/>
          <w:szCs w:val="20"/>
          <w:lang w:val="es-ES"/>
        </w:rPr>
      </w:pPr>
      <w:r w:rsidRPr="007A3323">
        <w:rPr>
          <w:rFonts w:ascii="Cambria" w:hAnsi="Cambria" w:cs="Calibri"/>
          <w:b/>
          <w:szCs w:val="20"/>
          <w:lang w:val="es-ES"/>
        </w:rPr>
        <w:lastRenderedPageBreak/>
        <w:t>Listado de v</w:t>
      </w:r>
      <w:r w:rsidR="007A3323">
        <w:rPr>
          <w:rFonts w:ascii="Cambria" w:hAnsi="Cambria" w:cs="Calibri"/>
          <w:b/>
          <w:szCs w:val="20"/>
          <w:lang w:val="es-ES"/>
        </w:rPr>
        <w:t>íctimas</w:t>
      </w:r>
    </w:p>
    <w:p w14:paraId="34FC74E9" w14:textId="77777777" w:rsidR="007A3323" w:rsidRPr="007A3323" w:rsidRDefault="007A3323" w:rsidP="007A3323">
      <w:pPr>
        <w:jc w:val="center"/>
        <w:rPr>
          <w:rFonts w:ascii="Cambria" w:hAnsi="Cambria" w:cs="Calibri"/>
          <w:b/>
          <w:szCs w:val="20"/>
          <w:lang w:val="es-ES"/>
        </w:rPr>
      </w:pPr>
    </w:p>
    <w:p w14:paraId="623742BC" w14:textId="754196C3" w:rsidR="00B44290" w:rsidRDefault="00433707" w:rsidP="00947612">
      <w:pPr>
        <w:pStyle w:val="ListParagraph"/>
        <w:numPr>
          <w:ilvl w:val="0"/>
          <w:numId w:val="57"/>
        </w:numPr>
        <w:rPr>
          <w:rFonts w:cs="Calibri"/>
          <w:sz w:val="20"/>
          <w:szCs w:val="20"/>
          <w:lang w:val="es-ES"/>
        </w:rPr>
      </w:pPr>
      <w:r>
        <w:rPr>
          <w:rFonts w:cs="Calibri"/>
          <w:sz w:val="20"/>
          <w:szCs w:val="20"/>
          <w:lang w:val="es-ES"/>
        </w:rPr>
        <w:t>Cornelio Antonio Isaza Arango</w:t>
      </w:r>
    </w:p>
    <w:p w14:paraId="7EF6519B" w14:textId="6AD4C9CA" w:rsidR="00B44290" w:rsidRDefault="00B44290" w:rsidP="00947612">
      <w:pPr>
        <w:pStyle w:val="ListParagraph"/>
        <w:numPr>
          <w:ilvl w:val="1"/>
          <w:numId w:val="57"/>
        </w:numPr>
        <w:rPr>
          <w:rFonts w:cs="Calibri"/>
          <w:sz w:val="20"/>
          <w:szCs w:val="20"/>
          <w:lang w:val="es-ES"/>
        </w:rPr>
      </w:pPr>
      <w:r>
        <w:rPr>
          <w:rFonts w:cs="Calibri"/>
          <w:sz w:val="20"/>
          <w:szCs w:val="20"/>
          <w:lang w:val="es-ES"/>
        </w:rPr>
        <w:t>María Nidia Giraldo Martínez –Esposa</w:t>
      </w:r>
      <w:r w:rsidR="00D5035A">
        <w:rPr>
          <w:rFonts w:cs="Calibri"/>
          <w:sz w:val="20"/>
          <w:szCs w:val="20"/>
          <w:lang w:val="es-ES"/>
        </w:rPr>
        <w:t>–</w:t>
      </w:r>
    </w:p>
    <w:p w14:paraId="442F79BD" w14:textId="004E32FD" w:rsidR="00B44290" w:rsidRDefault="00B44290" w:rsidP="00947612">
      <w:pPr>
        <w:pStyle w:val="ListParagraph"/>
        <w:numPr>
          <w:ilvl w:val="1"/>
          <w:numId w:val="57"/>
        </w:numPr>
        <w:rPr>
          <w:rFonts w:cs="Calibri"/>
          <w:sz w:val="20"/>
          <w:szCs w:val="20"/>
          <w:lang w:val="es-ES"/>
        </w:rPr>
      </w:pPr>
      <w:r>
        <w:rPr>
          <w:rFonts w:cs="Calibri"/>
          <w:sz w:val="20"/>
          <w:szCs w:val="20"/>
          <w:lang w:val="es-ES"/>
        </w:rPr>
        <w:t>Gerley Andres Isaza Giraldo –Hijo</w:t>
      </w:r>
      <w:r w:rsidR="00D5035A">
        <w:rPr>
          <w:rFonts w:cs="Calibri"/>
          <w:sz w:val="20"/>
          <w:szCs w:val="20"/>
          <w:lang w:val="es-ES"/>
        </w:rPr>
        <w:t>–</w:t>
      </w:r>
    </w:p>
    <w:p w14:paraId="595C5813" w14:textId="68407318" w:rsidR="00B44290" w:rsidRDefault="00D5035A" w:rsidP="00947612">
      <w:pPr>
        <w:pStyle w:val="ListParagraph"/>
        <w:numPr>
          <w:ilvl w:val="1"/>
          <w:numId w:val="57"/>
        </w:numPr>
        <w:rPr>
          <w:rFonts w:cs="Calibri"/>
          <w:sz w:val="20"/>
          <w:szCs w:val="20"/>
          <w:lang w:val="es-ES"/>
        </w:rPr>
      </w:pPr>
      <w:r>
        <w:rPr>
          <w:rFonts w:cs="Calibri"/>
          <w:sz w:val="20"/>
          <w:szCs w:val="20"/>
          <w:lang w:val="es-ES"/>
        </w:rPr>
        <w:t>Luis David Isaza Giraldo –Hijo–</w:t>
      </w:r>
    </w:p>
    <w:p w14:paraId="0B8C415B" w14:textId="0E789CDE" w:rsidR="00D5035A" w:rsidRDefault="00D5035A" w:rsidP="00947612">
      <w:pPr>
        <w:pStyle w:val="ListParagraph"/>
        <w:numPr>
          <w:ilvl w:val="1"/>
          <w:numId w:val="57"/>
        </w:numPr>
        <w:rPr>
          <w:rFonts w:cs="Calibri"/>
          <w:sz w:val="20"/>
          <w:szCs w:val="20"/>
          <w:lang w:val="es-ES"/>
        </w:rPr>
      </w:pPr>
      <w:r>
        <w:rPr>
          <w:rFonts w:cs="Calibri"/>
          <w:sz w:val="20"/>
          <w:szCs w:val="20"/>
          <w:lang w:val="es-ES"/>
        </w:rPr>
        <w:t>María Piedad Isaza Arango –Hermana–</w:t>
      </w:r>
    </w:p>
    <w:p w14:paraId="3F124724" w14:textId="207368F2" w:rsidR="00D5035A" w:rsidRDefault="00D5035A" w:rsidP="00947612">
      <w:pPr>
        <w:pStyle w:val="ListParagraph"/>
        <w:numPr>
          <w:ilvl w:val="1"/>
          <w:numId w:val="57"/>
        </w:numPr>
        <w:rPr>
          <w:rFonts w:cs="Calibri"/>
          <w:sz w:val="20"/>
          <w:szCs w:val="20"/>
          <w:lang w:val="es-ES"/>
        </w:rPr>
      </w:pPr>
      <w:r>
        <w:rPr>
          <w:rFonts w:cs="Calibri"/>
          <w:sz w:val="20"/>
          <w:szCs w:val="20"/>
          <w:lang w:val="es-ES"/>
        </w:rPr>
        <w:t>Natividad Isaza Arango –Hermana–</w:t>
      </w:r>
    </w:p>
    <w:p w14:paraId="068DCC22" w14:textId="150402AE" w:rsidR="00D5035A" w:rsidRDefault="00D5035A" w:rsidP="00947612">
      <w:pPr>
        <w:pStyle w:val="ListParagraph"/>
        <w:numPr>
          <w:ilvl w:val="1"/>
          <w:numId w:val="57"/>
        </w:numPr>
        <w:rPr>
          <w:rFonts w:cs="Calibri"/>
          <w:sz w:val="20"/>
          <w:szCs w:val="20"/>
          <w:lang w:val="es-ES"/>
        </w:rPr>
      </w:pPr>
      <w:r>
        <w:rPr>
          <w:rFonts w:cs="Calibri"/>
          <w:sz w:val="20"/>
          <w:szCs w:val="20"/>
          <w:lang w:val="es-ES"/>
        </w:rPr>
        <w:t>Robeiro Isaza Arango –Hermano–</w:t>
      </w:r>
    </w:p>
    <w:p w14:paraId="55E79345" w14:textId="31E028BE" w:rsidR="00D5035A" w:rsidRDefault="00D5035A" w:rsidP="00947612">
      <w:pPr>
        <w:pStyle w:val="ListParagraph"/>
        <w:numPr>
          <w:ilvl w:val="1"/>
          <w:numId w:val="57"/>
        </w:numPr>
        <w:rPr>
          <w:rFonts w:cs="Calibri"/>
          <w:sz w:val="20"/>
          <w:szCs w:val="20"/>
          <w:lang w:val="es-ES"/>
        </w:rPr>
      </w:pPr>
      <w:r>
        <w:rPr>
          <w:rFonts w:cs="Calibri"/>
          <w:sz w:val="20"/>
          <w:szCs w:val="20"/>
          <w:lang w:val="es-ES"/>
        </w:rPr>
        <w:t>Rigoberto Isaza Arango –Hermano–</w:t>
      </w:r>
    </w:p>
    <w:p w14:paraId="7F87BFBC" w14:textId="7065D0F8" w:rsidR="00D5035A" w:rsidRDefault="00D5035A" w:rsidP="00947612">
      <w:pPr>
        <w:pStyle w:val="ListParagraph"/>
        <w:numPr>
          <w:ilvl w:val="1"/>
          <w:numId w:val="57"/>
        </w:numPr>
        <w:rPr>
          <w:rFonts w:cs="Calibri"/>
          <w:sz w:val="20"/>
          <w:szCs w:val="20"/>
          <w:lang w:val="pt-BR"/>
        </w:rPr>
      </w:pPr>
      <w:r w:rsidRPr="00D5035A">
        <w:rPr>
          <w:rFonts w:cs="Calibri"/>
          <w:sz w:val="20"/>
          <w:szCs w:val="20"/>
          <w:lang w:val="pt-BR"/>
        </w:rPr>
        <w:t>Maria Lucelly Isaza Arango –Hermana–</w:t>
      </w:r>
    </w:p>
    <w:p w14:paraId="0D0EC085" w14:textId="36DF9D56" w:rsidR="00D5035A" w:rsidRPr="00D5035A" w:rsidRDefault="00D5035A" w:rsidP="00947612">
      <w:pPr>
        <w:pStyle w:val="ListParagraph"/>
        <w:numPr>
          <w:ilvl w:val="1"/>
          <w:numId w:val="57"/>
        </w:numPr>
        <w:rPr>
          <w:rFonts w:cs="Calibri"/>
          <w:sz w:val="20"/>
          <w:szCs w:val="20"/>
          <w:lang w:val="pt-BR"/>
        </w:rPr>
      </w:pPr>
      <w:r>
        <w:rPr>
          <w:rFonts w:cs="Calibri"/>
          <w:sz w:val="20"/>
          <w:szCs w:val="20"/>
          <w:lang w:val="pt-BR"/>
        </w:rPr>
        <w:t xml:space="preserve">Albeiro Isaza Arango </w:t>
      </w:r>
      <w:r>
        <w:rPr>
          <w:rFonts w:cs="Calibri"/>
          <w:sz w:val="20"/>
          <w:szCs w:val="20"/>
          <w:lang w:val="es-ES"/>
        </w:rPr>
        <w:t>–Hermano–</w:t>
      </w:r>
    </w:p>
    <w:p w14:paraId="3BA3CC60" w14:textId="5124A5AB" w:rsidR="00D5035A" w:rsidRDefault="00D5035A" w:rsidP="00947612">
      <w:pPr>
        <w:pStyle w:val="ListParagraph"/>
        <w:numPr>
          <w:ilvl w:val="1"/>
          <w:numId w:val="57"/>
        </w:numPr>
        <w:rPr>
          <w:rFonts w:cs="Calibri"/>
          <w:sz w:val="20"/>
          <w:szCs w:val="20"/>
          <w:lang w:val="es-ES"/>
        </w:rPr>
      </w:pPr>
      <w:r>
        <w:rPr>
          <w:rFonts w:cs="Calibri"/>
          <w:sz w:val="20"/>
          <w:szCs w:val="20"/>
          <w:lang w:val="es-ES"/>
        </w:rPr>
        <w:t>Luz Mery Martínez Ocampo –Dependiente de la víctima–</w:t>
      </w:r>
    </w:p>
    <w:p w14:paraId="4426ACF7" w14:textId="2283A04E" w:rsidR="00D5035A" w:rsidRDefault="00D5035A" w:rsidP="00947612">
      <w:pPr>
        <w:pStyle w:val="ListParagraph"/>
        <w:numPr>
          <w:ilvl w:val="0"/>
          <w:numId w:val="57"/>
        </w:numPr>
        <w:rPr>
          <w:rFonts w:cs="Calibri"/>
          <w:sz w:val="20"/>
          <w:szCs w:val="20"/>
          <w:lang w:val="es-ES"/>
        </w:rPr>
      </w:pPr>
      <w:r>
        <w:rPr>
          <w:rFonts w:cs="Calibri"/>
          <w:sz w:val="20"/>
          <w:szCs w:val="20"/>
          <w:lang w:val="es-ES"/>
        </w:rPr>
        <w:t>Gildardo de Jesús Osorio Pamplona</w:t>
      </w:r>
    </w:p>
    <w:p w14:paraId="1AC6620A" w14:textId="48B58490" w:rsidR="00D5035A" w:rsidRDefault="00D5035A" w:rsidP="00947612">
      <w:pPr>
        <w:pStyle w:val="ListParagraph"/>
        <w:numPr>
          <w:ilvl w:val="1"/>
          <w:numId w:val="57"/>
        </w:numPr>
        <w:rPr>
          <w:rFonts w:cs="Calibri"/>
          <w:sz w:val="20"/>
          <w:szCs w:val="20"/>
          <w:lang w:val="es-ES"/>
        </w:rPr>
      </w:pPr>
      <w:r>
        <w:rPr>
          <w:rFonts w:cs="Calibri"/>
          <w:sz w:val="20"/>
          <w:szCs w:val="20"/>
          <w:lang w:val="es-ES"/>
        </w:rPr>
        <w:t>María Piedad Isaza Arango –Esposa–</w:t>
      </w:r>
    </w:p>
    <w:p w14:paraId="62F202AF" w14:textId="259BF122" w:rsidR="00D5035A" w:rsidRDefault="00D5035A" w:rsidP="00947612">
      <w:pPr>
        <w:pStyle w:val="ListParagraph"/>
        <w:numPr>
          <w:ilvl w:val="1"/>
          <w:numId w:val="57"/>
        </w:numPr>
        <w:rPr>
          <w:rFonts w:cs="Calibri"/>
          <w:sz w:val="20"/>
          <w:szCs w:val="20"/>
          <w:lang w:val="es-ES"/>
        </w:rPr>
      </w:pPr>
      <w:r>
        <w:rPr>
          <w:rFonts w:cs="Calibri"/>
          <w:sz w:val="20"/>
          <w:szCs w:val="20"/>
          <w:lang w:val="es-ES"/>
        </w:rPr>
        <w:t>Julián Andres Osorio Isaza –Hijo–</w:t>
      </w:r>
    </w:p>
    <w:p w14:paraId="40F7406E" w14:textId="6C339ABA" w:rsidR="00D5035A" w:rsidRDefault="00FE5D90" w:rsidP="00947612">
      <w:pPr>
        <w:pStyle w:val="ListParagraph"/>
        <w:numPr>
          <w:ilvl w:val="1"/>
          <w:numId w:val="57"/>
        </w:numPr>
        <w:rPr>
          <w:rFonts w:cs="Calibri"/>
          <w:sz w:val="20"/>
          <w:szCs w:val="20"/>
          <w:lang w:val="es-ES"/>
        </w:rPr>
      </w:pPr>
      <w:r>
        <w:rPr>
          <w:rFonts w:cs="Calibri"/>
          <w:sz w:val="20"/>
          <w:szCs w:val="20"/>
          <w:lang w:val="es-ES"/>
        </w:rPr>
        <w:t>Yarissa Andres Osorio Isaza –Hija–</w:t>
      </w:r>
    </w:p>
    <w:p w14:paraId="12C3CE07" w14:textId="6634C7A7" w:rsidR="00FE5D90" w:rsidRDefault="00FE5D90" w:rsidP="00947612">
      <w:pPr>
        <w:pStyle w:val="ListParagraph"/>
        <w:numPr>
          <w:ilvl w:val="1"/>
          <w:numId w:val="57"/>
        </w:numPr>
        <w:rPr>
          <w:rFonts w:cs="Calibri"/>
          <w:sz w:val="20"/>
          <w:szCs w:val="20"/>
          <w:lang w:val="es-ES"/>
        </w:rPr>
      </w:pPr>
      <w:r>
        <w:rPr>
          <w:rFonts w:cs="Calibri"/>
          <w:sz w:val="20"/>
          <w:szCs w:val="20"/>
          <w:lang w:val="es-ES"/>
        </w:rPr>
        <w:t>Jakeline Osorio Isaza –Hija–</w:t>
      </w:r>
    </w:p>
    <w:p w14:paraId="11DC36D3" w14:textId="07BAA929" w:rsidR="00FE5D90" w:rsidRDefault="00FE5D90" w:rsidP="00947612">
      <w:pPr>
        <w:pStyle w:val="ListParagraph"/>
        <w:numPr>
          <w:ilvl w:val="1"/>
          <w:numId w:val="57"/>
        </w:numPr>
        <w:rPr>
          <w:rFonts w:cs="Calibri"/>
          <w:sz w:val="20"/>
          <w:szCs w:val="20"/>
          <w:lang w:val="es-ES"/>
        </w:rPr>
      </w:pPr>
      <w:r>
        <w:rPr>
          <w:rFonts w:cs="Calibri"/>
          <w:sz w:val="20"/>
          <w:szCs w:val="20"/>
          <w:lang w:val="es-ES"/>
        </w:rPr>
        <w:t>Rosalía Pamplona de Osorio –Madre–</w:t>
      </w:r>
    </w:p>
    <w:p w14:paraId="1EF82CAA" w14:textId="60D22A92" w:rsidR="00FE5D90" w:rsidRDefault="00FE5D90" w:rsidP="00947612">
      <w:pPr>
        <w:pStyle w:val="ListParagraph"/>
        <w:numPr>
          <w:ilvl w:val="1"/>
          <w:numId w:val="57"/>
        </w:numPr>
        <w:rPr>
          <w:rFonts w:cs="Calibri"/>
          <w:sz w:val="20"/>
          <w:szCs w:val="20"/>
          <w:lang w:val="es-ES"/>
        </w:rPr>
      </w:pPr>
      <w:r>
        <w:rPr>
          <w:rFonts w:cs="Calibri"/>
          <w:sz w:val="20"/>
          <w:szCs w:val="20"/>
          <w:lang w:val="es-ES"/>
        </w:rPr>
        <w:t xml:space="preserve">Otilio de </w:t>
      </w:r>
      <w:r w:rsidR="00DC7506">
        <w:rPr>
          <w:rFonts w:cs="Calibri"/>
          <w:sz w:val="20"/>
          <w:szCs w:val="20"/>
          <w:lang w:val="es-ES"/>
        </w:rPr>
        <w:t>Jesús</w:t>
      </w:r>
      <w:r>
        <w:rPr>
          <w:rFonts w:cs="Calibri"/>
          <w:sz w:val="20"/>
          <w:szCs w:val="20"/>
          <w:lang w:val="es-ES"/>
        </w:rPr>
        <w:t xml:space="preserve"> Suarez Quiñonez –Padre de crianza–</w:t>
      </w:r>
    </w:p>
    <w:p w14:paraId="6B71A452" w14:textId="24448034" w:rsidR="00FE5D90" w:rsidRDefault="00FE5D90" w:rsidP="00947612">
      <w:pPr>
        <w:pStyle w:val="ListParagraph"/>
        <w:numPr>
          <w:ilvl w:val="1"/>
          <w:numId w:val="57"/>
        </w:numPr>
        <w:rPr>
          <w:rFonts w:cs="Calibri"/>
          <w:sz w:val="20"/>
          <w:szCs w:val="20"/>
          <w:lang w:val="es-ES"/>
        </w:rPr>
      </w:pPr>
      <w:r>
        <w:rPr>
          <w:rFonts w:cs="Calibri"/>
          <w:sz w:val="20"/>
          <w:szCs w:val="20"/>
          <w:lang w:val="es-ES"/>
        </w:rPr>
        <w:t xml:space="preserve">Rodrigo de </w:t>
      </w:r>
      <w:r w:rsidR="00DC7506">
        <w:rPr>
          <w:rFonts w:cs="Calibri"/>
          <w:sz w:val="20"/>
          <w:szCs w:val="20"/>
          <w:lang w:val="es-ES"/>
        </w:rPr>
        <w:t>Jesús</w:t>
      </w:r>
      <w:r>
        <w:rPr>
          <w:rFonts w:cs="Calibri"/>
          <w:sz w:val="20"/>
          <w:szCs w:val="20"/>
          <w:lang w:val="es-ES"/>
        </w:rPr>
        <w:t xml:space="preserve"> Osorio Pamplona –Hermano–</w:t>
      </w:r>
    </w:p>
    <w:p w14:paraId="0CBE54EB" w14:textId="5E4C37B7" w:rsidR="00FE5D90" w:rsidRDefault="00FE5D90" w:rsidP="00947612">
      <w:pPr>
        <w:pStyle w:val="ListParagraph"/>
        <w:numPr>
          <w:ilvl w:val="1"/>
          <w:numId w:val="57"/>
        </w:numPr>
        <w:rPr>
          <w:rFonts w:cs="Calibri"/>
          <w:sz w:val="20"/>
          <w:szCs w:val="20"/>
          <w:lang w:val="es-ES"/>
        </w:rPr>
      </w:pPr>
      <w:r>
        <w:rPr>
          <w:rFonts w:cs="Calibri"/>
          <w:sz w:val="20"/>
          <w:szCs w:val="20"/>
          <w:lang w:val="es-ES"/>
        </w:rPr>
        <w:t>Oscar Hernán Osorio Pamplona –Hermano</w:t>
      </w:r>
      <w:r w:rsidRPr="00390E0D">
        <w:rPr>
          <w:rFonts w:cs="Calibri"/>
          <w:sz w:val="20"/>
          <w:szCs w:val="20"/>
          <w:lang w:val="es-ES"/>
        </w:rPr>
        <w:t>–</w:t>
      </w:r>
    </w:p>
    <w:p w14:paraId="2D02545A" w14:textId="4C51905B" w:rsidR="00390E0D" w:rsidRDefault="00390E0D" w:rsidP="00947612">
      <w:pPr>
        <w:pStyle w:val="ListParagraph"/>
        <w:numPr>
          <w:ilvl w:val="0"/>
          <w:numId w:val="57"/>
        </w:numPr>
        <w:rPr>
          <w:rFonts w:cs="Calibri"/>
          <w:sz w:val="20"/>
          <w:szCs w:val="20"/>
          <w:lang w:val="es-ES"/>
        </w:rPr>
      </w:pPr>
      <w:r>
        <w:rPr>
          <w:rFonts w:cs="Calibri"/>
          <w:sz w:val="20"/>
          <w:szCs w:val="20"/>
          <w:lang w:val="es-ES"/>
        </w:rPr>
        <w:t>Jose Octavio Garzón Sánchez</w:t>
      </w:r>
    </w:p>
    <w:p w14:paraId="4D6AD79D" w14:textId="0A9F3DC1" w:rsidR="00390E0D" w:rsidRDefault="00390E0D" w:rsidP="00947612">
      <w:pPr>
        <w:pStyle w:val="ListParagraph"/>
        <w:numPr>
          <w:ilvl w:val="1"/>
          <w:numId w:val="57"/>
        </w:numPr>
        <w:rPr>
          <w:rFonts w:cs="Calibri"/>
          <w:sz w:val="20"/>
          <w:szCs w:val="20"/>
          <w:lang w:val="pt-BR"/>
        </w:rPr>
      </w:pPr>
      <w:r w:rsidRPr="00390E0D">
        <w:rPr>
          <w:rFonts w:cs="Calibri"/>
          <w:sz w:val="20"/>
          <w:szCs w:val="20"/>
          <w:lang w:val="pt-BR"/>
        </w:rPr>
        <w:t>Maria del Socorro Parra Hincapie –Esposa–</w:t>
      </w:r>
    </w:p>
    <w:p w14:paraId="1A10DC99" w14:textId="170BF8C8" w:rsidR="00390E0D" w:rsidRDefault="00390E0D" w:rsidP="00947612">
      <w:pPr>
        <w:pStyle w:val="ListParagraph"/>
        <w:numPr>
          <w:ilvl w:val="1"/>
          <w:numId w:val="57"/>
        </w:numPr>
        <w:rPr>
          <w:rFonts w:cs="Calibri"/>
          <w:sz w:val="20"/>
          <w:szCs w:val="20"/>
          <w:lang w:val="es-ES"/>
        </w:rPr>
      </w:pPr>
      <w:r w:rsidRPr="00390E0D">
        <w:rPr>
          <w:rFonts w:cs="Calibri"/>
          <w:sz w:val="20"/>
          <w:szCs w:val="20"/>
          <w:lang w:val="es-ES"/>
        </w:rPr>
        <w:t xml:space="preserve">Sandra Milena Garzón Parra </w:t>
      </w:r>
      <w:r>
        <w:rPr>
          <w:rFonts w:cs="Calibri"/>
          <w:sz w:val="20"/>
          <w:szCs w:val="20"/>
          <w:lang w:val="es-ES"/>
        </w:rPr>
        <w:t>–Hija–</w:t>
      </w:r>
    </w:p>
    <w:p w14:paraId="0F5204FB" w14:textId="054471F5" w:rsidR="00390E0D" w:rsidRDefault="00390E0D" w:rsidP="00947612">
      <w:pPr>
        <w:pStyle w:val="ListParagraph"/>
        <w:numPr>
          <w:ilvl w:val="1"/>
          <w:numId w:val="57"/>
        </w:numPr>
        <w:rPr>
          <w:rFonts w:cs="Calibri"/>
          <w:sz w:val="20"/>
          <w:szCs w:val="20"/>
          <w:lang w:val="es-ES"/>
        </w:rPr>
      </w:pPr>
      <w:r>
        <w:rPr>
          <w:rFonts w:cs="Calibri"/>
          <w:sz w:val="20"/>
          <w:szCs w:val="20"/>
          <w:lang w:val="es-ES"/>
        </w:rPr>
        <w:t xml:space="preserve">Paola Andrea </w:t>
      </w:r>
      <w:r w:rsidRPr="00390E0D">
        <w:rPr>
          <w:rFonts w:cs="Calibri"/>
          <w:sz w:val="20"/>
          <w:szCs w:val="20"/>
          <w:lang w:val="es-ES"/>
        </w:rPr>
        <w:t xml:space="preserve">Garzón Parra </w:t>
      </w:r>
      <w:r>
        <w:rPr>
          <w:rFonts w:cs="Calibri"/>
          <w:sz w:val="20"/>
          <w:szCs w:val="20"/>
          <w:lang w:val="es-ES"/>
        </w:rPr>
        <w:t>–Hija–</w:t>
      </w:r>
    </w:p>
    <w:p w14:paraId="2DD47A8E" w14:textId="4B7ED53F" w:rsidR="00390E0D" w:rsidRDefault="00390E0D" w:rsidP="00947612">
      <w:pPr>
        <w:pStyle w:val="ListParagraph"/>
        <w:numPr>
          <w:ilvl w:val="1"/>
          <w:numId w:val="57"/>
        </w:numPr>
        <w:rPr>
          <w:rFonts w:cs="Calibri"/>
          <w:sz w:val="20"/>
          <w:szCs w:val="20"/>
          <w:lang w:val="es-ES"/>
        </w:rPr>
      </w:pPr>
      <w:r>
        <w:rPr>
          <w:rFonts w:cs="Calibri"/>
          <w:sz w:val="20"/>
          <w:szCs w:val="20"/>
          <w:lang w:val="es-ES"/>
        </w:rPr>
        <w:t xml:space="preserve">Octavio </w:t>
      </w:r>
      <w:r w:rsidRPr="00390E0D">
        <w:rPr>
          <w:rFonts w:cs="Calibri"/>
          <w:sz w:val="20"/>
          <w:szCs w:val="20"/>
          <w:lang w:val="es-ES"/>
        </w:rPr>
        <w:t xml:space="preserve">Garzón Parra </w:t>
      </w:r>
      <w:r>
        <w:rPr>
          <w:rFonts w:cs="Calibri"/>
          <w:sz w:val="20"/>
          <w:szCs w:val="20"/>
          <w:lang w:val="es-ES"/>
        </w:rPr>
        <w:t>–Hijo–</w:t>
      </w:r>
    </w:p>
    <w:p w14:paraId="5BC79D0A" w14:textId="0AB114FE" w:rsidR="00390E0D" w:rsidRDefault="00DC7506" w:rsidP="00947612">
      <w:pPr>
        <w:pStyle w:val="ListParagraph"/>
        <w:numPr>
          <w:ilvl w:val="0"/>
          <w:numId w:val="57"/>
        </w:numPr>
        <w:rPr>
          <w:rFonts w:cs="Calibri"/>
          <w:sz w:val="20"/>
          <w:szCs w:val="20"/>
          <w:lang w:val="es-ES"/>
        </w:rPr>
      </w:pPr>
      <w:r>
        <w:rPr>
          <w:rFonts w:cs="Calibri"/>
          <w:sz w:val="20"/>
          <w:szCs w:val="20"/>
          <w:lang w:val="es-ES"/>
        </w:rPr>
        <w:t>Efraín Gonzaga Marín</w:t>
      </w:r>
    </w:p>
    <w:p w14:paraId="4B4DCBDA" w14:textId="2F756436" w:rsidR="00DC7506" w:rsidRDefault="00DC7506" w:rsidP="00947612">
      <w:pPr>
        <w:pStyle w:val="ListParagraph"/>
        <w:numPr>
          <w:ilvl w:val="1"/>
          <w:numId w:val="57"/>
        </w:numPr>
        <w:rPr>
          <w:rFonts w:cs="Calibri"/>
          <w:sz w:val="20"/>
          <w:szCs w:val="20"/>
          <w:lang w:val="es-ES"/>
        </w:rPr>
      </w:pPr>
      <w:r>
        <w:rPr>
          <w:rFonts w:cs="Calibri"/>
          <w:sz w:val="20"/>
          <w:szCs w:val="20"/>
          <w:lang w:val="es-ES"/>
        </w:rPr>
        <w:t>Jose Luis García Suarez –Padre–</w:t>
      </w:r>
    </w:p>
    <w:p w14:paraId="71A6C66F" w14:textId="4D41C431" w:rsidR="00DC7506" w:rsidRDefault="00DD2F4F" w:rsidP="00947612">
      <w:pPr>
        <w:pStyle w:val="ListParagraph"/>
        <w:numPr>
          <w:ilvl w:val="1"/>
          <w:numId w:val="57"/>
        </w:numPr>
        <w:rPr>
          <w:rFonts w:cs="Calibri"/>
          <w:sz w:val="20"/>
          <w:szCs w:val="20"/>
          <w:lang w:val="es-ES"/>
        </w:rPr>
      </w:pPr>
      <w:r>
        <w:rPr>
          <w:rFonts w:cs="Calibri"/>
          <w:sz w:val="20"/>
          <w:szCs w:val="20"/>
          <w:lang w:val="es-ES"/>
        </w:rPr>
        <w:t xml:space="preserve">Flor </w:t>
      </w:r>
      <w:r w:rsidR="007A3323">
        <w:rPr>
          <w:rFonts w:cs="Calibri"/>
          <w:sz w:val="20"/>
          <w:szCs w:val="20"/>
          <w:lang w:val="es-ES"/>
        </w:rPr>
        <w:t>María</w:t>
      </w:r>
      <w:r>
        <w:rPr>
          <w:rFonts w:cs="Calibri"/>
          <w:sz w:val="20"/>
          <w:szCs w:val="20"/>
          <w:lang w:val="es-ES"/>
        </w:rPr>
        <w:t xml:space="preserve"> </w:t>
      </w:r>
      <w:r w:rsidR="007A3323">
        <w:rPr>
          <w:rFonts w:cs="Calibri"/>
          <w:sz w:val="20"/>
          <w:szCs w:val="20"/>
          <w:lang w:val="es-ES"/>
        </w:rPr>
        <w:t>Marín</w:t>
      </w:r>
      <w:r>
        <w:rPr>
          <w:rFonts w:cs="Calibri"/>
          <w:sz w:val="20"/>
          <w:szCs w:val="20"/>
          <w:lang w:val="es-ES"/>
        </w:rPr>
        <w:t xml:space="preserve"> Valencia –Madre–</w:t>
      </w:r>
    </w:p>
    <w:p w14:paraId="4C826553" w14:textId="0314133C" w:rsidR="00DD2F4F" w:rsidRDefault="00DD2F4F" w:rsidP="00947612">
      <w:pPr>
        <w:pStyle w:val="ListParagraph"/>
        <w:numPr>
          <w:ilvl w:val="1"/>
          <w:numId w:val="57"/>
        </w:numPr>
        <w:rPr>
          <w:rFonts w:cs="Calibri"/>
          <w:sz w:val="20"/>
          <w:szCs w:val="20"/>
          <w:lang w:val="es-ES"/>
        </w:rPr>
      </w:pPr>
      <w:r>
        <w:rPr>
          <w:rFonts w:cs="Calibri"/>
          <w:sz w:val="20"/>
          <w:szCs w:val="20"/>
          <w:lang w:val="es-ES"/>
        </w:rPr>
        <w:t xml:space="preserve">Anderson Estiven </w:t>
      </w:r>
      <w:r w:rsidR="007A3323">
        <w:rPr>
          <w:rFonts w:cs="Calibri"/>
          <w:sz w:val="20"/>
          <w:szCs w:val="20"/>
          <w:lang w:val="es-ES"/>
        </w:rPr>
        <w:t>García</w:t>
      </w:r>
      <w:r>
        <w:rPr>
          <w:rFonts w:cs="Calibri"/>
          <w:sz w:val="20"/>
          <w:szCs w:val="20"/>
          <w:lang w:val="es-ES"/>
        </w:rPr>
        <w:t xml:space="preserve"> </w:t>
      </w:r>
      <w:r w:rsidR="007A3323">
        <w:rPr>
          <w:rFonts w:cs="Calibri"/>
          <w:sz w:val="20"/>
          <w:szCs w:val="20"/>
          <w:lang w:val="es-ES"/>
        </w:rPr>
        <w:t>Marín</w:t>
      </w:r>
      <w:r>
        <w:rPr>
          <w:rFonts w:cs="Calibri"/>
          <w:sz w:val="20"/>
          <w:szCs w:val="20"/>
          <w:lang w:val="es-ES"/>
        </w:rPr>
        <w:t xml:space="preserve"> –Hermano–</w:t>
      </w:r>
    </w:p>
    <w:p w14:paraId="1DDF0C97" w14:textId="1DFC5BAF" w:rsidR="00DD2F4F" w:rsidRDefault="00DD2F4F" w:rsidP="00947612">
      <w:pPr>
        <w:pStyle w:val="ListParagraph"/>
        <w:numPr>
          <w:ilvl w:val="1"/>
          <w:numId w:val="57"/>
        </w:numPr>
        <w:rPr>
          <w:rFonts w:cs="Calibri"/>
          <w:sz w:val="20"/>
          <w:szCs w:val="20"/>
          <w:lang w:val="es-ES"/>
        </w:rPr>
      </w:pPr>
      <w:r>
        <w:rPr>
          <w:rFonts w:cs="Calibri"/>
          <w:sz w:val="20"/>
          <w:szCs w:val="20"/>
          <w:lang w:val="es-ES"/>
        </w:rPr>
        <w:t xml:space="preserve">Rodrigo </w:t>
      </w:r>
      <w:r w:rsidR="007A3323">
        <w:rPr>
          <w:rFonts w:cs="Calibri"/>
          <w:sz w:val="20"/>
          <w:szCs w:val="20"/>
          <w:lang w:val="es-ES"/>
        </w:rPr>
        <w:t>García</w:t>
      </w:r>
      <w:r>
        <w:rPr>
          <w:rFonts w:cs="Calibri"/>
          <w:sz w:val="20"/>
          <w:szCs w:val="20"/>
          <w:lang w:val="es-ES"/>
        </w:rPr>
        <w:t xml:space="preserve"> </w:t>
      </w:r>
      <w:r w:rsidR="007A3323">
        <w:rPr>
          <w:rFonts w:cs="Calibri"/>
          <w:sz w:val="20"/>
          <w:szCs w:val="20"/>
          <w:lang w:val="es-ES"/>
        </w:rPr>
        <w:t>Marín</w:t>
      </w:r>
      <w:r>
        <w:rPr>
          <w:rFonts w:cs="Calibri"/>
          <w:sz w:val="20"/>
          <w:szCs w:val="20"/>
          <w:lang w:val="es-ES"/>
        </w:rPr>
        <w:t xml:space="preserve"> –Hermano–</w:t>
      </w:r>
    </w:p>
    <w:p w14:paraId="37BB80CC" w14:textId="02E727A8" w:rsidR="00DD2F4F" w:rsidRDefault="00DD2F4F" w:rsidP="00947612">
      <w:pPr>
        <w:pStyle w:val="ListParagraph"/>
        <w:numPr>
          <w:ilvl w:val="1"/>
          <w:numId w:val="57"/>
        </w:numPr>
        <w:rPr>
          <w:rFonts w:cs="Calibri"/>
          <w:sz w:val="20"/>
          <w:szCs w:val="20"/>
          <w:lang w:val="es-ES"/>
        </w:rPr>
      </w:pPr>
      <w:r>
        <w:rPr>
          <w:rFonts w:cs="Calibri"/>
          <w:sz w:val="20"/>
          <w:szCs w:val="20"/>
          <w:lang w:val="es-ES"/>
        </w:rPr>
        <w:t xml:space="preserve">Edgar de </w:t>
      </w:r>
      <w:r w:rsidR="007A3323">
        <w:rPr>
          <w:rFonts w:cs="Calibri"/>
          <w:sz w:val="20"/>
          <w:szCs w:val="20"/>
          <w:lang w:val="es-ES"/>
        </w:rPr>
        <w:t>Jesús</w:t>
      </w:r>
      <w:r>
        <w:rPr>
          <w:rFonts w:cs="Calibri"/>
          <w:sz w:val="20"/>
          <w:szCs w:val="20"/>
          <w:lang w:val="es-ES"/>
        </w:rPr>
        <w:t xml:space="preserve"> </w:t>
      </w:r>
      <w:r w:rsidR="007A3323">
        <w:rPr>
          <w:rFonts w:cs="Calibri"/>
          <w:sz w:val="20"/>
          <w:szCs w:val="20"/>
          <w:lang w:val="es-ES"/>
        </w:rPr>
        <w:t>García</w:t>
      </w:r>
      <w:r>
        <w:rPr>
          <w:rFonts w:cs="Calibri"/>
          <w:sz w:val="20"/>
          <w:szCs w:val="20"/>
          <w:lang w:val="es-ES"/>
        </w:rPr>
        <w:t xml:space="preserve"> </w:t>
      </w:r>
      <w:r w:rsidR="007A3323">
        <w:rPr>
          <w:rFonts w:cs="Calibri"/>
          <w:sz w:val="20"/>
          <w:szCs w:val="20"/>
          <w:lang w:val="es-ES"/>
        </w:rPr>
        <w:t>Marín</w:t>
      </w:r>
      <w:r>
        <w:rPr>
          <w:rFonts w:cs="Calibri"/>
          <w:sz w:val="20"/>
          <w:szCs w:val="20"/>
          <w:lang w:val="es-ES"/>
        </w:rPr>
        <w:t xml:space="preserve"> –Hermano–</w:t>
      </w:r>
    </w:p>
    <w:p w14:paraId="13701764" w14:textId="4FFFE459" w:rsidR="00DD2F4F" w:rsidRDefault="00DD2F4F" w:rsidP="00947612">
      <w:pPr>
        <w:pStyle w:val="ListParagraph"/>
        <w:numPr>
          <w:ilvl w:val="1"/>
          <w:numId w:val="57"/>
        </w:numPr>
        <w:rPr>
          <w:rFonts w:cs="Calibri"/>
          <w:sz w:val="20"/>
          <w:szCs w:val="20"/>
          <w:lang w:val="es-ES"/>
        </w:rPr>
      </w:pPr>
      <w:r>
        <w:rPr>
          <w:rFonts w:cs="Calibri"/>
          <w:sz w:val="20"/>
          <w:szCs w:val="20"/>
          <w:lang w:val="es-ES"/>
        </w:rPr>
        <w:t xml:space="preserve">Luz Mery </w:t>
      </w:r>
      <w:r w:rsidR="007A3323">
        <w:rPr>
          <w:rFonts w:cs="Calibri"/>
          <w:sz w:val="20"/>
          <w:szCs w:val="20"/>
          <w:lang w:val="es-ES"/>
        </w:rPr>
        <w:t>García</w:t>
      </w:r>
      <w:r>
        <w:rPr>
          <w:rFonts w:cs="Calibri"/>
          <w:sz w:val="20"/>
          <w:szCs w:val="20"/>
          <w:lang w:val="es-ES"/>
        </w:rPr>
        <w:t xml:space="preserve"> </w:t>
      </w:r>
      <w:r w:rsidR="007A3323">
        <w:rPr>
          <w:rFonts w:cs="Calibri"/>
          <w:sz w:val="20"/>
          <w:szCs w:val="20"/>
          <w:lang w:val="es-ES"/>
        </w:rPr>
        <w:t>Marín</w:t>
      </w:r>
      <w:r>
        <w:rPr>
          <w:rFonts w:cs="Calibri"/>
          <w:sz w:val="20"/>
          <w:szCs w:val="20"/>
          <w:lang w:val="es-ES"/>
        </w:rPr>
        <w:t xml:space="preserve"> –Hermana–</w:t>
      </w:r>
    </w:p>
    <w:p w14:paraId="2FFD041D" w14:textId="3728CDA9" w:rsidR="00DD2F4F" w:rsidRDefault="00DD2F4F" w:rsidP="00947612">
      <w:pPr>
        <w:pStyle w:val="ListParagraph"/>
        <w:numPr>
          <w:ilvl w:val="1"/>
          <w:numId w:val="57"/>
        </w:numPr>
        <w:rPr>
          <w:rFonts w:cs="Calibri"/>
          <w:sz w:val="20"/>
          <w:szCs w:val="20"/>
          <w:lang w:val="es-ES"/>
        </w:rPr>
      </w:pPr>
      <w:r>
        <w:rPr>
          <w:rFonts w:cs="Calibri"/>
          <w:sz w:val="20"/>
          <w:szCs w:val="20"/>
          <w:lang w:val="es-ES"/>
        </w:rPr>
        <w:t xml:space="preserve">Reinaldo </w:t>
      </w:r>
      <w:r w:rsidR="007A3323">
        <w:rPr>
          <w:rFonts w:cs="Calibri"/>
          <w:sz w:val="20"/>
          <w:szCs w:val="20"/>
          <w:lang w:val="es-ES"/>
        </w:rPr>
        <w:t>García</w:t>
      </w:r>
      <w:r>
        <w:rPr>
          <w:rFonts w:cs="Calibri"/>
          <w:sz w:val="20"/>
          <w:szCs w:val="20"/>
          <w:lang w:val="es-ES"/>
        </w:rPr>
        <w:t xml:space="preserve"> </w:t>
      </w:r>
      <w:r w:rsidR="007A3323">
        <w:rPr>
          <w:rFonts w:cs="Calibri"/>
          <w:sz w:val="20"/>
          <w:szCs w:val="20"/>
          <w:lang w:val="es-ES"/>
        </w:rPr>
        <w:t>Marín</w:t>
      </w:r>
      <w:r>
        <w:rPr>
          <w:rFonts w:cs="Calibri"/>
          <w:sz w:val="20"/>
          <w:szCs w:val="20"/>
          <w:lang w:val="es-ES"/>
        </w:rPr>
        <w:t xml:space="preserve"> –Hermano–</w:t>
      </w:r>
    </w:p>
    <w:p w14:paraId="08333CDE" w14:textId="4124DC35" w:rsidR="00DD2F4F" w:rsidRDefault="005D1835" w:rsidP="00947612">
      <w:pPr>
        <w:pStyle w:val="ListParagraph"/>
        <w:numPr>
          <w:ilvl w:val="1"/>
          <w:numId w:val="57"/>
        </w:numPr>
        <w:rPr>
          <w:rFonts w:cs="Calibri"/>
          <w:sz w:val="20"/>
          <w:szCs w:val="20"/>
          <w:lang w:val="pt-BR"/>
        </w:rPr>
      </w:pPr>
      <w:r w:rsidRPr="005D1835">
        <w:rPr>
          <w:rFonts w:cs="Calibri"/>
          <w:sz w:val="20"/>
          <w:szCs w:val="20"/>
          <w:lang w:val="pt-BR"/>
        </w:rPr>
        <w:t>Maria N</w:t>
      </w:r>
      <w:r>
        <w:rPr>
          <w:rFonts w:cs="Calibri"/>
          <w:sz w:val="20"/>
          <w:szCs w:val="20"/>
          <w:lang w:val="pt-BR"/>
        </w:rPr>
        <w:t>o</w:t>
      </w:r>
      <w:r w:rsidRPr="005D1835">
        <w:rPr>
          <w:rFonts w:cs="Calibri"/>
          <w:sz w:val="20"/>
          <w:szCs w:val="20"/>
          <w:lang w:val="pt-BR"/>
        </w:rPr>
        <w:t>helia Garcia Marin –</w:t>
      </w:r>
      <w:r>
        <w:rPr>
          <w:rFonts w:cs="Calibri"/>
          <w:sz w:val="20"/>
          <w:szCs w:val="20"/>
          <w:lang w:val="pt-BR"/>
        </w:rPr>
        <w:t>Hermana</w:t>
      </w:r>
      <w:r w:rsidRPr="005D1835">
        <w:rPr>
          <w:rFonts w:cs="Calibri"/>
          <w:sz w:val="20"/>
          <w:szCs w:val="20"/>
          <w:lang w:val="pt-BR"/>
        </w:rPr>
        <w:t>–</w:t>
      </w:r>
    </w:p>
    <w:p w14:paraId="23471AAB" w14:textId="62821259" w:rsidR="005D1835" w:rsidRDefault="005D1835" w:rsidP="00947612">
      <w:pPr>
        <w:pStyle w:val="ListParagraph"/>
        <w:numPr>
          <w:ilvl w:val="1"/>
          <w:numId w:val="57"/>
        </w:numPr>
        <w:rPr>
          <w:rFonts w:cs="Calibri"/>
          <w:sz w:val="20"/>
          <w:szCs w:val="20"/>
          <w:lang w:val="pt-BR"/>
        </w:rPr>
      </w:pPr>
      <w:r>
        <w:rPr>
          <w:rFonts w:cs="Calibri"/>
          <w:sz w:val="20"/>
          <w:szCs w:val="20"/>
          <w:lang w:val="pt-BR"/>
        </w:rPr>
        <w:t xml:space="preserve">Maria Delia Valencia Agudelo </w:t>
      </w:r>
      <w:r w:rsidRPr="005D1835">
        <w:rPr>
          <w:rFonts w:cs="Calibri"/>
          <w:sz w:val="20"/>
          <w:szCs w:val="20"/>
          <w:lang w:val="pt-BR"/>
        </w:rPr>
        <w:t>–Abuela–</w:t>
      </w:r>
    </w:p>
    <w:p w14:paraId="3306D37F" w14:textId="39965B57" w:rsidR="005D1835" w:rsidRPr="005D1835" w:rsidRDefault="005D1835" w:rsidP="00947612">
      <w:pPr>
        <w:pStyle w:val="ListParagraph"/>
        <w:numPr>
          <w:ilvl w:val="1"/>
          <w:numId w:val="57"/>
        </w:numPr>
        <w:rPr>
          <w:rFonts w:cs="Calibri"/>
          <w:sz w:val="20"/>
          <w:szCs w:val="20"/>
          <w:lang w:val="pt-BR"/>
        </w:rPr>
      </w:pPr>
      <w:r>
        <w:rPr>
          <w:rFonts w:cs="Calibri"/>
          <w:sz w:val="20"/>
          <w:szCs w:val="20"/>
          <w:lang w:val="pt-BR"/>
        </w:rPr>
        <w:t xml:space="preserve">Maria de la Luz Suarez Guarin </w:t>
      </w:r>
      <w:r>
        <w:rPr>
          <w:rFonts w:cs="Calibri"/>
          <w:sz w:val="20"/>
          <w:szCs w:val="20"/>
          <w:lang w:val="es-ES"/>
        </w:rPr>
        <w:t>–Abuela–</w:t>
      </w:r>
    </w:p>
    <w:p w14:paraId="583AF631" w14:textId="6D9AB1F6" w:rsidR="005D1835" w:rsidRPr="005D1835" w:rsidRDefault="005D1835" w:rsidP="00947612">
      <w:pPr>
        <w:pStyle w:val="ListParagraph"/>
        <w:numPr>
          <w:ilvl w:val="0"/>
          <w:numId w:val="57"/>
        </w:numPr>
        <w:rPr>
          <w:rFonts w:cs="Calibri"/>
          <w:sz w:val="20"/>
          <w:szCs w:val="20"/>
          <w:lang w:val="pt-BR"/>
        </w:rPr>
      </w:pPr>
      <w:r>
        <w:rPr>
          <w:rFonts w:cs="Calibri"/>
          <w:sz w:val="20"/>
          <w:szCs w:val="20"/>
          <w:lang w:val="es-ES"/>
        </w:rPr>
        <w:t>Jose Alady Gallego Mejía</w:t>
      </w:r>
    </w:p>
    <w:p w14:paraId="47E9C0EA" w14:textId="59ED6ECD" w:rsidR="005D1835" w:rsidRDefault="005D1835" w:rsidP="00947612">
      <w:pPr>
        <w:pStyle w:val="ListParagraph"/>
        <w:numPr>
          <w:ilvl w:val="1"/>
          <w:numId w:val="57"/>
        </w:numPr>
        <w:rPr>
          <w:rFonts w:cs="Calibri"/>
          <w:sz w:val="20"/>
          <w:szCs w:val="20"/>
          <w:lang w:val="es-ES"/>
        </w:rPr>
      </w:pPr>
      <w:r>
        <w:rPr>
          <w:rFonts w:cs="Calibri"/>
          <w:sz w:val="20"/>
          <w:szCs w:val="20"/>
          <w:lang w:val="es-ES"/>
        </w:rPr>
        <w:t>Francisco Luis Gallego Ciro –Padre–</w:t>
      </w:r>
    </w:p>
    <w:p w14:paraId="04C0A038" w14:textId="55824639" w:rsidR="005D1835" w:rsidRDefault="005D1835" w:rsidP="00947612">
      <w:pPr>
        <w:pStyle w:val="ListParagraph"/>
        <w:numPr>
          <w:ilvl w:val="1"/>
          <w:numId w:val="57"/>
        </w:numPr>
        <w:rPr>
          <w:rFonts w:cs="Calibri"/>
          <w:sz w:val="20"/>
          <w:szCs w:val="20"/>
          <w:lang w:val="es-ES"/>
        </w:rPr>
      </w:pPr>
      <w:r>
        <w:rPr>
          <w:rFonts w:cs="Calibri"/>
          <w:sz w:val="20"/>
          <w:szCs w:val="20"/>
          <w:lang w:val="es-ES"/>
        </w:rPr>
        <w:t>Carmen Emilia Mejía Foronda –Madre–</w:t>
      </w:r>
    </w:p>
    <w:p w14:paraId="01CCC969" w14:textId="7F135DF1" w:rsidR="005D1835" w:rsidRDefault="005D1835" w:rsidP="00947612">
      <w:pPr>
        <w:pStyle w:val="ListParagraph"/>
        <w:numPr>
          <w:ilvl w:val="1"/>
          <w:numId w:val="57"/>
        </w:numPr>
        <w:rPr>
          <w:rFonts w:cs="Calibri"/>
          <w:sz w:val="20"/>
          <w:szCs w:val="20"/>
          <w:lang w:val="es-ES"/>
        </w:rPr>
      </w:pPr>
      <w:r>
        <w:rPr>
          <w:rFonts w:cs="Calibri"/>
          <w:sz w:val="20"/>
          <w:szCs w:val="20"/>
          <w:lang w:val="es-ES"/>
        </w:rPr>
        <w:t xml:space="preserve">Adelaida </w:t>
      </w:r>
      <w:r w:rsidR="007A3323">
        <w:rPr>
          <w:rFonts w:cs="Calibri"/>
          <w:sz w:val="20"/>
          <w:szCs w:val="20"/>
          <w:lang w:val="es-ES"/>
        </w:rPr>
        <w:t>María</w:t>
      </w:r>
      <w:r>
        <w:rPr>
          <w:rFonts w:cs="Calibri"/>
          <w:sz w:val="20"/>
          <w:szCs w:val="20"/>
          <w:lang w:val="es-ES"/>
        </w:rPr>
        <w:t xml:space="preserve"> Gallego </w:t>
      </w:r>
      <w:r w:rsidR="007A3323">
        <w:rPr>
          <w:rFonts w:cs="Calibri"/>
          <w:sz w:val="20"/>
          <w:szCs w:val="20"/>
          <w:lang w:val="es-ES"/>
        </w:rPr>
        <w:t>Mejía</w:t>
      </w:r>
      <w:r>
        <w:rPr>
          <w:rFonts w:cs="Calibri"/>
          <w:sz w:val="20"/>
          <w:szCs w:val="20"/>
          <w:lang w:val="es-ES"/>
        </w:rPr>
        <w:t xml:space="preserve"> –Hermana</w:t>
      </w:r>
      <w:r w:rsidRPr="005D1835">
        <w:rPr>
          <w:rFonts w:cs="Calibri"/>
          <w:sz w:val="20"/>
          <w:szCs w:val="20"/>
          <w:lang w:val="es-ES"/>
        </w:rPr>
        <w:t>–</w:t>
      </w:r>
    </w:p>
    <w:p w14:paraId="39024667" w14:textId="38242EC7" w:rsidR="005D1835" w:rsidRDefault="005D1835" w:rsidP="00947612">
      <w:pPr>
        <w:pStyle w:val="ListParagraph"/>
        <w:numPr>
          <w:ilvl w:val="1"/>
          <w:numId w:val="57"/>
        </w:numPr>
        <w:rPr>
          <w:rFonts w:cs="Calibri"/>
          <w:sz w:val="20"/>
          <w:szCs w:val="20"/>
          <w:lang w:val="es-ES"/>
        </w:rPr>
      </w:pPr>
      <w:r>
        <w:rPr>
          <w:rFonts w:cs="Calibri"/>
          <w:sz w:val="20"/>
          <w:szCs w:val="20"/>
          <w:lang w:val="es-ES"/>
        </w:rPr>
        <w:t xml:space="preserve">Jose David Gallego </w:t>
      </w:r>
      <w:r w:rsidR="007A3323">
        <w:rPr>
          <w:rFonts w:cs="Calibri"/>
          <w:sz w:val="20"/>
          <w:szCs w:val="20"/>
          <w:lang w:val="es-ES"/>
        </w:rPr>
        <w:t>Mejía</w:t>
      </w:r>
      <w:r>
        <w:rPr>
          <w:rFonts w:cs="Calibri"/>
          <w:sz w:val="20"/>
          <w:szCs w:val="20"/>
          <w:lang w:val="es-ES"/>
        </w:rPr>
        <w:t xml:space="preserve"> –Hermano–</w:t>
      </w:r>
    </w:p>
    <w:p w14:paraId="6567C342" w14:textId="6C785883" w:rsidR="005D1835" w:rsidRDefault="005D1835" w:rsidP="00947612">
      <w:pPr>
        <w:pStyle w:val="ListParagraph"/>
        <w:numPr>
          <w:ilvl w:val="1"/>
          <w:numId w:val="57"/>
        </w:numPr>
        <w:rPr>
          <w:rFonts w:cs="Calibri"/>
          <w:sz w:val="20"/>
          <w:szCs w:val="20"/>
          <w:lang w:val="es-ES"/>
        </w:rPr>
      </w:pPr>
      <w:r>
        <w:rPr>
          <w:rFonts w:cs="Calibri"/>
          <w:sz w:val="20"/>
          <w:szCs w:val="20"/>
          <w:lang w:val="es-ES"/>
        </w:rPr>
        <w:t xml:space="preserve">Juan Antonio Gallego </w:t>
      </w:r>
      <w:r w:rsidR="007A3323">
        <w:rPr>
          <w:rFonts w:cs="Calibri"/>
          <w:sz w:val="20"/>
          <w:szCs w:val="20"/>
          <w:lang w:val="es-ES"/>
        </w:rPr>
        <w:t>Mejía</w:t>
      </w:r>
      <w:r>
        <w:rPr>
          <w:rFonts w:cs="Calibri"/>
          <w:sz w:val="20"/>
          <w:szCs w:val="20"/>
          <w:lang w:val="es-ES"/>
        </w:rPr>
        <w:t xml:space="preserve"> –Hermano–</w:t>
      </w:r>
    </w:p>
    <w:p w14:paraId="660794C1" w14:textId="4A64DD16" w:rsidR="005D1835" w:rsidRDefault="007A3323" w:rsidP="00947612">
      <w:pPr>
        <w:pStyle w:val="ListParagraph"/>
        <w:numPr>
          <w:ilvl w:val="1"/>
          <w:numId w:val="57"/>
        </w:numPr>
        <w:rPr>
          <w:rFonts w:cs="Calibri"/>
          <w:sz w:val="20"/>
          <w:szCs w:val="20"/>
          <w:lang w:val="es-ES"/>
        </w:rPr>
      </w:pPr>
      <w:r>
        <w:rPr>
          <w:rFonts w:cs="Calibri"/>
          <w:sz w:val="20"/>
          <w:szCs w:val="20"/>
          <w:lang w:val="es-ES"/>
        </w:rPr>
        <w:t>María</w:t>
      </w:r>
      <w:r w:rsidR="005D1835">
        <w:rPr>
          <w:rFonts w:cs="Calibri"/>
          <w:sz w:val="20"/>
          <w:szCs w:val="20"/>
          <w:lang w:val="es-ES"/>
        </w:rPr>
        <w:t xml:space="preserve"> Ofelia Gallego </w:t>
      </w:r>
      <w:r>
        <w:rPr>
          <w:rFonts w:cs="Calibri"/>
          <w:sz w:val="20"/>
          <w:szCs w:val="20"/>
          <w:lang w:val="es-ES"/>
        </w:rPr>
        <w:t>Mejía</w:t>
      </w:r>
      <w:r w:rsidR="005D1835">
        <w:rPr>
          <w:rFonts w:cs="Calibri"/>
          <w:sz w:val="20"/>
          <w:szCs w:val="20"/>
          <w:lang w:val="es-ES"/>
        </w:rPr>
        <w:t xml:space="preserve"> –Hermana–</w:t>
      </w:r>
    </w:p>
    <w:p w14:paraId="43DD03C5" w14:textId="0274B4A4" w:rsidR="005D1835" w:rsidRDefault="005D1835" w:rsidP="00947612">
      <w:pPr>
        <w:pStyle w:val="ListParagraph"/>
        <w:numPr>
          <w:ilvl w:val="1"/>
          <w:numId w:val="57"/>
        </w:numPr>
        <w:rPr>
          <w:rFonts w:cs="Calibri"/>
          <w:sz w:val="20"/>
          <w:szCs w:val="20"/>
          <w:lang w:val="es-ES"/>
        </w:rPr>
      </w:pPr>
      <w:r>
        <w:rPr>
          <w:rFonts w:cs="Calibri"/>
          <w:sz w:val="20"/>
          <w:szCs w:val="20"/>
          <w:lang w:val="es-ES"/>
        </w:rPr>
        <w:t xml:space="preserve">Nora de </w:t>
      </w:r>
      <w:r w:rsidR="007A3323">
        <w:rPr>
          <w:rFonts w:cs="Calibri"/>
          <w:sz w:val="20"/>
          <w:szCs w:val="20"/>
          <w:lang w:val="es-ES"/>
        </w:rPr>
        <w:t>Jesús</w:t>
      </w:r>
      <w:r>
        <w:rPr>
          <w:rFonts w:cs="Calibri"/>
          <w:sz w:val="20"/>
          <w:szCs w:val="20"/>
          <w:lang w:val="es-ES"/>
        </w:rPr>
        <w:t xml:space="preserve"> Gallego </w:t>
      </w:r>
      <w:r w:rsidR="007A3323">
        <w:rPr>
          <w:rFonts w:cs="Calibri"/>
          <w:sz w:val="20"/>
          <w:szCs w:val="20"/>
          <w:lang w:val="es-ES"/>
        </w:rPr>
        <w:t>Mejía</w:t>
      </w:r>
      <w:r>
        <w:rPr>
          <w:rFonts w:cs="Calibri"/>
          <w:sz w:val="20"/>
          <w:szCs w:val="20"/>
          <w:lang w:val="es-ES"/>
        </w:rPr>
        <w:t xml:space="preserve"> –Hermana–</w:t>
      </w:r>
    </w:p>
    <w:p w14:paraId="7F78B189" w14:textId="614D3968" w:rsidR="005D1835" w:rsidRDefault="005D1835" w:rsidP="00947612">
      <w:pPr>
        <w:pStyle w:val="ListParagraph"/>
        <w:numPr>
          <w:ilvl w:val="0"/>
          <w:numId w:val="57"/>
        </w:numPr>
        <w:rPr>
          <w:rFonts w:cs="Calibri"/>
          <w:sz w:val="20"/>
          <w:szCs w:val="20"/>
          <w:lang w:val="es-ES"/>
        </w:rPr>
      </w:pPr>
      <w:r>
        <w:rPr>
          <w:rFonts w:cs="Calibri"/>
          <w:sz w:val="20"/>
          <w:szCs w:val="20"/>
          <w:lang w:val="es-ES"/>
        </w:rPr>
        <w:t xml:space="preserve">Conrado Antonio Quintero </w:t>
      </w:r>
      <w:r w:rsidR="007A3323">
        <w:rPr>
          <w:rFonts w:cs="Calibri"/>
          <w:sz w:val="20"/>
          <w:szCs w:val="20"/>
          <w:lang w:val="es-ES"/>
        </w:rPr>
        <w:t>González</w:t>
      </w:r>
    </w:p>
    <w:p w14:paraId="543FCB15" w14:textId="70BFC7E9" w:rsidR="005D1835" w:rsidRDefault="005D1835" w:rsidP="00947612">
      <w:pPr>
        <w:pStyle w:val="ListParagraph"/>
        <w:numPr>
          <w:ilvl w:val="1"/>
          <w:numId w:val="57"/>
        </w:numPr>
        <w:rPr>
          <w:rFonts w:cs="Calibri"/>
          <w:sz w:val="20"/>
          <w:szCs w:val="20"/>
          <w:lang w:val="es-ES"/>
        </w:rPr>
      </w:pPr>
      <w:r>
        <w:rPr>
          <w:rFonts w:cs="Calibri"/>
          <w:sz w:val="20"/>
          <w:szCs w:val="20"/>
          <w:lang w:val="es-ES"/>
        </w:rPr>
        <w:t xml:space="preserve">Luz Dary Soto </w:t>
      </w:r>
      <w:r w:rsidR="007A3323">
        <w:rPr>
          <w:rFonts w:cs="Calibri"/>
          <w:sz w:val="20"/>
          <w:szCs w:val="20"/>
          <w:lang w:val="es-ES"/>
        </w:rPr>
        <w:t>Quinchia</w:t>
      </w:r>
      <w:r>
        <w:rPr>
          <w:rFonts w:cs="Calibri"/>
          <w:sz w:val="20"/>
          <w:szCs w:val="20"/>
          <w:lang w:val="es-ES"/>
        </w:rPr>
        <w:t xml:space="preserve"> –Compañera permanente–</w:t>
      </w:r>
    </w:p>
    <w:p w14:paraId="01CED2DA" w14:textId="2D961507" w:rsidR="007A3323" w:rsidRDefault="007A3323" w:rsidP="00947612">
      <w:pPr>
        <w:pStyle w:val="ListParagraph"/>
        <w:numPr>
          <w:ilvl w:val="1"/>
          <w:numId w:val="57"/>
        </w:numPr>
        <w:rPr>
          <w:rFonts w:cs="Calibri"/>
          <w:sz w:val="20"/>
          <w:szCs w:val="20"/>
          <w:lang w:val="es-ES"/>
        </w:rPr>
      </w:pPr>
      <w:r>
        <w:rPr>
          <w:rFonts w:cs="Calibri"/>
          <w:sz w:val="20"/>
          <w:szCs w:val="20"/>
          <w:lang w:val="es-ES"/>
        </w:rPr>
        <w:t>Jailer Antonio Soto Quinchia –Hijo–</w:t>
      </w:r>
    </w:p>
    <w:p w14:paraId="71B18090" w14:textId="40161F05" w:rsidR="007A3323" w:rsidRDefault="007A3323" w:rsidP="00947612">
      <w:pPr>
        <w:pStyle w:val="ListParagraph"/>
        <w:numPr>
          <w:ilvl w:val="1"/>
          <w:numId w:val="57"/>
        </w:numPr>
        <w:rPr>
          <w:rFonts w:cs="Calibri"/>
          <w:sz w:val="20"/>
          <w:szCs w:val="20"/>
          <w:lang w:val="es-ES"/>
        </w:rPr>
      </w:pPr>
      <w:r>
        <w:rPr>
          <w:rFonts w:cs="Calibri"/>
          <w:sz w:val="20"/>
          <w:szCs w:val="20"/>
          <w:lang w:val="es-ES"/>
        </w:rPr>
        <w:t>Darius Soto Quinchia –Hijo–</w:t>
      </w:r>
    </w:p>
    <w:p w14:paraId="2BB0CA73" w14:textId="24CC3FC5" w:rsidR="007A3323" w:rsidRDefault="007A3323" w:rsidP="00947612">
      <w:pPr>
        <w:pStyle w:val="ListParagraph"/>
        <w:numPr>
          <w:ilvl w:val="1"/>
          <w:numId w:val="57"/>
        </w:numPr>
        <w:rPr>
          <w:rFonts w:cs="Calibri"/>
          <w:sz w:val="20"/>
          <w:szCs w:val="20"/>
          <w:lang w:val="es-ES"/>
        </w:rPr>
      </w:pPr>
      <w:r>
        <w:rPr>
          <w:rFonts w:cs="Calibri"/>
          <w:sz w:val="20"/>
          <w:szCs w:val="20"/>
          <w:lang w:val="es-ES"/>
        </w:rPr>
        <w:t>Rosa Angélica González de Quintero –Madre–</w:t>
      </w:r>
    </w:p>
    <w:p w14:paraId="1B44FA38" w14:textId="5FE69DEA" w:rsidR="007A3323" w:rsidRDefault="007A3323" w:rsidP="00947612">
      <w:pPr>
        <w:pStyle w:val="ListParagraph"/>
        <w:numPr>
          <w:ilvl w:val="1"/>
          <w:numId w:val="57"/>
        </w:numPr>
        <w:rPr>
          <w:rFonts w:cs="Calibri"/>
          <w:sz w:val="20"/>
          <w:szCs w:val="20"/>
          <w:lang w:val="es-ES"/>
        </w:rPr>
      </w:pPr>
      <w:r>
        <w:rPr>
          <w:rFonts w:cs="Calibri"/>
          <w:sz w:val="20"/>
          <w:szCs w:val="20"/>
          <w:lang w:val="es-ES"/>
        </w:rPr>
        <w:t>Gilma Rosa Quintero de Castaño –Hermana–</w:t>
      </w:r>
    </w:p>
    <w:p w14:paraId="2D44F4AC" w14:textId="72A98AE4" w:rsidR="007A3323" w:rsidRDefault="007A3323" w:rsidP="00947612">
      <w:pPr>
        <w:pStyle w:val="ListParagraph"/>
        <w:numPr>
          <w:ilvl w:val="1"/>
          <w:numId w:val="57"/>
        </w:numPr>
        <w:rPr>
          <w:rFonts w:cs="Calibri"/>
          <w:sz w:val="20"/>
          <w:szCs w:val="20"/>
          <w:lang w:val="es-ES"/>
        </w:rPr>
      </w:pPr>
      <w:r>
        <w:rPr>
          <w:rFonts w:cs="Calibri"/>
          <w:sz w:val="20"/>
          <w:szCs w:val="20"/>
          <w:lang w:val="es-ES"/>
        </w:rPr>
        <w:t>Milton Alexis Quintero González –Hermano–</w:t>
      </w:r>
    </w:p>
    <w:p w14:paraId="6329F911" w14:textId="004AB8C3" w:rsidR="007A3323" w:rsidRDefault="007A3323" w:rsidP="00947612">
      <w:pPr>
        <w:pStyle w:val="ListParagraph"/>
        <w:numPr>
          <w:ilvl w:val="1"/>
          <w:numId w:val="57"/>
        </w:numPr>
        <w:rPr>
          <w:rFonts w:cs="Calibri"/>
          <w:sz w:val="20"/>
          <w:szCs w:val="20"/>
          <w:lang w:val="es-ES"/>
        </w:rPr>
      </w:pPr>
      <w:r>
        <w:rPr>
          <w:rFonts w:cs="Calibri"/>
          <w:sz w:val="20"/>
          <w:szCs w:val="20"/>
          <w:lang w:val="es-ES"/>
        </w:rPr>
        <w:t>Valentín de Jesús Quintero González –Hermano–</w:t>
      </w:r>
    </w:p>
    <w:p w14:paraId="03506A24" w14:textId="5BAAEDF5" w:rsidR="007A3323" w:rsidRDefault="007A3323" w:rsidP="00947612">
      <w:pPr>
        <w:pStyle w:val="ListParagraph"/>
        <w:numPr>
          <w:ilvl w:val="1"/>
          <w:numId w:val="57"/>
        </w:numPr>
        <w:rPr>
          <w:rFonts w:cs="Calibri"/>
          <w:sz w:val="20"/>
          <w:szCs w:val="20"/>
          <w:lang w:val="es-ES"/>
        </w:rPr>
      </w:pPr>
      <w:r>
        <w:rPr>
          <w:rFonts w:cs="Calibri"/>
          <w:sz w:val="20"/>
          <w:szCs w:val="20"/>
          <w:lang w:val="es-ES"/>
        </w:rPr>
        <w:lastRenderedPageBreak/>
        <w:t>Cesar Augusto Quintero González –Hermano–</w:t>
      </w:r>
    </w:p>
    <w:p w14:paraId="7ED149A3" w14:textId="30F4DA97" w:rsidR="007A3323" w:rsidRDefault="007A3323" w:rsidP="00947612">
      <w:pPr>
        <w:pStyle w:val="ListParagraph"/>
        <w:numPr>
          <w:ilvl w:val="1"/>
          <w:numId w:val="57"/>
        </w:numPr>
        <w:rPr>
          <w:rFonts w:cs="Calibri"/>
          <w:sz w:val="20"/>
          <w:szCs w:val="20"/>
          <w:lang w:val="es-ES"/>
        </w:rPr>
      </w:pPr>
      <w:r>
        <w:rPr>
          <w:rFonts w:cs="Calibri"/>
          <w:sz w:val="20"/>
          <w:szCs w:val="20"/>
          <w:lang w:val="es-ES"/>
        </w:rPr>
        <w:t>Víctor Manuel Quintero González –Hermano–</w:t>
      </w:r>
    </w:p>
    <w:p w14:paraId="60B4F1DE" w14:textId="144CD1E0" w:rsidR="007A3323" w:rsidRDefault="007A3323" w:rsidP="00947612">
      <w:pPr>
        <w:pStyle w:val="ListParagraph"/>
        <w:numPr>
          <w:ilvl w:val="1"/>
          <w:numId w:val="57"/>
        </w:numPr>
        <w:rPr>
          <w:rFonts w:cs="Calibri"/>
          <w:sz w:val="20"/>
          <w:szCs w:val="20"/>
          <w:lang w:val="es-ES"/>
        </w:rPr>
      </w:pPr>
      <w:r>
        <w:rPr>
          <w:rFonts w:cs="Calibri"/>
          <w:sz w:val="20"/>
          <w:szCs w:val="20"/>
          <w:lang w:val="es-ES"/>
        </w:rPr>
        <w:t>Jose Nicolás Quintero González –Hermano–</w:t>
      </w:r>
    </w:p>
    <w:p w14:paraId="00D60132" w14:textId="71CAA62C" w:rsidR="007A3323" w:rsidRDefault="007A3323" w:rsidP="00947612">
      <w:pPr>
        <w:pStyle w:val="ListParagraph"/>
        <w:numPr>
          <w:ilvl w:val="1"/>
          <w:numId w:val="57"/>
        </w:numPr>
        <w:rPr>
          <w:rFonts w:cs="Calibri"/>
          <w:sz w:val="20"/>
          <w:szCs w:val="20"/>
          <w:lang w:val="es-ES"/>
        </w:rPr>
      </w:pPr>
      <w:r>
        <w:rPr>
          <w:rFonts w:cs="Calibri"/>
          <w:sz w:val="20"/>
          <w:szCs w:val="20"/>
          <w:lang w:val="es-ES"/>
        </w:rPr>
        <w:t>Luz Dora Quintero González –Hermana–</w:t>
      </w:r>
    </w:p>
    <w:p w14:paraId="4E88F5A0" w14:textId="7F343D13" w:rsidR="007A3323" w:rsidRDefault="007A3323" w:rsidP="00947612">
      <w:pPr>
        <w:pStyle w:val="ListParagraph"/>
        <w:numPr>
          <w:ilvl w:val="1"/>
          <w:numId w:val="57"/>
        </w:numPr>
        <w:rPr>
          <w:rFonts w:cs="Calibri"/>
          <w:sz w:val="20"/>
          <w:szCs w:val="20"/>
          <w:lang w:val="es-ES"/>
        </w:rPr>
      </w:pPr>
      <w:r>
        <w:rPr>
          <w:rFonts w:cs="Calibri"/>
          <w:sz w:val="20"/>
          <w:szCs w:val="20"/>
          <w:lang w:val="es-ES"/>
        </w:rPr>
        <w:t>Bernarda del Socorro</w:t>
      </w:r>
    </w:p>
    <w:p w14:paraId="7743CD9F" w14:textId="24A0FCE6" w:rsidR="007A3323" w:rsidRDefault="007A3323" w:rsidP="00947612">
      <w:pPr>
        <w:pStyle w:val="ListParagraph"/>
        <w:numPr>
          <w:ilvl w:val="1"/>
          <w:numId w:val="57"/>
        </w:numPr>
        <w:rPr>
          <w:rFonts w:cs="Calibri"/>
          <w:sz w:val="20"/>
          <w:szCs w:val="20"/>
          <w:lang w:val="es-ES"/>
        </w:rPr>
      </w:pPr>
      <w:r>
        <w:rPr>
          <w:rFonts w:cs="Calibri"/>
          <w:sz w:val="20"/>
          <w:szCs w:val="20"/>
          <w:lang w:val="es-ES"/>
        </w:rPr>
        <w:t>Rosamary Quintero González –Hermana–</w:t>
      </w:r>
    </w:p>
    <w:p w14:paraId="48A235E6" w14:textId="1EC4BFE5" w:rsidR="007A3323" w:rsidRDefault="007A3323" w:rsidP="00947612">
      <w:pPr>
        <w:pStyle w:val="ListParagraph"/>
        <w:numPr>
          <w:ilvl w:val="1"/>
          <w:numId w:val="57"/>
        </w:numPr>
        <w:rPr>
          <w:rFonts w:cs="Calibri"/>
          <w:sz w:val="20"/>
          <w:szCs w:val="20"/>
          <w:lang w:val="es-ES"/>
        </w:rPr>
      </w:pPr>
      <w:r>
        <w:rPr>
          <w:rFonts w:cs="Calibri"/>
          <w:sz w:val="20"/>
          <w:szCs w:val="20"/>
          <w:lang w:val="es-ES"/>
        </w:rPr>
        <w:t>Blanca Nubia Quintero González –Hermana–</w:t>
      </w:r>
    </w:p>
    <w:p w14:paraId="019488F3" w14:textId="096A2F5D" w:rsidR="007A3323" w:rsidRDefault="007A3323" w:rsidP="00947612">
      <w:pPr>
        <w:pStyle w:val="ListParagraph"/>
        <w:numPr>
          <w:ilvl w:val="1"/>
          <w:numId w:val="57"/>
        </w:numPr>
        <w:rPr>
          <w:rFonts w:cs="Calibri"/>
          <w:sz w:val="20"/>
          <w:szCs w:val="20"/>
          <w:lang w:val="es-ES"/>
        </w:rPr>
      </w:pPr>
      <w:r>
        <w:rPr>
          <w:rFonts w:cs="Calibri"/>
          <w:sz w:val="20"/>
          <w:szCs w:val="20"/>
          <w:lang w:val="es-ES"/>
        </w:rPr>
        <w:t>Gloria Aleida Quintero González –Hermana–</w:t>
      </w:r>
    </w:p>
    <w:p w14:paraId="1462FCC5" w14:textId="4241776D" w:rsidR="007A3323" w:rsidRDefault="007A3323" w:rsidP="00947612">
      <w:pPr>
        <w:pStyle w:val="ListParagraph"/>
        <w:numPr>
          <w:ilvl w:val="1"/>
          <w:numId w:val="57"/>
        </w:numPr>
        <w:rPr>
          <w:rFonts w:cs="Calibri"/>
          <w:sz w:val="20"/>
          <w:szCs w:val="20"/>
          <w:lang w:val="es-ES"/>
        </w:rPr>
      </w:pPr>
      <w:r>
        <w:rPr>
          <w:rFonts w:cs="Calibri"/>
          <w:sz w:val="20"/>
          <w:szCs w:val="20"/>
          <w:lang w:val="es-ES"/>
        </w:rPr>
        <w:t>Ovidio Alberto Quintero González –Hermano–</w:t>
      </w:r>
    </w:p>
    <w:p w14:paraId="73E899EC" w14:textId="19E594CD" w:rsidR="007A3323" w:rsidRPr="005D1835" w:rsidRDefault="007A3323" w:rsidP="00947612">
      <w:pPr>
        <w:pStyle w:val="ListParagraph"/>
        <w:numPr>
          <w:ilvl w:val="1"/>
          <w:numId w:val="57"/>
        </w:numPr>
        <w:rPr>
          <w:rFonts w:cs="Calibri"/>
          <w:sz w:val="20"/>
          <w:szCs w:val="20"/>
          <w:lang w:val="es-ES"/>
        </w:rPr>
      </w:pPr>
      <w:r>
        <w:rPr>
          <w:rFonts w:cs="Calibri"/>
          <w:sz w:val="20"/>
          <w:szCs w:val="20"/>
          <w:lang w:val="es-ES"/>
        </w:rPr>
        <w:t>Liliam de los Dolores Quintero González –Hermana–</w:t>
      </w:r>
    </w:p>
    <w:sectPr w:rsidR="007A3323" w:rsidRPr="005D183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5A6B0" w14:textId="77777777" w:rsidR="008613A0" w:rsidRDefault="008613A0">
      <w:r>
        <w:separator/>
      </w:r>
    </w:p>
  </w:endnote>
  <w:endnote w:type="continuationSeparator" w:id="0">
    <w:p w14:paraId="02A772D9" w14:textId="77777777" w:rsidR="008613A0" w:rsidRDefault="0086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72D00" w14:textId="77777777" w:rsidR="006017C4" w:rsidRDefault="006017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017C4">
          <w:rPr>
            <w:noProof/>
            <w:sz w:val="16"/>
            <w:szCs w:val="22"/>
          </w:rPr>
          <w:t>6</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C6427" w14:textId="77777777" w:rsidR="008613A0" w:rsidRPr="000F35ED" w:rsidRDefault="008613A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6ACA35D" w14:textId="77777777" w:rsidR="008613A0" w:rsidRPr="000F35ED" w:rsidRDefault="008613A0" w:rsidP="000F35ED">
      <w:pPr>
        <w:rPr>
          <w:rFonts w:asciiTheme="majorHAnsi" w:hAnsiTheme="majorHAnsi"/>
          <w:sz w:val="16"/>
          <w:szCs w:val="16"/>
        </w:rPr>
      </w:pPr>
      <w:r w:rsidRPr="000F35ED">
        <w:rPr>
          <w:rFonts w:asciiTheme="majorHAnsi" w:hAnsiTheme="majorHAnsi"/>
          <w:sz w:val="16"/>
          <w:szCs w:val="16"/>
        </w:rPr>
        <w:separator/>
      </w:r>
    </w:p>
    <w:p w14:paraId="7803F2E9" w14:textId="77777777" w:rsidR="008613A0" w:rsidRPr="000F35ED" w:rsidRDefault="008613A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8797895" w14:textId="77777777" w:rsidR="008613A0" w:rsidRPr="000F35ED" w:rsidRDefault="008613A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EF5CC02" w14:textId="1EC89FCA" w:rsidR="00823E62" w:rsidRPr="0099634D" w:rsidRDefault="00823E62" w:rsidP="00823E62">
      <w:pPr>
        <w:pStyle w:val="FootnoteText"/>
        <w:ind w:firstLine="720"/>
        <w:rPr>
          <w:rFonts w:asciiTheme="majorHAnsi" w:hAnsiTheme="majorHAnsi"/>
          <w:sz w:val="16"/>
          <w:szCs w:val="16"/>
          <w:lang w:val="es-ES"/>
        </w:rPr>
      </w:pPr>
      <w:r w:rsidRPr="0099634D">
        <w:rPr>
          <w:rStyle w:val="FootnoteReference"/>
          <w:rFonts w:asciiTheme="majorHAnsi" w:hAnsiTheme="majorHAnsi"/>
          <w:sz w:val="16"/>
          <w:szCs w:val="16"/>
        </w:rPr>
        <w:footnoteRef/>
      </w:r>
      <w:r w:rsidRPr="0099634D">
        <w:rPr>
          <w:rFonts w:asciiTheme="majorHAnsi" w:hAnsiTheme="majorHAnsi"/>
          <w:sz w:val="16"/>
          <w:szCs w:val="16"/>
          <w:lang w:val="es-ES"/>
        </w:rPr>
        <w:t xml:space="preserve"> </w:t>
      </w:r>
      <w:r w:rsidRPr="0033638B">
        <w:rPr>
          <w:rFonts w:asciiTheme="majorHAnsi" w:hAnsiTheme="majorHAnsi"/>
          <w:sz w:val="16"/>
          <w:szCs w:val="16"/>
          <w:lang w:val="es-ES"/>
        </w:rPr>
        <w:t>La petición fue presentada en nombre</w:t>
      </w:r>
      <w:r w:rsidR="00636219" w:rsidRPr="0033638B">
        <w:rPr>
          <w:rFonts w:asciiTheme="majorHAnsi" w:hAnsiTheme="majorHAnsi"/>
          <w:sz w:val="16"/>
          <w:szCs w:val="16"/>
          <w:lang w:val="es-ES"/>
        </w:rPr>
        <w:t xml:space="preserve"> de seis de los aserradores asesinados</w:t>
      </w:r>
      <w:r w:rsidR="00053406" w:rsidRPr="0033638B">
        <w:rPr>
          <w:rFonts w:asciiTheme="majorHAnsi" w:hAnsiTheme="majorHAnsi"/>
          <w:sz w:val="16"/>
          <w:szCs w:val="16"/>
          <w:lang w:val="es-ES"/>
        </w:rPr>
        <w:t xml:space="preserve"> y sus</w:t>
      </w:r>
      <w:r w:rsidRPr="0033638B">
        <w:rPr>
          <w:rFonts w:asciiTheme="majorHAnsi" w:hAnsiTheme="majorHAnsi"/>
          <w:sz w:val="16"/>
          <w:szCs w:val="16"/>
          <w:lang w:val="es-ES"/>
        </w:rPr>
        <w:t xml:space="preserve"> familiares </w:t>
      </w:r>
      <w:r w:rsidRPr="0033638B">
        <w:rPr>
          <w:rFonts w:asciiTheme="majorHAnsi" w:hAnsiTheme="majorHAnsi"/>
          <w:sz w:val="16"/>
          <w:szCs w:val="16"/>
          <w:lang w:val="es-AR"/>
        </w:rPr>
        <w:t>individualizados en documento anexo.</w:t>
      </w:r>
    </w:p>
  </w:footnote>
  <w:footnote w:id="3">
    <w:p w14:paraId="06C1BEFA" w14:textId="058ABD9D" w:rsidR="004A6A54" w:rsidRPr="0099634D" w:rsidRDefault="004A6A54" w:rsidP="007E7C82">
      <w:pPr>
        <w:pStyle w:val="FootnoteText"/>
        <w:ind w:firstLine="720"/>
        <w:rPr>
          <w:rFonts w:asciiTheme="majorHAnsi" w:hAnsiTheme="majorHAnsi"/>
          <w:sz w:val="16"/>
          <w:szCs w:val="16"/>
          <w:lang w:val="es-ES"/>
        </w:rPr>
      </w:pPr>
      <w:r w:rsidRPr="0099634D">
        <w:rPr>
          <w:rStyle w:val="FootnoteReference"/>
          <w:rFonts w:asciiTheme="majorHAnsi" w:hAnsiTheme="majorHAnsi"/>
        </w:rPr>
        <w:footnoteRef/>
      </w:r>
      <w:r w:rsidRPr="0099634D">
        <w:rPr>
          <w:rStyle w:val="FootnoteReference"/>
          <w:rFonts w:asciiTheme="majorHAnsi" w:hAnsiTheme="majorHAnsi"/>
          <w:lang w:val="es-ES"/>
        </w:rPr>
        <w:t xml:space="preserve"> </w:t>
      </w:r>
      <w:r w:rsidR="00F7326A" w:rsidRPr="0099634D">
        <w:rPr>
          <w:rFonts w:asciiTheme="majorHAnsi" w:hAnsiTheme="majorHAnsi"/>
          <w:sz w:val="16"/>
          <w:szCs w:val="16"/>
          <w:lang w:val="es-ES"/>
        </w:rPr>
        <w:t>Conforme a lo dispuesto en el artículo 17.2.a del Reglamento de la Comisión, el Comisionado Luis Ernesto Vargas Silva, de nacionalidad colombiana, no participó en el debate ni en la decisión del presente asunto.</w:t>
      </w:r>
    </w:p>
  </w:footnote>
  <w:footnote w:id="4">
    <w:p w14:paraId="6E1FCB57" w14:textId="551DAFB9" w:rsidR="00C720F4" w:rsidRPr="0099634D" w:rsidRDefault="00C720F4" w:rsidP="00C720F4">
      <w:pPr>
        <w:pStyle w:val="FootnoteText"/>
        <w:ind w:firstLine="720"/>
        <w:rPr>
          <w:rFonts w:asciiTheme="majorHAnsi" w:hAnsiTheme="majorHAnsi"/>
          <w:sz w:val="16"/>
          <w:szCs w:val="16"/>
          <w:lang w:val="es-ES"/>
        </w:rPr>
      </w:pPr>
      <w:r w:rsidRPr="0099634D">
        <w:rPr>
          <w:rStyle w:val="FootnoteReference"/>
          <w:rFonts w:asciiTheme="majorHAnsi" w:hAnsiTheme="majorHAnsi"/>
        </w:rPr>
        <w:footnoteRef/>
      </w:r>
      <w:r w:rsidRPr="0099634D">
        <w:rPr>
          <w:rStyle w:val="FootnoteReference"/>
          <w:rFonts w:asciiTheme="majorHAnsi" w:hAnsiTheme="majorHAnsi"/>
          <w:lang w:val="es-ES"/>
        </w:rPr>
        <w:t xml:space="preserve"> </w:t>
      </w:r>
      <w:r w:rsidRPr="0099634D">
        <w:rPr>
          <w:rFonts w:asciiTheme="majorHAnsi" w:hAnsiTheme="majorHAnsi"/>
          <w:sz w:val="16"/>
          <w:szCs w:val="16"/>
          <w:lang w:val="es-ES"/>
        </w:rPr>
        <w:t>En adelante “Convención” o “Convención Americana”.</w:t>
      </w:r>
    </w:p>
  </w:footnote>
  <w:footnote w:id="5">
    <w:p w14:paraId="79F07139" w14:textId="77777777" w:rsidR="008E3BFE" w:rsidRPr="0099634D" w:rsidRDefault="008E3BFE" w:rsidP="000337EF">
      <w:pPr>
        <w:pStyle w:val="FootnoteText"/>
        <w:spacing w:after="120"/>
        <w:ind w:firstLine="720"/>
        <w:jc w:val="both"/>
        <w:rPr>
          <w:rFonts w:asciiTheme="majorHAnsi" w:hAnsiTheme="majorHAnsi"/>
          <w:sz w:val="16"/>
          <w:szCs w:val="16"/>
          <w:lang w:val="es-ES"/>
        </w:rPr>
      </w:pPr>
      <w:r w:rsidRPr="0099634D">
        <w:rPr>
          <w:rStyle w:val="FootnoteReference"/>
          <w:rFonts w:asciiTheme="majorHAnsi" w:hAnsiTheme="majorHAnsi"/>
          <w:sz w:val="16"/>
          <w:szCs w:val="16"/>
        </w:rPr>
        <w:footnoteRef/>
      </w:r>
      <w:r w:rsidRPr="0099634D">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8613A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1CD3D" w14:textId="77777777" w:rsidR="006017C4" w:rsidRDefault="006017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57385E2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F366C59"/>
    <w:multiLevelType w:val="hybridMultilevel"/>
    <w:tmpl w:val="EFAE6A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FE2761C"/>
    <w:multiLevelType w:val="hybridMultilevel"/>
    <w:tmpl w:val="5FC8DC9A"/>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2"/>
  </w:num>
  <w:num w:numId="4">
    <w:abstractNumId w:val="20"/>
  </w:num>
  <w:num w:numId="5">
    <w:abstractNumId w:val="45"/>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4"/>
  </w:num>
  <w:num w:numId="42">
    <w:abstractNumId w:val="46"/>
  </w:num>
  <w:num w:numId="43">
    <w:abstractNumId w:val="47"/>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9"/>
  </w:num>
  <w:num w:numId="52">
    <w:abstractNumId w:val="38"/>
  </w:num>
  <w:num w:numId="53">
    <w:abstractNumId w:val="49"/>
  </w:num>
  <w:num w:numId="54">
    <w:abstractNumId w:val="42"/>
  </w:num>
  <w:num w:numId="55">
    <w:abstractNumId w:val="4"/>
  </w:num>
  <w:num w:numId="56">
    <w:abstractNumId w:val="40"/>
  </w:num>
  <w:num w:numId="57">
    <w:abstractNumId w:val="43"/>
  </w:num>
  <w:num w:numId="58">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337EF"/>
    <w:rsid w:val="00040C3A"/>
    <w:rsid w:val="000419AD"/>
    <w:rsid w:val="00053406"/>
    <w:rsid w:val="0006411D"/>
    <w:rsid w:val="000716C5"/>
    <w:rsid w:val="00075E23"/>
    <w:rsid w:val="00081637"/>
    <w:rsid w:val="0009344A"/>
    <w:rsid w:val="000A392E"/>
    <w:rsid w:val="000A575F"/>
    <w:rsid w:val="000C718A"/>
    <w:rsid w:val="000D10DB"/>
    <w:rsid w:val="000E5EB5"/>
    <w:rsid w:val="000E7626"/>
    <w:rsid w:val="000F35ED"/>
    <w:rsid w:val="001006C8"/>
    <w:rsid w:val="00102E1B"/>
    <w:rsid w:val="00107131"/>
    <w:rsid w:val="0010736F"/>
    <w:rsid w:val="00113F73"/>
    <w:rsid w:val="00121CC2"/>
    <w:rsid w:val="00133EE5"/>
    <w:rsid w:val="00150230"/>
    <w:rsid w:val="00167A34"/>
    <w:rsid w:val="00170D98"/>
    <w:rsid w:val="00174EB8"/>
    <w:rsid w:val="00175558"/>
    <w:rsid w:val="0019739C"/>
    <w:rsid w:val="001A7870"/>
    <w:rsid w:val="001B3A00"/>
    <w:rsid w:val="001C1B41"/>
    <w:rsid w:val="001D65EF"/>
    <w:rsid w:val="001E31CC"/>
    <w:rsid w:val="001E49E7"/>
    <w:rsid w:val="001F2CED"/>
    <w:rsid w:val="001F7201"/>
    <w:rsid w:val="001F76DC"/>
    <w:rsid w:val="00221A35"/>
    <w:rsid w:val="00223A29"/>
    <w:rsid w:val="002250A3"/>
    <w:rsid w:val="00235217"/>
    <w:rsid w:val="0023565B"/>
    <w:rsid w:val="00246D1F"/>
    <w:rsid w:val="00247403"/>
    <w:rsid w:val="00247542"/>
    <w:rsid w:val="00266B61"/>
    <w:rsid w:val="0026712A"/>
    <w:rsid w:val="002704DB"/>
    <w:rsid w:val="00270B26"/>
    <w:rsid w:val="00275C06"/>
    <w:rsid w:val="00285D3E"/>
    <w:rsid w:val="00296B01"/>
    <w:rsid w:val="002A0AAE"/>
    <w:rsid w:val="002A5820"/>
    <w:rsid w:val="002B4252"/>
    <w:rsid w:val="002C43F8"/>
    <w:rsid w:val="002D2B26"/>
    <w:rsid w:val="002D7EA2"/>
    <w:rsid w:val="002E187C"/>
    <w:rsid w:val="00302733"/>
    <w:rsid w:val="00314078"/>
    <w:rsid w:val="0031535D"/>
    <w:rsid w:val="003239B8"/>
    <w:rsid w:val="00323A19"/>
    <w:rsid w:val="0033169F"/>
    <w:rsid w:val="0033638B"/>
    <w:rsid w:val="00344977"/>
    <w:rsid w:val="00346C95"/>
    <w:rsid w:val="003502B5"/>
    <w:rsid w:val="00356185"/>
    <w:rsid w:val="00356503"/>
    <w:rsid w:val="00360380"/>
    <w:rsid w:val="00365C7E"/>
    <w:rsid w:val="0037519E"/>
    <w:rsid w:val="0038076A"/>
    <w:rsid w:val="00386CF0"/>
    <w:rsid w:val="00390E0D"/>
    <w:rsid w:val="00391506"/>
    <w:rsid w:val="00394E6F"/>
    <w:rsid w:val="003B70FB"/>
    <w:rsid w:val="003C676B"/>
    <w:rsid w:val="003D3BC2"/>
    <w:rsid w:val="003E6CA1"/>
    <w:rsid w:val="003F6996"/>
    <w:rsid w:val="0040350E"/>
    <w:rsid w:val="00406495"/>
    <w:rsid w:val="004065A8"/>
    <w:rsid w:val="004141B7"/>
    <w:rsid w:val="004165C2"/>
    <w:rsid w:val="004224ED"/>
    <w:rsid w:val="00433707"/>
    <w:rsid w:val="00435F1D"/>
    <w:rsid w:val="00441ECB"/>
    <w:rsid w:val="00445193"/>
    <w:rsid w:val="00462C1B"/>
    <w:rsid w:val="004675DD"/>
    <w:rsid w:val="00467B7E"/>
    <w:rsid w:val="00473BB4"/>
    <w:rsid w:val="00477592"/>
    <w:rsid w:val="00486F1C"/>
    <w:rsid w:val="0049419D"/>
    <w:rsid w:val="004A6A54"/>
    <w:rsid w:val="004B0E91"/>
    <w:rsid w:val="004C20D2"/>
    <w:rsid w:val="004C2312"/>
    <w:rsid w:val="004C4B62"/>
    <w:rsid w:val="004C54C9"/>
    <w:rsid w:val="004C6489"/>
    <w:rsid w:val="004D4ABA"/>
    <w:rsid w:val="004D6025"/>
    <w:rsid w:val="004E2649"/>
    <w:rsid w:val="004E4E28"/>
    <w:rsid w:val="00501399"/>
    <w:rsid w:val="0050356C"/>
    <w:rsid w:val="005053FD"/>
    <w:rsid w:val="0050633D"/>
    <w:rsid w:val="00507BC4"/>
    <w:rsid w:val="005128E4"/>
    <w:rsid w:val="005133DB"/>
    <w:rsid w:val="00525560"/>
    <w:rsid w:val="005301B5"/>
    <w:rsid w:val="00540784"/>
    <w:rsid w:val="00544C49"/>
    <w:rsid w:val="005516A1"/>
    <w:rsid w:val="00563557"/>
    <w:rsid w:val="0057402A"/>
    <w:rsid w:val="005771D0"/>
    <w:rsid w:val="0059191A"/>
    <w:rsid w:val="005921FF"/>
    <w:rsid w:val="005A24ED"/>
    <w:rsid w:val="005A6D0E"/>
    <w:rsid w:val="005B52B0"/>
    <w:rsid w:val="005B6806"/>
    <w:rsid w:val="005C4225"/>
    <w:rsid w:val="005D1835"/>
    <w:rsid w:val="005F0DAD"/>
    <w:rsid w:val="005F0F33"/>
    <w:rsid w:val="005F7B29"/>
    <w:rsid w:val="00600DEB"/>
    <w:rsid w:val="006017C4"/>
    <w:rsid w:val="0061572D"/>
    <w:rsid w:val="006218E4"/>
    <w:rsid w:val="00627C9F"/>
    <w:rsid w:val="006311E9"/>
    <w:rsid w:val="00632354"/>
    <w:rsid w:val="00636219"/>
    <w:rsid w:val="00642810"/>
    <w:rsid w:val="00652333"/>
    <w:rsid w:val="00660D68"/>
    <w:rsid w:val="0068009E"/>
    <w:rsid w:val="006833CA"/>
    <w:rsid w:val="00692219"/>
    <w:rsid w:val="006A17D2"/>
    <w:rsid w:val="006A73E6"/>
    <w:rsid w:val="006B2D5C"/>
    <w:rsid w:val="006B3118"/>
    <w:rsid w:val="006C4EB1"/>
    <w:rsid w:val="006E0166"/>
    <w:rsid w:val="006E7B34"/>
    <w:rsid w:val="006F1612"/>
    <w:rsid w:val="0070697F"/>
    <w:rsid w:val="0072199C"/>
    <w:rsid w:val="00722C9F"/>
    <w:rsid w:val="007253B8"/>
    <w:rsid w:val="0073741F"/>
    <w:rsid w:val="00737B77"/>
    <w:rsid w:val="00746DAE"/>
    <w:rsid w:val="0076643F"/>
    <w:rsid w:val="00771711"/>
    <w:rsid w:val="00777F63"/>
    <w:rsid w:val="007A3323"/>
    <w:rsid w:val="007A3AB5"/>
    <w:rsid w:val="007A5817"/>
    <w:rsid w:val="007B05C4"/>
    <w:rsid w:val="007B60E9"/>
    <w:rsid w:val="007B6CC3"/>
    <w:rsid w:val="007C3334"/>
    <w:rsid w:val="007C662A"/>
    <w:rsid w:val="007D2B98"/>
    <w:rsid w:val="007D683D"/>
    <w:rsid w:val="007E0718"/>
    <w:rsid w:val="007E21BC"/>
    <w:rsid w:val="007E7C82"/>
    <w:rsid w:val="007F0ED2"/>
    <w:rsid w:val="007F588D"/>
    <w:rsid w:val="00803F1C"/>
    <w:rsid w:val="0080600E"/>
    <w:rsid w:val="008152D8"/>
    <w:rsid w:val="00817612"/>
    <w:rsid w:val="00823E62"/>
    <w:rsid w:val="00825705"/>
    <w:rsid w:val="008338A4"/>
    <w:rsid w:val="00834D49"/>
    <w:rsid w:val="00837C45"/>
    <w:rsid w:val="00844730"/>
    <w:rsid w:val="008457C2"/>
    <w:rsid w:val="00845A98"/>
    <w:rsid w:val="00857A82"/>
    <w:rsid w:val="008613A0"/>
    <w:rsid w:val="0087227D"/>
    <w:rsid w:val="00873836"/>
    <w:rsid w:val="00885737"/>
    <w:rsid w:val="00890650"/>
    <w:rsid w:val="00897E12"/>
    <w:rsid w:val="008A7E0F"/>
    <w:rsid w:val="008B12F5"/>
    <w:rsid w:val="008D67AD"/>
    <w:rsid w:val="008D768D"/>
    <w:rsid w:val="008E3759"/>
    <w:rsid w:val="008E3BFE"/>
    <w:rsid w:val="008F1912"/>
    <w:rsid w:val="008F3E63"/>
    <w:rsid w:val="008F7610"/>
    <w:rsid w:val="0090270B"/>
    <w:rsid w:val="009041DC"/>
    <w:rsid w:val="00917B5A"/>
    <w:rsid w:val="00920A58"/>
    <w:rsid w:val="00920A8C"/>
    <w:rsid w:val="0092468F"/>
    <w:rsid w:val="00931CE6"/>
    <w:rsid w:val="00934A2C"/>
    <w:rsid w:val="00947612"/>
    <w:rsid w:val="00961251"/>
    <w:rsid w:val="009653A4"/>
    <w:rsid w:val="0096706E"/>
    <w:rsid w:val="00974491"/>
    <w:rsid w:val="00975C4E"/>
    <w:rsid w:val="00981FBA"/>
    <w:rsid w:val="0099634D"/>
    <w:rsid w:val="00997BC5"/>
    <w:rsid w:val="009A4F41"/>
    <w:rsid w:val="009B381B"/>
    <w:rsid w:val="009B7EC5"/>
    <w:rsid w:val="009D1753"/>
    <w:rsid w:val="009D7611"/>
    <w:rsid w:val="009E0B61"/>
    <w:rsid w:val="009E3E1D"/>
    <w:rsid w:val="009E53DE"/>
    <w:rsid w:val="009F6836"/>
    <w:rsid w:val="00A113FC"/>
    <w:rsid w:val="00A11E44"/>
    <w:rsid w:val="00A15DEA"/>
    <w:rsid w:val="00A328B3"/>
    <w:rsid w:val="00A50FCF"/>
    <w:rsid w:val="00A528D1"/>
    <w:rsid w:val="00A610CD"/>
    <w:rsid w:val="00A758AA"/>
    <w:rsid w:val="00A90385"/>
    <w:rsid w:val="00AA09A2"/>
    <w:rsid w:val="00AA7996"/>
    <w:rsid w:val="00AB69FD"/>
    <w:rsid w:val="00AC19CB"/>
    <w:rsid w:val="00AE2638"/>
    <w:rsid w:val="00AE5488"/>
    <w:rsid w:val="00AE6F91"/>
    <w:rsid w:val="00AF13E4"/>
    <w:rsid w:val="00AF5571"/>
    <w:rsid w:val="00B07341"/>
    <w:rsid w:val="00B30539"/>
    <w:rsid w:val="00B314DB"/>
    <w:rsid w:val="00B361F2"/>
    <w:rsid w:val="00B3718B"/>
    <w:rsid w:val="00B44290"/>
    <w:rsid w:val="00B4632A"/>
    <w:rsid w:val="00B52190"/>
    <w:rsid w:val="00B530F1"/>
    <w:rsid w:val="00B578AE"/>
    <w:rsid w:val="00B67B96"/>
    <w:rsid w:val="00B94FE3"/>
    <w:rsid w:val="00BA00C3"/>
    <w:rsid w:val="00BA276C"/>
    <w:rsid w:val="00BB306F"/>
    <w:rsid w:val="00BB754E"/>
    <w:rsid w:val="00BC1EE3"/>
    <w:rsid w:val="00BD18C1"/>
    <w:rsid w:val="00BD4B89"/>
    <w:rsid w:val="00BD5922"/>
    <w:rsid w:val="00BE388F"/>
    <w:rsid w:val="00BE4CF1"/>
    <w:rsid w:val="00BF02CB"/>
    <w:rsid w:val="00BF6FD8"/>
    <w:rsid w:val="00C03680"/>
    <w:rsid w:val="00C054DF"/>
    <w:rsid w:val="00C21762"/>
    <w:rsid w:val="00C21FEF"/>
    <w:rsid w:val="00C2279C"/>
    <w:rsid w:val="00C24543"/>
    <w:rsid w:val="00C256A2"/>
    <w:rsid w:val="00C51515"/>
    <w:rsid w:val="00C5660B"/>
    <w:rsid w:val="00C66B72"/>
    <w:rsid w:val="00C704D6"/>
    <w:rsid w:val="00C720F4"/>
    <w:rsid w:val="00C75791"/>
    <w:rsid w:val="00C87AC4"/>
    <w:rsid w:val="00C933AC"/>
    <w:rsid w:val="00C9567A"/>
    <w:rsid w:val="00C96E84"/>
    <w:rsid w:val="00CA1B02"/>
    <w:rsid w:val="00CB212D"/>
    <w:rsid w:val="00CB2660"/>
    <w:rsid w:val="00CB3868"/>
    <w:rsid w:val="00CC5E90"/>
    <w:rsid w:val="00CD046C"/>
    <w:rsid w:val="00CE076C"/>
    <w:rsid w:val="00CE103D"/>
    <w:rsid w:val="00CE273C"/>
    <w:rsid w:val="00CE5199"/>
    <w:rsid w:val="00CE66D5"/>
    <w:rsid w:val="00CF637A"/>
    <w:rsid w:val="00D059DE"/>
    <w:rsid w:val="00D05ABD"/>
    <w:rsid w:val="00D13FCE"/>
    <w:rsid w:val="00D306D1"/>
    <w:rsid w:val="00D30800"/>
    <w:rsid w:val="00D34786"/>
    <w:rsid w:val="00D37BFC"/>
    <w:rsid w:val="00D47A8E"/>
    <w:rsid w:val="00D47D04"/>
    <w:rsid w:val="00D5035A"/>
    <w:rsid w:val="00D51BFA"/>
    <w:rsid w:val="00D52D14"/>
    <w:rsid w:val="00D712D3"/>
    <w:rsid w:val="00D71422"/>
    <w:rsid w:val="00D7262B"/>
    <w:rsid w:val="00D72DC6"/>
    <w:rsid w:val="00D7558D"/>
    <w:rsid w:val="00D7561F"/>
    <w:rsid w:val="00D761A6"/>
    <w:rsid w:val="00D81D92"/>
    <w:rsid w:val="00D876F9"/>
    <w:rsid w:val="00D87769"/>
    <w:rsid w:val="00DA52CB"/>
    <w:rsid w:val="00DA7B5F"/>
    <w:rsid w:val="00DC11E7"/>
    <w:rsid w:val="00DC7023"/>
    <w:rsid w:val="00DC7506"/>
    <w:rsid w:val="00DC769A"/>
    <w:rsid w:val="00DD2F4F"/>
    <w:rsid w:val="00DD3D86"/>
    <w:rsid w:val="00DF1EC4"/>
    <w:rsid w:val="00E0340B"/>
    <w:rsid w:val="00E04A90"/>
    <w:rsid w:val="00E0551F"/>
    <w:rsid w:val="00E219C7"/>
    <w:rsid w:val="00E4118C"/>
    <w:rsid w:val="00E43157"/>
    <w:rsid w:val="00E44FDF"/>
    <w:rsid w:val="00E461CE"/>
    <w:rsid w:val="00E720CA"/>
    <w:rsid w:val="00E84EB5"/>
    <w:rsid w:val="00E85662"/>
    <w:rsid w:val="00E8789F"/>
    <w:rsid w:val="00E97B71"/>
    <w:rsid w:val="00EA3D34"/>
    <w:rsid w:val="00EB454D"/>
    <w:rsid w:val="00EC33A0"/>
    <w:rsid w:val="00ED549D"/>
    <w:rsid w:val="00ED76BE"/>
    <w:rsid w:val="00EE00E9"/>
    <w:rsid w:val="00EE2606"/>
    <w:rsid w:val="00EF5234"/>
    <w:rsid w:val="00EF619B"/>
    <w:rsid w:val="00F00B55"/>
    <w:rsid w:val="00F02AD1"/>
    <w:rsid w:val="00F16820"/>
    <w:rsid w:val="00F253CC"/>
    <w:rsid w:val="00F37106"/>
    <w:rsid w:val="00F519CF"/>
    <w:rsid w:val="00F56BA5"/>
    <w:rsid w:val="00F60E22"/>
    <w:rsid w:val="00F62FBB"/>
    <w:rsid w:val="00F7326A"/>
    <w:rsid w:val="00F81395"/>
    <w:rsid w:val="00F81BB8"/>
    <w:rsid w:val="00F917D1"/>
    <w:rsid w:val="00F947B2"/>
    <w:rsid w:val="00F9653B"/>
    <w:rsid w:val="00F97D4F"/>
    <w:rsid w:val="00FB1F13"/>
    <w:rsid w:val="00FB62CF"/>
    <w:rsid w:val="00FD3C3B"/>
    <w:rsid w:val="00FE07DD"/>
    <w:rsid w:val="00FE5D90"/>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53FD"/>
    <w:rPr>
      <w:sz w:val="16"/>
      <w:szCs w:val="16"/>
    </w:rPr>
  </w:style>
  <w:style w:type="paragraph" w:styleId="CommentText">
    <w:name w:val="annotation text"/>
    <w:basedOn w:val="Normal"/>
    <w:link w:val="CommentTextChar"/>
    <w:uiPriority w:val="99"/>
    <w:semiHidden/>
    <w:unhideWhenUsed/>
    <w:rsid w:val="005053FD"/>
    <w:rPr>
      <w:sz w:val="20"/>
      <w:szCs w:val="20"/>
    </w:rPr>
  </w:style>
  <w:style w:type="character" w:customStyle="1" w:styleId="CommentTextChar">
    <w:name w:val="Comment Text Char"/>
    <w:basedOn w:val="DefaultParagraphFont"/>
    <w:link w:val="CommentText"/>
    <w:uiPriority w:val="99"/>
    <w:semiHidden/>
    <w:rsid w:val="005053FD"/>
    <w:rPr>
      <w:lang w:val="en-US" w:eastAsia="en-US"/>
    </w:rPr>
  </w:style>
  <w:style w:type="paragraph" w:styleId="CommentSubject">
    <w:name w:val="annotation subject"/>
    <w:basedOn w:val="CommentText"/>
    <w:next w:val="CommentText"/>
    <w:link w:val="CommentSubjectChar"/>
    <w:uiPriority w:val="99"/>
    <w:semiHidden/>
    <w:unhideWhenUsed/>
    <w:rsid w:val="005053FD"/>
    <w:rPr>
      <w:b/>
      <w:bCs/>
    </w:rPr>
  </w:style>
  <w:style w:type="character" w:customStyle="1" w:styleId="CommentSubjectChar">
    <w:name w:val="Comment Subject Char"/>
    <w:basedOn w:val="CommentTextChar"/>
    <w:link w:val="CommentSubject"/>
    <w:uiPriority w:val="99"/>
    <w:semiHidden/>
    <w:rsid w:val="005053F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61810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0998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907B2"/>
    <w:rsid w:val="00147758"/>
    <w:rsid w:val="001649D2"/>
    <w:rsid w:val="00200821"/>
    <w:rsid w:val="00380F53"/>
    <w:rsid w:val="00394049"/>
    <w:rsid w:val="004F2DF8"/>
    <w:rsid w:val="0060264A"/>
    <w:rsid w:val="006B4072"/>
    <w:rsid w:val="0072233C"/>
    <w:rsid w:val="007546FC"/>
    <w:rsid w:val="00775297"/>
    <w:rsid w:val="007F44C0"/>
    <w:rsid w:val="008A5E63"/>
    <w:rsid w:val="009A261B"/>
    <w:rsid w:val="00AC15A4"/>
    <w:rsid w:val="00B0336C"/>
    <w:rsid w:val="00CE37A7"/>
    <w:rsid w:val="00DE7283"/>
    <w:rsid w:val="00E20063"/>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9A289-B40E-47DE-897E-AA5D4E332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2490</Words>
  <Characters>13322</Characters>
  <Application>Microsoft Office Word</Application>
  <DocSecurity>0</DocSecurity>
  <Lines>289</Lines>
  <Paragraphs>91</Paragraphs>
  <ScaleCrop>false</ScaleCrop>
  <Company/>
  <LinksUpToDate>false</LinksUpToDate>
  <CharactersWithSpaces>15721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129/18</dc:title>
  <dc:creator/>
  <cp:lastModifiedBy/>
  <cp:revision>1</cp:revision>
  <dcterms:created xsi:type="dcterms:W3CDTF">2019-01-07T13:31:00Z</dcterms:created>
  <dcterms:modified xsi:type="dcterms:W3CDTF">2019-01-07T13:31:00Z</dcterms:modified>
</cp:coreProperties>
</file>