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E4262" w:rsidRDefault="00D306D1" w:rsidP="00AE4262">
      <w:pPr>
        <w:jc w:val="both"/>
        <w:rPr>
          <w:rFonts w:asciiTheme="majorHAnsi" w:hAnsiTheme="majorHAnsi" w:cs="Univers"/>
          <w:b/>
          <w:bCs/>
          <w:sz w:val="22"/>
          <w:szCs w:val="22"/>
          <w:lang w:val="es-ES"/>
        </w:rPr>
      </w:pPr>
      <w:bookmarkStart w:id="0" w:name="_GoBack"/>
      <w:bookmarkEnd w:id="0"/>
      <w:r w:rsidRPr="00AE426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EAEC6E2" wp14:editId="0210995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7C8F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E426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1D7F5F3" wp14:editId="650346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027B" w:rsidRDefault="0069027B" w:rsidP="00AE5488">
                            <w:r>
                              <w:rPr>
                                <w:noProof/>
                              </w:rPr>
                              <w:drawing>
                                <wp:inline distT="0" distB="0" distL="0" distR="0" wp14:anchorId="2D72AA57" wp14:editId="22FD86C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F125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7F5F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69027B" w:rsidRDefault="0069027B" w:rsidP="00AE5488">
                      <w:r>
                        <w:rPr>
                          <w:noProof/>
                        </w:rPr>
                        <w:drawing>
                          <wp:inline distT="0" distB="0" distL="0" distR="0" wp14:anchorId="2D72AA57" wp14:editId="22FD86C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F125E">
                        <w:t xml:space="preserve">  </w:t>
                      </w:r>
                    </w:p>
                  </w:txbxContent>
                </v:textbox>
              </v:shape>
            </w:pict>
          </mc:Fallback>
        </mc:AlternateContent>
      </w:r>
      <w:r w:rsidR="000F125E" w:rsidRPr="00AE4262">
        <w:rPr>
          <w:rFonts w:asciiTheme="majorHAnsi" w:hAnsiTheme="majorHAnsi" w:cs="Univers"/>
          <w:b/>
          <w:bCs/>
          <w:sz w:val="22"/>
          <w:szCs w:val="22"/>
          <w:lang w:val="es-ES"/>
        </w:rPr>
        <w:t xml:space="preserve">                                                                                                                                                                                            </w:t>
      </w:r>
    </w:p>
    <w:p w:rsidR="00040C3A" w:rsidRPr="00AE4262" w:rsidRDefault="00040C3A" w:rsidP="00AE4262">
      <w:pPr>
        <w:tabs>
          <w:tab w:val="center" w:pos="5400"/>
        </w:tabs>
        <w:suppressAutoHyphens/>
        <w:jc w:val="both"/>
        <w:rPr>
          <w:rFonts w:asciiTheme="majorHAnsi" w:hAnsiTheme="majorHAnsi"/>
          <w:sz w:val="22"/>
          <w:szCs w:val="22"/>
          <w:lang w:val="es-ES"/>
        </w:rPr>
      </w:pPr>
    </w:p>
    <w:p w:rsidR="00040C3A" w:rsidRPr="00AE4262" w:rsidRDefault="00040C3A" w:rsidP="00AE4262">
      <w:pPr>
        <w:tabs>
          <w:tab w:val="center" w:pos="5400"/>
        </w:tabs>
        <w:suppressAutoHyphens/>
        <w:jc w:val="both"/>
        <w:rPr>
          <w:rFonts w:asciiTheme="majorHAnsi" w:hAnsiTheme="majorHAnsi"/>
          <w:sz w:val="22"/>
          <w:szCs w:val="22"/>
          <w:lang w:val="es-ES"/>
        </w:rPr>
      </w:pPr>
    </w:p>
    <w:p w:rsidR="005128E4" w:rsidRPr="00AE4262" w:rsidRDefault="005128E4" w:rsidP="00AE4262">
      <w:pPr>
        <w:tabs>
          <w:tab w:val="center" w:pos="5400"/>
        </w:tabs>
        <w:suppressAutoHyphens/>
        <w:rPr>
          <w:rFonts w:asciiTheme="majorHAnsi" w:hAnsiTheme="majorHAnsi"/>
          <w:sz w:val="22"/>
          <w:szCs w:val="22"/>
          <w:lang w:val="es-ES"/>
        </w:rPr>
      </w:pPr>
    </w:p>
    <w:p w:rsidR="005128E4" w:rsidRPr="00AE4262" w:rsidRDefault="005128E4" w:rsidP="00AE4262">
      <w:pPr>
        <w:tabs>
          <w:tab w:val="center" w:pos="5400"/>
        </w:tabs>
        <w:suppressAutoHyphens/>
        <w:rPr>
          <w:rFonts w:asciiTheme="majorHAnsi" w:hAnsiTheme="majorHAnsi"/>
          <w:sz w:val="22"/>
          <w:szCs w:val="22"/>
          <w:lang w:val="es-ES"/>
        </w:rPr>
      </w:pPr>
    </w:p>
    <w:p w:rsidR="005128E4" w:rsidRPr="00AE4262" w:rsidRDefault="005128E4" w:rsidP="00AE4262">
      <w:pPr>
        <w:tabs>
          <w:tab w:val="center" w:pos="5400"/>
        </w:tabs>
        <w:suppressAutoHyphens/>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5B52B0" w:rsidRPr="00AE4262" w:rsidRDefault="005B52B0" w:rsidP="00AE4262">
      <w:pPr>
        <w:tabs>
          <w:tab w:val="center" w:pos="5400"/>
        </w:tabs>
        <w:suppressAutoHyphens/>
        <w:jc w:val="center"/>
        <w:rPr>
          <w:rFonts w:asciiTheme="majorHAnsi" w:hAnsiTheme="majorHAnsi"/>
          <w:sz w:val="22"/>
          <w:szCs w:val="22"/>
          <w:lang w:val="es-ES"/>
        </w:rPr>
      </w:pPr>
    </w:p>
    <w:p w:rsidR="005B52B0" w:rsidRPr="00AE4262" w:rsidRDefault="005B52B0" w:rsidP="00AE4262">
      <w:pPr>
        <w:tabs>
          <w:tab w:val="center" w:pos="5400"/>
        </w:tabs>
        <w:suppressAutoHyphens/>
        <w:jc w:val="center"/>
        <w:rPr>
          <w:rFonts w:asciiTheme="majorHAnsi" w:hAnsiTheme="majorHAnsi"/>
          <w:sz w:val="22"/>
          <w:szCs w:val="22"/>
          <w:lang w:val="es-ES"/>
        </w:rPr>
      </w:pPr>
    </w:p>
    <w:p w:rsidR="005B52B0" w:rsidRPr="00AE4262" w:rsidRDefault="005B52B0"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040C3A" w:rsidRPr="00AE4262" w:rsidRDefault="004E2649" w:rsidP="00AE4262">
      <w:pPr>
        <w:tabs>
          <w:tab w:val="center" w:pos="5400"/>
        </w:tabs>
        <w:suppressAutoHyphens/>
        <w:jc w:val="center"/>
        <w:rPr>
          <w:rFonts w:asciiTheme="majorHAnsi" w:hAnsiTheme="majorHAnsi"/>
          <w:sz w:val="22"/>
          <w:szCs w:val="22"/>
          <w:lang w:val="es-ES"/>
        </w:rPr>
      </w:pPr>
      <w:r w:rsidRPr="00AE426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B3363F" wp14:editId="7B34E1C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027B" w:rsidRPr="004E2649" w:rsidRDefault="0069027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117161">
                              <w:rPr>
                                <w:rFonts w:asciiTheme="minorHAnsi" w:hAnsiTheme="minorHAnsi"/>
                                <w:color w:val="FFFFFF" w:themeColor="background1"/>
                                <w:sz w:val="22"/>
                                <w:lang w:val="pt-BR"/>
                              </w:rPr>
                              <w:t>68</w:t>
                            </w:r>
                          </w:p>
                          <w:p w:rsidR="0069027B" w:rsidRPr="004E2649" w:rsidRDefault="0069027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17161">
                              <w:rPr>
                                <w:rFonts w:asciiTheme="minorHAnsi" w:hAnsiTheme="minorHAnsi"/>
                                <w:color w:val="FFFFFF" w:themeColor="background1"/>
                                <w:sz w:val="22"/>
                                <w:lang w:val="pt-BR"/>
                              </w:rPr>
                              <w:t>69</w:t>
                            </w:r>
                          </w:p>
                          <w:p w:rsidR="0069027B" w:rsidRPr="0049487A" w:rsidRDefault="0011716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69027B" w:rsidRPr="0049487A">
                              <w:rPr>
                                <w:rFonts w:asciiTheme="minorHAnsi" w:hAnsiTheme="minorHAnsi"/>
                                <w:color w:val="FFFFFF" w:themeColor="background1"/>
                                <w:sz w:val="22"/>
                                <w:lang w:val="es-ES"/>
                              </w:rPr>
                              <w:t xml:space="preserve"> 2018</w:t>
                            </w:r>
                          </w:p>
                          <w:p w:rsidR="0069027B" w:rsidRPr="0049487A" w:rsidRDefault="0069027B" w:rsidP="007A5817">
                            <w:pPr>
                              <w:spacing w:line="276" w:lineRule="auto"/>
                              <w:jc w:val="right"/>
                              <w:rPr>
                                <w:rFonts w:asciiTheme="minorHAnsi" w:hAnsiTheme="minorHAnsi"/>
                                <w:color w:val="FFFFFF" w:themeColor="background1"/>
                                <w:sz w:val="22"/>
                                <w:lang w:val="es-ES"/>
                              </w:rPr>
                            </w:pPr>
                            <w:r w:rsidRPr="0049487A">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3363F" id="Text Box 8" o:spid="_x0000_s1027"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" filled="f" stroked="f" strokeweight=".5pt">
                <v:textbox>
                  <w:txbxContent>
                    <w:p w:rsidR="0069027B" w:rsidRPr="004E2649" w:rsidRDefault="0069027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117161">
                        <w:rPr>
                          <w:rFonts w:asciiTheme="minorHAnsi" w:hAnsiTheme="minorHAnsi"/>
                          <w:color w:val="FFFFFF" w:themeColor="background1"/>
                          <w:sz w:val="22"/>
                          <w:lang w:val="pt-BR"/>
                        </w:rPr>
                        <w:t>68</w:t>
                      </w:r>
                    </w:p>
                    <w:p w:rsidR="0069027B" w:rsidRPr="004E2649" w:rsidRDefault="0069027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17161">
                        <w:rPr>
                          <w:rFonts w:asciiTheme="minorHAnsi" w:hAnsiTheme="minorHAnsi"/>
                          <w:color w:val="FFFFFF" w:themeColor="background1"/>
                          <w:sz w:val="22"/>
                          <w:lang w:val="pt-BR"/>
                        </w:rPr>
                        <w:t>69</w:t>
                      </w:r>
                    </w:p>
                    <w:p w:rsidR="0069027B" w:rsidRPr="0049487A" w:rsidRDefault="0011716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69027B" w:rsidRPr="0049487A">
                        <w:rPr>
                          <w:rFonts w:asciiTheme="minorHAnsi" w:hAnsiTheme="minorHAnsi"/>
                          <w:color w:val="FFFFFF" w:themeColor="background1"/>
                          <w:sz w:val="22"/>
                          <w:lang w:val="es-ES"/>
                        </w:rPr>
                        <w:t xml:space="preserve"> 2018</w:t>
                      </w:r>
                    </w:p>
                    <w:p w:rsidR="0069027B" w:rsidRPr="0049487A" w:rsidRDefault="0069027B" w:rsidP="007A5817">
                      <w:pPr>
                        <w:spacing w:line="276" w:lineRule="auto"/>
                        <w:jc w:val="right"/>
                        <w:rPr>
                          <w:rFonts w:asciiTheme="minorHAnsi" w:hAnsiTheme="minorHAnsi"/>
                          <w:color w:val="FFFFFF" w:themeColor="background1"/>
                          <w:sz w:val="22"/>
                          <w:lang w:val="es-ES"/>
                        </w:rPr>
                      </w:pPr>
                      <w:r w:rsidRPr="0049487A">
                        <w:rPr>
                          <w:rFonts w:asciiTheme="minorHAnsi" w:hAnsiTheme="minorHAnsi"/>
                          <w:color w:val="FFFFFF" w:themeColor="background1"/>
                          <w:sz w:val="22"/>
                          <w:lang w:val="es-ES"/>
                        </w:rPr>
                        <w:t>Original: español</w:t>
                      </w:r>
                    </w:p>
                  </w:txbxContent>
                </v:textbox>
              </v:shape>
            </w:pict>
          </mc:Fallback>
        </mc:AlternateContent>
      </w:r>
    </w:p>
    <w:p w:rsidR="00040C3A" w:rsidRPr="00AE4262" w:rsidRDefault="00EC2512" w:rsidP="00AE4262">
      <w:pPr>
        <w:tabs>
          <w:tab w:val="center" w:pos="5400"/>
        </w:tabs>
        <w:suppressAutoHyphens/>
        <w:jc w:val="center"/>
        <w:rPr>
          <w:rFonts w:asciiTheme="majorHAnsi" w:hAnsiTheme="majorHAnsi"/>
          <w:sz w:val="22"/>
          <w:szCs w:val="22"/>
          <w:lang w:val="es-ES"/>
        </w:rPr>
      </w:pPr>
      <w:r w:rsidRPr="00AE426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6C5A545" wp14:editId="57622128">
                <wp:simplePos x="0" y="0"/>
                <wp:positionH relativeFrom="column">
                  <wp:posOffset>1312319</wp:posOffset>
                </wp:positionH>
                <wp:positionV relativeFrom="paragraph">
                  <wp:posOffset>110119</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027B" w:rsidRPr="004E2649" w:rsidRDefault="0069027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17161">
                              <w:rPr>
                                <w:rFonts w:asciiTheme="majorHAnsi" w:hAnsiTheme="majorHAnsi" w:cs="Arial"/>
                                <w:b/>
                                <w:bCs/>
                                <w:color w:val="0D0D0D" w:themeColor="text1" w:themeTint="F2"/>
                                <w:sz w:val="36"/>
                                <w:szCs w:val="22"/>
                                <w:lang w:val="es-ES_tradnl"/>
                              </w:rPr>
                              <w:t>59</w:t>
                            </w:r>
                            <w:r>
                              <w:rPr>
                                <w:rFonts w:asciiTheme="majorHAnsi" w:hAnsiTheme="majorHAnsi" w:cs="Arial"/>
                                <w:b/>
                                <w:bCs/>
                                <w:color w:val="0D0D0D" w:themeColor="text1" w:themeTint="F2"/>
                                <w:sz w:val="36"/>
                                <w:szCs w:val="22"/>
                                <w:lang w:val="es-ES_tradnl"/>
                              </w:rPr>
                              <w:t>/18</w:t>
                            </w:r>
                          </w:p>
                          <w:p w:rsidR="0069027B" w:rsidRPr="00AE4B22" w:rsidRDefault="0069027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871</w:t>
                            </w:r>
                            <w:r w:rsidRPr="00AE4B22">
                              <w:rPr>
                                <w:rFonts w:asciiTheme="majorHAnsi" w:hAnsiTheme="majorHAnsi" w:cs="Arial"/>
                                <w:b/>
                                <w:color w:val="0D0D0D" w:themeColor="text1" w:themeTint="F2"/>
                                <w:sz w:val="36"/>
                                <w:szCs w:val="22"/>
                                <w:lang w:val="es-ES_tradnl"/>
                              </w:rPr>
                              <w:t xml:space="preserve">-08 </w:t>
                            </w:r>
                          </w:p>
                          <w:p w:rsidR="0069027B" w:rsidRPr="00AE4B22" w:rsidRDefault="003E085B" w:rsidP="00997BC5">
                            <w:pPr>
                              <w:spacing w:line="276" w:lineRule="auto"/>
                              <w:rPr>
                                <w:rFonts w:asciiTheme="majorHAnsi" w:hAnsiTheme="majorHAnsi" w:cs="Arial"/>
                                <w:color w:val="0D0D0D" w:themeColor="text1" w:themeTint="F2"/>
                                <w:szCs w:val="22"/>
                                <w:lang w:val="es-ES_tradnl"/>
                              </w:rPr>
                            </w:pPr>
                            <w:r w:rsidRPr="00030BAA">
                              <w:rPr>
                                <w:rFonts w:asciiTheme="majorHAnsi" w:hAnsiTheme="majorHAnsi" w:cs="Arial"/>
                                <w:color w:val="0D0D0D" w:themeColor="text1" w:themeTint="F2"/>
                                <w:szCs w:val="22"/>
                                <w:lang w:val="es-ES_tradnl"/>
                              </w:rPr>
                              <w:t xml:space="preserve">INFORME DE </w:t>
                            </w:r>
                            <w:r w:rsidR="0069027B" w:rsidRPr="00030BAA">
                              <w:rPr>
                                <w:rFonts w:asciiTheme="majorHAnsi" w:hAnsiTheme="majorHAnsi" w:cs="Arial"/>
                                <w:color w:val="0D0D0D" w:themeColor="text1" w:themeTint="F2"/>
                                <w:szCs w:val="22"/>
                                <w:lang w:val="es-ES_tradnl"/>
                              </w:rPr>
                              <w:t>ADMISIBILIDAD</w:t>
                            </w:r>
                            <w:r w:rsidR="0069027B" w:rsidRPr="00AE4B22">
                              <w:rPr>
                                <w:rFonts w:asciiTheme="majorHAnsi" w:hAnsiTheme="majorHAnsi" w:cs="Arial"/>
                                <w:color w:val="0D0D0D" w:themeColor="text1" w:themeTint="F2"/>
                                <w:szCs w:val="22"/>
                                <w:lang w:val="es-ES_tradnl"/>
                              </w:rPr>
                              <w:t xml:space="preserve"> </w:t>
                            </w:r>
                          </w:p>
                          <w:p w:rsidR="0069027B" w:rsidRPr="00AE4B22" w:rsidRDefault="0069027B" w:rsidP="00997BC5">
                            <w:pPr>
                              <w:spacing w:line="276" w:lineRule="auto"/>
                              <w:rPr>
                                <w:rFonts w:asciiTheme="majorHAnsi" w:hAnsiTheme="majorHAnsi" w:cs="Arial"/>
                                <w:color w:val="0D0D0D" w:themeColor="text1" w:themeTint="F2"/>
                                <w:szCs w:val="22"/>
                                <w:lang w:val="es-ES_tradnl"/>
                              </w:rPr>
                            </w:pPr>
                            <w:bookmarkStart w:id="1" w:name="_ftnref1"/>
                          </w:p>
                          <w:p w:rsidR="0069027B" w:rsidRPr="00AE4B22" w:rsidRDefault="0069027B" w:rsidP="00997BC5">
                            <w:pPr>
                              <w:spacing w:line="276" w:lineRule="auto"/>
                              <w:rPr>
                                <w:rFonts w:asciiTheme="majorHAnsi" w:hAnsiTheme="majorHAnsi" w:cs="Arial"/>
                                <w:color w:val="0D0D0D" w:themeColor="text1" w:themeTint="F2"/>
                                <w:szCs w:val="22"/>
                                <w:lang w:val="es-ES"/>
                              </w:rPr>
                            </w:pPr>
                            <w:r w:rsidRPr="00AE4B22">
                              <w:rPr>
                                <w:rFonts w:asciiTheme="majorHAnsi" w:hAnsiTheme="majorHAnsi" w:cs="Arial"/>
                                <w:color w:val="0D0D0D" w:themeColor="text1" w:themeTint="F2"/>
                                <w:szCs w:val="22"/>
                                <w:lang w:val="es-ES_tradnl"/>
                              </w:rPr>
                              <w:t>TATIANA MARISA BARR</w:t>
                            </w:r>
                            <w:r w:rsidRPr="00AE4B22">
                              <w:rPr>
                                <w:rFonts w:asciiTheme="majorHAnsi" w:hAnsiTheme="majorHAnsi" w:cs="Arial"/>
                                <w:color w:val="0D0D0D" w:themeColor="text1" w:themeTint="F2"/>
                                <w:szCs w:val="22"/>
                                <w:lang w:val="es-ES"/>
                              </w:rPr>
                              <w:t xml:space="preserve">ÍA MARDONES </w:t>
                            </w:r>
                            <w:bookmarkEnd w:id="1"/>
                            <w:r w:rsidR="00D247AC" w:rsidRPr="00AE4B22">
                              <w:rPr>
                                <w:rFonts w:asciiTheme="majorHAnsi" w:hAnsiTheme="majorHAnsi" w:cs="Arial"/>
                                <w:color w:val="0D0D0D" w:themeColor="text1" w:themeTint="F2"/>
                                <w:szCs w:val="22"/>
                                <w:lang w:val="es-ES"/>
                              </w:rPr>
                              <w:t>y B.B.A.B.</w:t>
                            </w:r>
                          </w:p>
                          <w:p w:rsidR="0069027B" w:rsidRPr="0010736F" w:rsidRDefault="0069027B" w:rsidP="00997BC5">
                            <w:pPr>
                              <w:spacing w:line="276" w:lineRule="auto"/>
                              <w:rPr>
                                <w:rFonts w:asciiTheme="majorHAnsi" w:hAnsiTheme="majorHAnsi" w:cs="Arial"/>
                                <w:color w:val="0D0D0D" w:themeColor="text1" w:themeTint="F2"/>
                                <w:szCs w:val="22"/>
                                <w:lang w:val="es-ES"/>
                              </w:rPr>
                            </w:pPr>
                            <w:r w:rsidRPr="00AE4B22">
                              <w:rPr>
                                <w:rFonts w:asciiTheme="majorHAnsi" w:hAnsiTheme="majorHAnsi" w:cs="Arial"/>
                                <w:color w:val="0D0D0D" w:themeColor="text1" w:themeTint="F2"/>
                                <w:szCs w:val="22"/>
                                <w:lang w:val="es-ES_tradnl"/>
                              </w:rPr>
                              <w:t>CHILE</w:t>
                            </w:r>
                          </w:p>
                          <w:p w:rsidR="0069027B" w:rsidRPr="00AE5488" w:rsidRDefault="0069027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A545" id="Text Box 5" o:spid="_x0000_s1028" type="#_x0000_t202" style="position:absolute;left:0;text-align:left;margin-left:103.35pt;margin-top:8.6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" filled="f" stroked="f" strokeweight=".5pt">
                <v:textbox>
                  <w:txbxContent>
                    <w:p w:rsidR="0069027B" w:rsidRPr="004E2649" w:rsidRDefault="0069027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17161">
                        <w:rPr>
                          <w:rFonts w:asciiTheme="majorHAnsi" w:hAnsiTheme="majorHAnsi" w:cs="Arial"/>
                          <w:b/>
                          <w:bCs/>
                          <w:color w:val="0D0D0D" w:themeColor="text1" w:themeTint="F2"/>
                          <w:sz w:val="36"/>
                          <w:szCs w:val="22"/>
                          <w:lang w:val="es-ES_tradnl"/>
                        </w:rPr>
                        <w:t>59</w:t>
                      </w:r>
                      <w:r>
                        <w:rPr>
                          <w:rFonts w:asciiTheme="majorHAnsi" w:hAnsiTheme="majorHAnsi" w:cs="Arial"/>
                          <w:b/>
                          <w:bCs/>
                          <w:color w:val="0D0D0D" w:themeColor="text1" w:themeTint="F2"/>
                          <w:sz w:val="36"/>
                          <w:szCs w:val="22"/>
                          <w:lang w:val="es-ES_tradnl"/>
                        </w:rPr>
                        <w:t>/18</w:t>
                      </w:r>
                    </w:p>
                    <w:p w:rsidR="0069027B" w:rsidRPr="00AE4B22" w:rsidRDefault="0069027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871</w:t>
                      </w:r>
                      <w:r w:rsidRPr="00AE4B22">
                        <w:rPr>
                          <w:rFonts w:asciiTheme="majorHAnsi" w:hAnsiTheme="majorHAnsi" w:cs="Arial"/>
                          <w:b/>
                          <w:color w:val="0D0D0D" w:themeColor="text1" w:themeTint="F2"/>
                          <w:sz w:val="36"/>
                          <w:szCs w:val="22"/>
                          <w:lang w:val="es-ES_tradnl"/>
                        </w:rPr>
                        <w:t xml:space="preserve">-08 </w:t>
                      </w:r>
                    </w:p>
                    <w:p w:rsidR="0069027B" w:rsidRPr="00AE4B22" w:rsidRDefault="003E085B" w:rsidP="00997BC5">
                      <w:pPr>
                        <w:spacing w:line="276" w:lineRule="auto"/>
                        <w:rPr>
                          <w:rFonts w:asciiTheme="majorHAnsi" w:hAnsiTheme="majorHAnsi" w:cs="Arial"/>
                          <w:color w:val="0D0D0D" w:themeColor="text1" w:themeTint="F2"/>
                          <w:szCs w:val="22"/>
                          <w:lang w:val="es-ES_tradnl"/>
                        </w:rPr>
                      </w:pPr>
                      <w:r w:rsidRPr="00030BAA">
                        <w:rPr>
                          <w:rFonts w:asciiTheme="majorHAnsi" w:hAnsiTheme="majorHAnsi" w:cs="Arial"/>
                          <w:color w:val="0D0D0D" w:themeColor="text1" w:themeTint="F2"/>
                          <w:szCs w:val="22"/>
                          <w:lang w:val="es-ES_tradnl"/>
                        </w:rPr>
                        <w:t xml:space="preserve">INFORME DE </w:t>
                      </w:r>
                      <w:r w:rsidR="0069027B" w:rsidRPr="00030BAA">
                        <w:rPr>
                          <w:rFonts w:asciiTheme="majorHAnsi" w:hAnsiTheme="majorHAnsi" w:cs="Arial"/>
                          <w:color w:val="0D0D0D" w:themeColor="text1" w:themeTint="F2"/>
                          <w:szCs w:val="22"/>
                          <w:lang w:val="es-ES_tradnl"/>
                        </w:rPr>
                        <w:t>ADMISIBILIDAD</w:t>
                      </w:r>
                      <w:r w:rsidR="0069027B" w:rsidRPr="00AE4B22">
                        <w:rPr>
                          <w:rFonts w:asciiTheme="majorHAnsi" w:hAnsiTheme="majorHAnsi" w:cs="Arial"/>
                          <w:color w:val="0D0D0D" w:themeColor="text1" w:themeTint="F2"/>
                          <w:szCs w:val="22"/>
                          <w:lang w:val="es-ES_tradnl"/>
                        </w:rPr>
                        <w:t xml:space="preserve"> </w:t>
                      </w:r>
                    </w:p>
                    <w:p w:rsidR="0069027B" w:rsidRPr="00AE4B22" w:rsidRDefault="0069027B" w:rsidP="00997BC5">
                      <w:pPr>
                        <w:spacing w:line="276" w:lineRule="auto"/>
                        <w:rPr>
                          <w:rFonts w:asciiTheme="majorHAnsi" w:hAnsiTheme="majorHAnsi" w:cs="Arial"/>
                          <w:color w:val="0D0D0D" w:themeColor="text1" w:themeTint="F2"/>
                          <w:szCs w:val="22"/>
                          <w:lang w:val="es-ES_tradnl"/>
                        </w:rPr>
                      </w:pPr>
                      <w:bookmarkStart w:id="2" w:name="_ftnref1"/>
                    </w:p>
                    <w:p w:rsidR="0069027B" w:rsidRPr="00AE4B22" w:rsidRDefault="0069027B" w:rsidP="00997BC5">
                      <w:pPr>
                        <w:spacing w:line="276" w:lineRule="auto"/>
                        <w:rPr>
                          <w:rFonts w:asciiTheme="majorHAnsi" w:hAnsiTheme="majorHAnsi" w:cs="Arial"/>
                          <w:color w:val="0D0D0D" w:themeColor="text1" w:themeTint="F2"/>
                          <w:szCs w:val="22"/>
                          <w:lang w:val="es-ES"/>
                        </w:rPr>
                      </w:pPr>
                      <w:r w:rsidRPr="00AE4B22">
                        <w:rPr>
                          <w:rFonts w:asciiTheme="majorHAnsi" w:hAnsiTheme="majorHAnsi" w:cs="Arial"/>
                          <w:color w:val="0D0D0D" w:themeColor="text1" w:themeTint="F2"/>
                          <w:szCs w:val="22"/>
                          <w:lang w:val="es-ES_tradnl"/>
                        </w:rPr>
                        <w:t>TATIANA MARISA BARR</w:t>
                      </w:r>
                      <w:r w:rsidRPr="00AE4B22">
                        <w:rPr>
                          <w:rFonts w:asciiTheme="majorHAnsi" w:hAnsiTheme="majorHAnsi" w:cs="Arial"/>
                          <w:color w:val="0D0D0D" w:themeColor="text1" w:themeTint="F2"/>
                          <w:szCs w:val="22"/>
                          <w:lang w:val="es-ES"/>
                        </w:rPr>
                        <w:t xml:space="preserve">ÍA MARDONES </w:t>
                      </w:r>
                      <w:bookmarkEnd w:id="2"/>
                      <w:r w:rsidR="00D247AC" w:rsidRPr="00AE4B22">
                        <w:rPr>
                          <w:rFonts w:asciiTheme="majorHAnsi" w:hAnsiTheme="majorHAnsi" w:cs="Arial"/>
                          <w:color w:val="0D0D0D" w:themeColor="text1" w:themeTint="F2"/>
                          <w:szCs w:val="22"/>
                          <w:lang w:val="es-ES"/>
                        </w:rPr>
                        <w:t>y B.B.A.B.</w:t>
                      </w:r>
                    </w:p>
                    <w:p w:rsidR="0069027B" w:rsidRPr="0010736F" w:rsidRDefault="0069027B" w:rsidP="00997BC5">
                      <w:pPr>
                        <w:spacing w:line="276" w:lineRule="auto"/>
                        <w:rPr>
                          <w:rFonts w:asciiTheme="majorHAnsi" w:hAnsiTheme="majorHAnsi" w:cs="Arial"/>
                          <w:color w:val="0D0D0D" w:themeColor="text1" w:themeTint="F2"/>
                          <w:szCs w:val="22"/>
                          <w:lang w:val="es-ES"/>
                        </w:rPr>
                      </w:pPr>
                      <w:r w:rsidRPr="00AE4B22">
                        <w:rPr>
                          <w:rFonts w:asciiTheme="majorHAnsi" w:hAnsiTheme="majorHAnsi" w:cs="Arial"/>
                          <w:color w:val="0D0D0D" w:themeColor="text1" w:themeTint="F2"/>
                          <w:szCs w:val="22"/>
                          <w:lang w:val="es-ES_tradnl"/>
                        </w:rPr>
                        <w:t>CHILE</w:t>
                      </w:r>
                    </w:p>
                    <w:p w:rsidR="0069027B" w:rsidRPr="00AE5488" w:rsidRDefault="0069027B" w:rsidP="007A5817">
                      <w:pPr>
                        <w:rPr>
                          <w:color w:val="0D0D0D" w:themeColor="text1" w:themeTint="F2"/>
                          <w:lang w:val="es-ES_tradnl"/>
                        </w:rPr>
                      </w:pPr>
                    </w:p>
                  </w:txbxContent>
                </v:textbox>
              </v:shape>
            </w:pict>
          </mc:Fallback>
        </mc:AlternateContent>
      </w:r>
    </w:p>
    <w:p w:rsidR="00040C3A" w:rsidRPr="00AE4262" w:rsidRDefault="00040C3A"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cs="Arial"/>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5128E4" w:rsidRPr="00AE4262" w:rsidRDefault="005128E4"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5128E4" w:rsidRPr="00AE4262" w:rsidRDefault="005128E4" w:rsidP="00AE4262">
      <w:pPr>
        <w:tabs>
          <w:tab w:val="center" w:pos="5400"/>
        </w:tabs>
        <w:suppressAutoHyphens/>
        <w:jc w:val="center"/>
        <w:rPr>
          <w:rFonts w:asciiTheme="majorHAnsi" w:hAnsiTheme="majorHAnsi"/>
          <w:sz w:val="22"/>
          <w:szCs w:val="22"/>
          <w:lang w:val="es-ES"/>
        </w:rPr>
      </w:pPr>
    </w:p>
    <w:p w:rsidR="005128E4" w:rsidRPr="00AE4262" w:rsidRDefault="005128E4" w:rsidP="00AE4262">
      <w:pPr>
        <w:tabs>
          <w:tab w:val="center" w:pos="5400"/>
        </w:tabs>
        <w:suppressAutoHyphens/>
        <w:jc w:val="center"/>
        <w:rPr>
          <w:rFonts w:asciiTheme="majorHAnsi" w:hAnsiTheme="majorHAnsi"/>
          <w:sz w:val="22"/>
          <w:szCs w:val="22"/>
          <w:lang w:val="es-ES"/>
        </w:rPr>
      </w:pPr>
    </w:p>
    <w:p w:rsidR="005128E4" w:rsidRPr="00AE4262" w:rsidRDefault="005128E4"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040C3A" w:rsidRPr="00AE4262" w:rsidRDefault="00040C3A" w:rsidP="00AE4262">
      <w:pPr>
        <w:tabs>
          <w:tab w:val="center" w:pos="5400"/>
        </w:tabs>
        <w:suppressAutoHyphens/>
        <w:jc w:val="center"/>
        <w:rPr>
          <w:rFonts w:asciiTheme="majorHAnsi" w:hAnsiTheme="majorHAnsi"/>
          <w:sz w:val="22"/>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90270B" w:rsidP="00AE4262">
      <w:pPr>
        <w:tabs>
          <w:tab w:val="center" w:pos="5400"/>
        </w:tabs>
        <w:suppressAutoHyphens/>
        <w:jc w:val="center"/>
        <w:rPr>
          <w:rFonts w:asciiTheme="majorHAnsi" w:hAnsiTheme="majorHAnsi"/>
          <w:sz w:val="18"/>
          <w:szCs w:val="22"/>
          <w:lang w:val="es-ES"/>
        </w:rPr>
      </w:pPr>
      <w:r w:rsidRPr="00AE426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A9ED43E" wp14:editId="6A41511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027B" w:rsidRPr="00890650" w:rsidRDefault="0069027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117161">
                              <w:rPr>
                                <w:rFonts w:asciiTheme="majorHAnsi" w:hAnsiTheme="majorHAnsi"/>
                                <w:color w:val="0D0D0D" w:themeColor="text1" w:themeTint="F2"/>
                                <w:sz w:val="18"/>
                                <w:szCs w:val="20"/>
                                <w:lang w:val="es-ES"/>
                              </w:rPr>
                              <w:t>212</w:t>
                            </w:r>
                            <w:r w:rsidR="004D75FF">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t xml:space="preserve"> celebrada el </w:t>
                            </w:r>
                            <w:r w:rsidR="00117161">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t xml:space="preserve"> de </w:t>
                            </w:r>
                            <w:r w:rsidR="00117161">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D039FE">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117161">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11716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D039FE">
                              <w:rPr>
                                <w:rFonts w:asciiTheme="majorHAnsi" w:hAnsiTheme="majorHAnsi" w:cs="Univers"/>
                                <w:color w:val="0D0D0D" w:themeColor="text1" w:themeTint="F2"/>
                                <w:sz w:val="18"/>
                                <w:szCs w:val="20"/>
                                <w:lang w:val="es-ES_tradnl"/>
                              </w:rPr>
                              <w:t>.</w:t>
                            </w:r>
                          </w:p>
                          <w:p w:rsidR="0069027B" w:rsidRPr="007A5817" w:rsidRDefault="0069027B" w:rsidP="00247403">
                            <w:pPr>
                              <w:tabs>
                                <w:tab w:val="center" w:pos="5400"/>
                              </w:tabs>
                              <w:suppressAutoHyphens/>
                              <w:spacing w:before="60"/>
                              <w:rPr>
                                <w:rFonts w:asciiTheme="minorHAnsi" w:hAnsiTheme="minorHAnsi" w:cs="Univers"/>
                                <w:color w:val="0D0D0D" w:themeColor="text1" w:themeTint="F2"/>
                                <w:sz w:val="20"/>
                                <w:szCs w:val="20"/>
                                <w:lang w:val="es-ES"/>
                              </w:rPr>
                            </w:pPr>
                          </w:p>
                          <w:p w:rsidR="0069027B" w:rsidRPr="00167A34" w:rsidRDefault="0069027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ED43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9027B" w:rsidRPr="00890650" w:rsidRDefault="0069027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117161">
                        <w:rPr>
                          <w:rFonts w:asciiTheme="majorHAnsi" w:hAnsiTheme="majorHAnsi"/>
                          <w:color w:val="0D0D0D" w:themeColor="text1" w:themeTint="F2"/>
                          <w:sz w:val="18"/>
                          <w:szCs w:val="20"/>
                          <w:lang w:val="es-ES"/>
                        </w:rPr>
                        <w:t>212</w:t>
                      </w:r>
                      <w:r w:rsidR="004D75FF">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t xml:space="preserve"> celebrada el </w:t>
                      </w:r>
                      <w:r w:rsidR="00117161">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t xml:space="preserve"> de </w:t>
                      </w:r>
                      <w:r w:rsidR="00117161">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D039FE">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117161">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11716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D039FE">
                        <w:rPr>
                          <w:rFonts w:asciiTheme="majorHAnsi" w:hAnsiTheme="majorHAnsi" w:cs="Univers"/>
                          <w:color w:val="0D0D0D" w:themeColor="text1" w:themeTint="F2"/>
                          <w:sz w:val="18"/>
                          <w:szCs w:val="20"/>
                          <w:lang w:val="es-ES_tradnl"/>
                        </w:rPr>
                        <w:t>.</w:t>
                      </w:r>
                    </w:p>
                    <w:p w:rsidR="0069027B" w:rsidRPr="007A5817" w:rsidRDefault="0069027B" w:rsidP="00247403">
                      <w:pPr>
                        <w:tabs>
                          <w:tab w:val="center" w:pos="5400"/>
                        </w:tabs>
                        <w:suppressAutoHyphens/>
                        <w:spacing w:before="60"/>
                        <w:rPr>
                          <w:rFonts w:asciiTheme="minorHAnsi" w:hAnsiTheme="minorHAnsi" w:cs="Univers"/>
                          <w:color w:val="0D0D0D" w:themeColor="text1" w:themeTint="F2"/>
                          <w:sz w:val="20"/>
                          <w:szCs w:val="20"/>
                          <w:lang w:val="es-ES"/>
                        </w:rPr>
                      </w:pPr>
                    </w:p>
                    <w:p w:rsidR="0069027B" w:rsidRPr="00167A34" w:rsidRDefault="0069027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A50FCF" w:rsidP="00AE4262">
      <w:pPr>
        <w:tabs>
          <w:tab w:val="center" w:pos="5400"/>
        </w:tabs>
        <w:suppressAutoHyphens/>
        <w:jc w:val="center"/>
        <w:rPr>
          <w:rFonts w:asciiTheme="majorHAnsi" w:hAnsiTheme="majorHAnsi"/>
          <w:sz w:val="18"/>
          <w:szCs w:val="22"/>
          <w:lang w:val="es-ES"/>
        </w:rPr>
      </w:pPr>
    </w:p>
    <w:p w:rsidR="00A50FCF" w:rsidRPr="00AE4262" w:rsidRDefault="0090270B" w:rsidP="00AE4262">
      <w:pPr>
        <w:tabs>
          <w:tab w:val="center" w:pos="5400"/>
        </w:tabs>
        <w:suppressAutoHyphens/>
        <w:jc w:val="center"/>
        <w:rPr>
          <w:rFonts w:asciiTheme="majorHAnsi" w:hAnsiTheme="majorHAnsi"/>
          <w:sz w:val="18"/>
          <w:szCs w:val="22"/>
          <w:lang w:val="es-ES"/>
        </w:rPr>
      </w:pPr>
      <w:r w:rsidRPr="00AE426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6D2031A" wp14:editId="21CDEB6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027B" w:rsidRPr="007B05C4" w:rsidRDefault="0069027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7161" w:rsidRPr="00117161">
                              <w:rPr>
                                <w:rFonts w:asciiTheme="majorHAnsi" w:hAnsiTheme="majorHAnsi"/>
                                <w:color w:val="595959" w:themeColor="text1" w:themeTint="A6"/>
                                <w:sz w:val="18"/>
                                <w:szCs w:val="18"/>
                                <w:lang w:val="pt-BR"/>
                              </w:rPr>
                              <w:t>59</w:t>
                            </w:r>
                            <w:r w:rsidRPr="00117161">
                              <w:rPr>
                                <w:rFonts w:asciiTheme="majorHAnsi" w:hAnsiTheme="majorHAnsi"/>
                                <w:color w:val="595959" w:themeColor="text1" w:themeTint="A6"/>
                                <w:sz w:val="18"/>
                                <w:szCs w:val="18"/>
                                <w:lang w:val="pt-BR"/>
                              </w:rPr>
                              <w:t>/</w:t>
                            </w:r>
                            <w:r w:rsidR="007F2E3F" w:rsidRPr="00117161">
                              <w:rPr>
                                <w:rFonts w:asciiTheme="majorHAnsi" w:hAnsiTheme="majorHAnsi"/>
                                <w:color w:val="595959" w:themeColor="text1" w:themeTint="A6"/>
                                <w:sz w:val="18"/>
                                <w:szCs w:val="18"/>
                                <w:lang w:val="pt-BR"/>
                              </w:rPr>
                              <w:t>18</w:t>
                            </w:r>
                            <w:r w:rsidR="003E085B" w:rsidRPr="00117161">
                              <w:rPr>
                                <w:rFonts w:asciiTheme="majorHAnsi" w:hAnsiTheme="majorHAnsi"/>
                                <w:color w:val="595959" w:themeColor="text1" w:themeTint="A6"/>
                                <w:sz w:val="18"/>
                                <w:szCs w:val="18"/>
                                <w:lang w:val="pt-BR"/>
                              </w:rPr>
                              <w:t xml:space="preserve">. </w:t>
                            </w:r>
                            <w:r w:rsidR="003E085B">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 xml:space="preserve">dmisibilidad. </w:t>
                            </w:r>
                            <w:r w:rsidRPr="00EC2512">
                              <w:rPr>
                                <w:rFonts w:asciiTheme="majorHAnsi" w:hAnsiTheme="majorHAnsi"/>
                                <w:color w:val="595959" w:themeColor="text1" w:themeTint="A6"/>
                                <w:sz w:val="18"/>
                                <w:szCs w:val="18"/>
                                <w:lang w:val="es-ES_tradnl"/>
                              </w:rPr>
                              <w:t>Tatiana</w:t>
                            </w:r>
                            <w:r>
                              <w:rPr>
                                <w:rFonts w:asciiTheme="majorHAnsi" w:hAnsiTheme="majorHAnsi"/>
                                <w:color w:val="595959" w:themeColor="text1" w:themeTint="A6"/>
                                <w:sz w:val="18"/>
                                <w:szCs w:val="18"/>
                                <w:lang w:val="es-ES_tradnl"/>
                              </w:rPr>
                              <w:t xml:space="preserve"> Marisa </w:t>
                            </w:r>
                            <w:proofErr w:type="spellStart"/>
                            <w:r>
                              <w:rPr>
                                <w:rFonts w:asciiTheme="majorHAnsi" w:hAnsiTheme="majorHAnsi"/>
                                <w:color w:val="595959" w:themeColor="text1" w:themeTint="A6"/>
                                <w:sz w:val="18"/>
                                <w:szCs w:val="18"/>
                                <w:lang w:val="es-ES_tradnl"/>
                              </w:rPr>
                              <w:t>Barría</w:t>
                            </w:r>
                            <w:proofErr w:type="spellEnd"/>
                            <w:r>
                              <w:rPr>
                                <w:rFonts w:asciiTheme="majorHAnsi" w:hAnsiTheme="majorHAnsi"/>
                                <w:color w:val="595959" w:themeColor="text1" w:themeTint="A6"/>
                                <w:sz w:val="18"/>
                                <w:szCs w:val="18"/>
                                <w:lang w:val="es-ES_tradnl"/>
                              </w:rPr>
                              <w:t xml:space="preserve"> Mardones e hija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117161">
                              <w:rPr>
                                <w:rFonts w:asciiTheme="majorHAnsi" w:hAnsiTheme="majorHAnsi"/>
                                <w:color w:val="595959" w:themeColor="text1" w:themeTint="A6"/>
                                <w:sz w:val="18"/>
                                <w:szCs w:val="18"/>
                                <w:lang w:val="es-ES"/>
                              </w:rPr>
                              <w:t>5 de mayo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031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69027B" w:rsidRPr="007B05C4" w:rsidRDefault="0069027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7161" w:rsidRPr="00117161">
                        <w:rPr>
                          <w:rFonts w:asciiTheme="majorHAnsi" w:hAnsiTheme="majorHAnsi"/>
                          <w:color w:val="595959" w:themeColor="text1" w:themeTint="A6"/>
                          <w:sz w:val="18"/>
                          <w:szCs w:val="18"/>
                          <w:lang w:val="pt-BR"/>
                        </w:rPr>
                        <w:t>59</w:t>
                      </w:r>
                      <w:r w:rsidRPr="00117161">
                        <w:rPr>
                          <w:rFonts w:asciiTheme="majorHAnsi" w:hAnsiTheme="majorHAnsi"/>
                          <w:color w:val="595959" w:themeColor="text1" w:themeTint="A6"/>
                          <w:sz w:val="18"/>
                          <w:szCs w:val="18"/>
                          <w:lang w:val="pt-BR"/>
                        </w:rPr>
                        <w:t>/</w:t>
                      </w:r>
                      <w:r w:rsidR="007F2E3F" w:rsidRPr="00117161">
                        <w:rPr>
                          <w:rFonts w:asciiTheme="majorHAnsi" w:hAnsiTheme="majorHAnsi"/>
                          <w:color w:val="595959" w:themeColor="text1" w:themeTint="A6"/>
                          <w:sz w:val="18"/>
                          <w:szCs w:val="18"/>
                          <w:lang w:val="pt-BR"/>
                        </w:rPr>
                        <w:t>18</w:t>
                      </w:r>
                      <w:r w:rsidR="003E085B" w:rsidRPr="00117161">
                        <w:rPr>
                          <w:rFonts w:asciiTheme="majorHAnsi" w:hAnsiTheme="majorHAnsi"/>
                          <w:color w:val="595959" w:themeColor="text1" w:themeTint="A6"/>
                          <w:sz w:val="18"/>
                          <w:szCs w:val="18"/>
                          <w:lang w:val="pt-BR"/>
                        </w:rPr>
                        <w:t xml:space="preserve">. </w:t>
                      </w:r>
                      <w:r w:rsidR="003E085B">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 xml:space="preserve">dmisibilidad. </w:t>
                      </w:r>
                      <w:r w:rsidRPr="00EC2512">
                        <w:rPr>
                          <w:rFonts w:asciiTheme="majorHAnsi" w:hAnsiTheme="majorHAnsi"/>
                          <w:color w:val="595959" w:themeColor="text1" w:themeTint="A6"/>
                          <w:sz w:val="18"/>
                          <w:szCs w:val="18"/>
                          <w:lang w:val="es-ES_tradnl"/>
                        </w:rPr>
                        <w:t>Tatiana</w:t>
                      </w:r>
                      <w:r>
                        <w:rPr>
                          <w:rFonts w:asciiTheme="majorHAnsi" w:hAnsiTheme="majorHAnsi"/>
                          <w:color w:val="595959" w:themeColor="text1" w:themeTint="A6"/>
                          <w:sz w:val="18"/>
                          <w:szCs w:val="18"/>
                          <w:lang w:val="es-ES_tradnl"/>
                        </w:rPr>
                        <w:t xml:space="preserve"> Marisa </w:t>
                      </w:r>
                      <w:proofErr w:type="spellStart"/>
                      <w:r>
                        <w:rPr>
                          <w:rFonts w:asciiTheme="majorHAnsi" w:hAnsiTheme="majorHAnsi"/>
                          <w:color w:val="595959" w:themeColor="text1" w:themeTint="A6"/>
                          <w:sz w:val="18"/>
                          <w:szCs w:val="18"/>
                          <w:lang w:val="es-ES_tradnl"/>
                        </w:rPr>
                        <w:t>Barría</w:t>
                      </w:r>
                      <w:proofErr w:type="spellEnd"/>
                      <w:r>
                        <w:rPr>
                          <w:rFonts w:asciiTheme="majorHAnsi" w:hAnsiTheme="majorHAnsi"/>
                          <w:color w:val="595959" w:themeColor="text1" w:themeTint="A6"/>
                          <w:sz w:val="18"/>
                          <w:szCs w:val="18"/>
                          <w:lang w:val="es-ES_tradnl"/>
                        </w:rPr>
                        <w:t xml:space="preserve"> Mardones e hija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117161">
                        <w:rPr>
                          <w:rFonts w:asciiTheme="majorHAnsi" w:hAnsiTheme="majorHAnsi"/>
                          <w:color w:val="595959" w:themeColor="text1" w:themeTint="A6"/>
                          <w:sz w:val="18"/>
                          <w:szCs w:val="18"/>
                          <w:lang w:val="es-ES"/>
                        </w:rPr>
                        <w:t>5 de mayo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AE4262" w:rsidRDefault="00A50FCF" w:rsidP="00AE4262">
      <w:pPr>
        <w:tabs>
          <w:tab w:val="center" w:pos="5400"/>
        </w:tabs>
        <w:suppressAutoHyphens/>
        <w:jc w:val="center"/>
        <w:rPr>
          <w:rFonts w:asciiTheme="majorHAnsi" w:hAnsiTheme="majorHAnsi"/>
          <w:sz w:val="18"/>
          <w:szCs w:val="22"/>
          <w:lang w:val="es-ES"/>
        </w:rPr>
      </w:pPr>
    </w:p>
    <w:p w:rsidR="0090270B" w:rsidRPr="00AE4262" w:rsidRDefault="00D306D1" w:rsidP="00AE4262">
      <w:pPr>
        <w:tabs>
          <w:tab w:val="center" w:pos="5400"/>
        </w:tabs>
        <w:suppressAutoHyphens/>
        <w:jc w:val="center"/>
        <w:rPr>
          <w:rFonts w:asciiTheme="majorHAnsi" w:hAnsiTheme="majorHAnsi"/>
          <w:b/>
          <w:sz w:val="20"/>
          <w:lang w:val="es-ES"/>
        </w:rPr>
      </w:pPr>
      <w:r w:rsidRPr="00AE426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3CD1BB8" wp14:editId="1EAD565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027B" w:rsidRPr="00D72DC6" w:rsidRDefault="0069027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35B4015" wp14:editId="5EB6159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D1BB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69027B" w:rsidRPr="00D72DC6" w:rsidRDefault="0069027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35B4015" wp14:editId="5EB6159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E426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AD6CC47" wp14:editId="1D67BD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027B" w:rsidRPr="004B7EB6" w:rsidRDefault="0069027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6CC4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69027B" w:rsidRPr="004B7EB6" w:rsidRDefault="0069027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E4262" w:rsidRDefault="0070697F" w:rsidP="00AE4262">
      <w:pPr>
        <w:tabs>
          <w:tab w:val="center" w:pos="5400"/>
        </w:tabs>
        <w:suppressAutoHyphens/>
        <w:jc w:val="center"/>
        <w:rPr>
          <w:rFonts w:asciiTheme="majorHAnsi" w:hAnsiTheme="majorHAnsi"/>
          <w:b/>
          <w:sz w:val="20"/>
          <w:lang w:val="es-ES"/>
        </w:rPr>
        <w:sectPr w:rsidR="0070697F" w:rsidRPr="00AE426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3239B8" w:rsidRPr="00AE4262" w:rsidRDefault="003239B8" w:rsidP="00AE4262">
      <w:pPr>
        <w:spacing w:after="240"/>
        <w:ind w:firstLine="720"/>
        <w:jc w:val="both"/>
        <w:rPr>
          <w:rFonts w:asciiTheme="majorHAnsi" w:hAnsiTheme="majorHAnsi"/>
          <w:b/>
          <w:bCs/>
          <w:sz w:val="20"/>
          <w:szCs w:val="20"/>
          <w:lang w:val="es-ES"/>
        </w:rPr>
      </w:pPr>
      <w:r w:rsidRPr="00AE4262">
        <w:rPr>
          <w:rFonts w:asciiTheme="majorHAnsi" w:hAnsiTheme="majorHAnsi"/>
          <w:b/>
          <w:bCs/>
          <w:sz w:val="20"/>
          <w:szCs w:val="20"/>
          <w:lang w:val="es-ES"/>
        </w:rPr>
        <w:lastRenderedPageBreak/>
        <w:t>I.</w:t>
      </w:r>
      <w:r w:rsidRPr="00AE426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E4262" w:rsidTr="00720F70">
        <w:trPr>
          <w:trHeight w:val="251"/>
        </w:trPr>
        <w:tc>
          <w:tcPr>
            <w:tcW w:w="3600" w:type="dxa"/>
            <w:tcBorders>
              <w:top w:val="single" w:sz="4" w:space="0" w:color="auto"/>
              <w:bottom w:val="single" w:sz="6" w:space="0" w:color="auto"/>
            </w:tcBorders>
            <w:shd w:val="clear" w:color="auto" w:fill="386294"/>
            <w:vAlign w:val="center"/>
          </w:tcPr>
          <w:p w:rsidR="003239B8" w:rsidRPr="00AE4262" w:rsidRDefault="003239B8"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Parte peticionaria:</w:t>
            </w:r>
          </w:p>
        </w:tc>
        <w:tc>
          <w:tcPr>
            <w:tcW w:w="5760" w:type="dxa"/>
            <w:vAlign w:val="center"/>
          </w:tcPr>
          <w:p w:rsidR="003239B8" w:rsidRPr="00AE4262" w:rsidRDefault="006B7BDD" w:rsidP="00AE4262">
            <w:pPr>
              <w:jc w:val="both"/>
              <w:rPr>
                <w:rFonts w:ascii="Cambria" w:hAnsi="Cambria"/>
                <w:bCs/>
                <w:sz w:val="20"/>
                <w:szCs w:val="20"/>
                <w:lang w:val="es-ES"/>
              </w:rPr>
            </w:pPr>
            <w:r w:rsidRPr="00AE4262">
              <w:rPr>
                <w:rFonts w:ascii="Cambria" w:hAnsi="Cambria"/>
                <w:bCs/>
                <w:sz w:val="20"/>
                <w:szCs w:val="20"/>
                <w:lang w:val="es-ES"/>
              </w:rPr>
              <w:t>Karina Retamal Mella</w:t>
            </w:r>
          </w:p>
        </w:tc>
      </w:tr>
      <w:tr w:rsidR="003239B8" w:rsidRPr="00D039FE" w:rsidTr="00720F70">
        <w:tc>
          <w:tcPr>
            <w:tcW w:w="3600" w:type="dxa"/>
            <w:tcBorders>
              <w:top w:val="single" w:sz="6" w:space="0" w:color="auto"/>
              <w:bottom w:val="single" w:sz="6" w:space="0" w:color="auto"/>
            </w:tcBorders>
            <w:shd w:val="clear" w:color="auto" w:fill="386294"/>
            <w:vAlign w:val="center"/>
          </w:tcPr>
          <w:p w:rsidR="003239B8" w:rsidRPr="00AE4262" w:rsidRDefault="00506050" w:rsidP="00AE4262">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E4262">
                  <w:rPr>
                    <w:rFonts w:ascii="Cambria" w:hAnsi="Cambria"/>
                    <w:b/>
                    <w:bCs/>
                    <w:color w:val="FFFFFF" w:themeColor="background1"/>
                    <w:sz w:val="20"/>
                    <w:szCs w:val="20"/>
                    <w:lang w:val="es-ES"/>
                  </w:rPr>
                  <w:t>Presunta víctima</w:t>
                </w:r>
              </w:sdtContent>
            </w:sdt>
            <w:r w:rsidR="003239B8" w:rsidRPr="00AE4262">
              <w:rPr>
                <w:rFonts w:ascii="Cambria" w:hAnsi="Cambria"/>
                <w:b/>
                <w:bCs/>
                <w:color w:val="FFFFFF" w:themeColor="background1"/>
                <w:sz w:val="20"/>
                <w:szCs w:val="20"/>
                <w:lang w:val="es-ES"/>
              </w:rPr>
              <w:t>:</w:t>
            </w:r>
          </w:p>
        </w:tc>
        <w:tc>
          <w:tcPr>
            <w:tcW w:w="5760" w:type="dxa"/>
            <w:vAlign w:val="center"/>
          </w:tcPr>
          <w:p w:rsidR="003239B8" w:rsidRPr="00AE4262" w:rsidRDefault="00F45931" w:rsidP="00AE4262">
            <w:pPr>
              <w:jc w:val="both"/>
              <w:rPr>
                <w:rFonts w:ascii="Cambria" w:hAnsi="Cambria"/>
                <w:bCs/>
                <w:sz w:val="20"/>
                <w:szCs w:val="20"/>
                <w:lang w:val="es-ES"/>
              </w:rPr>
            </w:pPr>
            <w:r w:rsidRPr="00AE4262">
              <w:rPr>
                <w:rFonts w:ascii="Cambria" w:hAnsi="Cambria"/>
                <w:bCs/>
                <w:sz w:val="20"/>
                <w:szCs w:val="20"/>
                <w:lang w:val="es-ES"/>
              </w:rPr>
              <w:t xml:space="preserve">Tatiana Marisa Barría Mardones </w:t>
            </w:r>
            <w:r w:rsidR="00C02E6F" w:rsidRPr="00AE4262">
              <w:rPr>
                <w:rFonts w:ascii="Cambria" w:hAnsi="Cambria"/>
                <w:bCs/>
                <w:sz w:val="20"/>
                <w:szCs w:val="20"/>
                <w:lang w:val="es-ES"/>
              </w:rPr>
              <w:t xml:space="preserve">y </w:t>
            </w:r>
            <w:r w:rsidR="00D2100B" w:rsidRPr="00AE4262">
              <w:rPr>
                <w:rFonts w:ascii="Cambria" w:hAnsi="Cambria"/>
                <w:bCs/>
                <w:sz w:val="20"/>
                <w:szCs w:val="20"/>
                <w:lang w:val="es-ES"/>
              </w:rPr>
              <w:t>B.B.A.B.</w:t>
            </w:r>
            <w:r w:rsidR="00894131" w:rsidRPr="00AE4262">
              <w:rPr>
                <w:rStyle w:val="FootnoteReference"/>
                <w:rFonts w:ascii="Cambria" w:hAnsi="Cambria"/>
                <w:bCs/>
                <w:sz w:val="20"/>
                <w:szCs w:val="20"/>
                <w:lang w:val="es-ES"/>
              </w:rPr>
              <w:footnoteReference w:id="2"/>
            </w:r>
          </w:p>
        </w:tc>
      </w:tr>
      <w:tr w:rsidR="003239B8" w:rsidRPr="00AE4262" w:rsidTr="00720F70">
        <w:tc>
          <w:tcPr>
            <w:tcW w:w="3600" w:type="dxa"/>
            <w:tcBorders>
              <w:top w:val="single" w:sz="6" w:space="0" w:color="auto"/>
              <w:bottom w:val="single" w:sz="6" w:space="0" w:color="auto"/>
            </w:tcBorders>
            <w:shd w:val="clear" w:color="auto" w:fill="386294"/>
            <w:vAlign w:val="center"/>
          </w:tcPr>
          <w:p w:rsidR="003239B8" w:rsidRPr="00AE4262" w:rsidRDefault="003239B8"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Estado denunciado:</w:t>
            </w:r>
          </w:p>
        </w:tc>
        <w:tc>
          <w:tcPr>
            <w:tcW w:w="5760" w:type="dxa"/>
            <w:vAlign w:val="center"/>
          </w:tcPr>
          <w:p w:rsidR="003239B8" w:rsidRPr="00AE4262" w:rsidRDefault="00F45931" w:rsidP="00AE4262">
            <w:pPr>
              <w:jc w:val="both"/>
              <w:rPr>
                <w:rFonts w:ascii="Cambria" w:hAnsi="Cambria"/>
                <w:bCs/>
                <w:sz w:val="20"/>
                <w:szCs w:val="20"/>
                <w:lang w:val="es-ES"/>
              </w:rPr>
            </w:pPr>
            <w:r w:rsidRPr="00AE4262">
              <w:rPr>
                <w:rFonts w:ascii="Cambria" w:hAnsi="Cambria"/>
                <w:bCs/>
                <w:sz w:val="20"/>
                <w:szCs w:val="20"/>
                <w:lang w:val="es-ES"/>
              </w:rPr>
              <w:t>Chile</w:t>
            </w:r>
            <w:r w:rsidR="009E719A" w:rsidRPr="00AE4262">
              <w:rPr>
                <w:rStyle w:val="FootnoteReference"/>
                <w:rFonts w:ascii="Cambria" w:hAnsi="Cambria"/>
                <w:bCs/>
                <w:sz w:val="20"/>
                <w:szCs w:val="20"/>
                <w:lang w:val="es-ES"/>
              </w:rPr>
              <w:footnoteReference w:id="3"/>
            </w:r>
          </w:p>
        </w:tc>
      </w:tr>
      <w:tr w:rsidR="00223A29" w:rsidRPr="00D039FE" w:rsidTr="00720F70">
        <w:trPr>
          <w:trHeight w:val="273"/>
        </w:trPr>
        <w:tc>
          <w:tcPr>
            <w:tcW w:w="3600" w:type="dxa"/>
            <w:tcBorders>
              <w:top w:val="single" w:sz="6" w:space="0" w:color="auto"/>
              <w:bottom w:val="single" w:sz="6" w:space="0" w:color="auto"/>
            </w:tcBorders>
            <w:shd w:val="clear" w:color="auto" w:fill="386294"/>
            <w:vAlign w:val="center"/>
          </w:tcPr>
          <w:p w:rsidR="00223A29" w:rsidRPr="00AE4262" w:rsidRDefault="001B3A00"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 xml:space="preserve">Derechos </w:t>
            </w:r>
            <w:r w:rsidR="00E4118C" w:rsidRPr="00AE4262">
              <w:rPr>
                <w:rFonts w:ascii="Cambria" w:hAnsi="Cambria"/>
                <w:b/>
                <w:bCs/>
                <w:color w:val="FFFFFF" w:themeColor="background1"/>
                <w:sz w:val="20"/>
                <w:szCs w:val="20"/>
                <w:lang w:val="es-ES"/>
              </w:rPr>
              <w:t>invocados</w:t>
            </w:r>
            <w:r w:rsidRPr="00AE4262">
              <w:rPr>
                <w:rFonts w:ascii="Cambria" w:hAnsi="Cambria"/>
                <w:b/>
                <w:bCs/>
                <w:color w:val="FFFFFF" w:themeColor="background1"/>
                <w:sz w:val="20"/>
                <w:szCs w:val="20"/>
                <w:lang w:val="es-ES"/>
              </w:rPr>
              <w:t>:</w:t>
            </w:r>
          </w:p>
        </w:tc>
        <w:tc>
          <w:tcPr>
            <w:tcW w:w="5760" w:type="dxa"/>
            <w:vAlign w:val="center"/>
          </w:tcPr>
          <w:p w:rsidR="00223A29" w:rsidRPr="00AE4262" w:rsidRDefault="005B49B8" w:rsidP="00AE4262">
            <w:pPr>
              <w:jc w:val="both"/>
              <w:rPr>
                <w:rFonts w:ascii="Cambria" w:hAnsi="Cambria"/>
                <w:bCs/>
                <w:sz w:val="20"/>
                <w:szCs w:val="20"/>
                <w:lang w:val="es-ES"/>
              </w:rPr>
            </w:pPr>
            <w:r w:rsidRPr="00AE4262">
              <w:rPr>
                <w:rFonts w:ascii="Cambria" w:hAnsi="Cambria"/>
                <w:bCs/>
                <w:sz w:val="20"/>
                <w:szCs w:val="20"/>
                <w:lang w:val="es-ES"/>
              </w:rPr>
              <w:t xml:space="preserve">Artículos </w:t>
            </w:r>
            <w:r w:rsidR="00795B58" w:rsidRPr="00AE4262">
              <w:rPr>
                <w:rFonts w:ascii="Cambria" w:hAnsi="Cambria"/>
                <w:bCs/>
                <w:sz w:val="20"/>
                <w:szCs w:val="20"/>
                <w:lang w:val="es-ES"/>
              </w:rPr>
              <w:t>5</w:t>
            </w:r>
            <w:r w:rsidRPr="00AE4262">
              <w:rPr>
                <w:rFonts w:ascii="Cambria" w:hAnsi="Cambria"/>
                <w:bCs/>
                <w:sz w:val="20"/>
                <w:szCs w:val="20"/>
                <w:lang w:val="es-ES"/>
              </w:rPr>
              <w:t xml:space="preserve"> </w:t>
            </w:r>
            <w:r w:rsidRPr="00AE4262">
              <w:rPr>
                <w:rFonts w:asciiTheme="majorHAnsi" w:hAnsiTheme="majorHAnsi"/>
                <w:sz w:val="20"/>
                <w:szCs w:val="20"/>
                <w:lang w:val="es-ES_tradnl"/>
              </w:rPr>
              <w:t>(integridad personal)</w:t>
            </w:r>
            <w:r w:rsidR="00795B58" w:rsidRPr="00AE4262">
              <w:rPr>
                <w:rFonts w:ascii="Cambria" w:hAnsi="Cambria"/>
                <w:bCs/>
                <w:sz w:val="20"/>
                <w:szCs w:val="20"/>
                <w:lang w:val="es-ES"/>
              </w:rPr>
              <w:t>, 8</w:t>
            </w:r>
            <w:r w:rsidRPr="00AE4262">
              <w:rPr>
                <w:rFonts w:ascii="Cambria" w:hAnsi="Cambria"/>
                <w:bCs/>
                <w:sz w:val="20"/>
                <w:szCs w:val="20"/>
                <w:lang w:val="es-ES"/>
              </w:rPr>
              <w:t xml:space="preserve"> </w:t>
            </w:r>
            <w:r w:rsidRPr="00AE4262">
              <w:rPr>
                <w:rFonts w:asciiTheme="majorHAnsi" w:hAnsiTheme="majorHAnsi"/>
                <w:bCs/>
                <w:sz w:val="20"/>
                <w:szCs w:val="20"/>
                <w:lang w:val="es-ES_tradnl"/>
              </w:rPr>
              <w:t>(garantías judiciales)</w:t>
            </w:r>
            <w:r w:rsidRPr="00AE4262">
              <w:rPr>
                <w:rFonts w:ascii="Cambria" w:hAnsi="Cambria"/>
                <w:bCs/>
                <w:sz w:val="20"/>
                <w:szCs w:val="20"/>
                <w:lang w:val="es-ES"/>
              </w:rPr>
              <w:t>, 11 (protección de la</w:t>
            </w:r>
            <w:r w:rsidR="00E509C6" w:rsidRPr="00AE4262">
              <w:rPr>
                <w:rFonts w:ascii="Cambria" w:hAnsi="Cambria"/>
                <w:bCs/>
                <w:sz w:val="20"/>
                <w:szCs w:val="20"/>
                <w:lang w:val="es-ES"/>
              </w:rPr>
              <w:t xml:space="preserve"> </w:t>
            </w:r>
            <w:r w:rsidRPr="00AE4262">
              <w:rPr>
                <w:rFonts w:ascii="Cambria" w:hAnsi="Cambria"/>
                <w:bCs/>
                <w:sz w:val="20"/>
                <w:szCs w:val="20"/>
                <w:lang w:val="es-ES"/>
              </w:rPr>
              <w:t>honra y la dignidad)</w:t>
            </w:r>
            <w:r w:rsidRPr="00AE4262">
              <w:rPr>
                <w:rFonts w:asciiTheme="majorHAnsi" w:hAnsiTheme="majorHAnsi"/>
                <w:bCs/>
                <w:sz w:val="20"/>
                <w:szCs w:val="20"/>
                <w:lang w:val="es-ES_tradnl"/>
              </w:rPr>
              <w:t xml:space="preserve"> y 25 (pr</w:t>
            </w:r>
            <w:r w:rsidRPr="00AE4262">
              <w:rPr>
                <w:rFonts w:asciiTheme="majorHAnsi" w:hAnsiTheme="majorHAnsi"/>
                <w:sz w:val="20"/>
                <w:szCs w:val="20"/>
                <w:lang w:val="es-ES_tradnl"/>
              </w:rPr>
              <w:t>otección judicial)</w:t>
            </w:r>
            <w:r w:rsidRPr="00AE4262">
              <w:rPr>
                <w:rFonts w:ascii="Cambria" w:hAnsi="Cambria"/>
                <w:bCs/>
                <w:sz w:val="20"/>
                <w:szCs w:val="20"/>
                <w:lang w:val="es-AR"/>
              </w:rPr>
              <w:t xml:space="preserve"> de la Convención Americana sobre Derechos Humanos</w:t>
            </w:r>
            <w:r w:rsidRPr="00AE4262">
              <w:rPr>
                <w:rStyle w:val="FootnoteReference"/>
                <w:rFonts w:ascii="Cambria" w:hAnsi="Cambria"/>
                <w:bCs/>
                <w:sz w:val="20"/>
                <w:szCs w:val="20"/>
                <w:lang w:val="es-AR"/>
              </w:rPr>
              <w:footnoteReference w:id="4"/>
            </w:r>
            <w:r w:rsidRPr="00AE4262">
              <w:rPr>
                <w:rFonts w:ascii="Cambria" w:hAnsi="Cambria"/>
                <w:bCs/>
                <w:sz w:val="20"/>
                <w:szCs w:val="20"/>
                <w:lang w:val="es-AR"/>
              </w:rPr>
              <w:t>,</w:t>
            </w:r>
            <w:r w:rsidRPr="00AE4262">
              <w:rPr>
                <w:rStyle w:val="FootnoteReference"/>
                <w:rFonts w:ascii="Cambria" w:hAnsi="Cambria"/>
                <w:bCs/>
                <w:sz w:val="20"/>
                <w:szCs w:val="20"/>
                <w:lang w:val="es-AR"/>
              </w:rPr>
              <w:t xml:space="preserve"> </w:t>
            </w:r>
            <w:r w:rsidRPr="00AE4262">
              <w:rPr>
                <w:rFonts w:ascii="Cambria" w:hAnsi="Cambria"/>
                <w:bCs/>
                <w:sz w:val="20"/>
                <w:szCs w:val="20"/>
                <w:lang w:val="es-AR"/>
              </w:rPr>
              <w:t xml:space="preserve">en relación con sus artículos </w:t>
            </w:r>
            <w:r w:rsidR="00EF0E8C" w:rsidRPr="00AE4262">
              <w:rPr>
                <w:rFonts w:ascii="Cambria" w:hAnsi="Cambria"/>
                <w:bCs/>
                <w:sz w:val="20"/>
                <w:szCs w:val="20"/>
                <w:lang w:val="es-AR"/>
              </w:rPr>
              <w:t>1 (obligación de respetar los derechos) y 2 (deber de adoptar disposiciones de derecho interno)</w:t>
            </w:r>
          </w:p>
        </w:tc>
      </w:tr>
    </w:tbl>
    <w:p w:rsidR="003239B8" w:rsidRPr="00AE4262" w:rsidRDefault="003239B8" w:rsidP="00AE4262">
      <w:pPr>
        <w:spacing w:before="240" w:after="240"/>
        <w:ind w:firstLine="720"/>
        <w:jc w:val="both"/>
        <w:rPr>
          <w:rFonts w:asciiTheme="majorHAnsi" w:hAnsiTheme="majorHAnsi"/>
          <w:b/>
          <w:bCs/>
          <w:sz w:val="20"/>
          <w:szCs w:val="20"/>
          <w:lang w:val="es-ES"/>
        </w:rPr>
      </w:pPr>
      <w:r w:rsidRPr="00AE4262">
        <w:rPr>
          <w:rFonts w:asciiTheme="majorHAnsi" w:hAnsiTheme="majorHAnsi"/>
          <w:b/>
          <w:bCs/>
          <w:sz w:val="20"/>
          <w:szCs w:val="20"/>
          <w:lang w:val="es-ES"/>
        </w:rPr>
        <w:t>II.</w:t>
      </w:r>
      <w:r w:rsidRPr="00AE4262">
        <w:rPr>
          <w:rFonts w:asciiTheme="majorHAnsi" w:hAnsiTheme="majorHAnsi"/>
          <w:b/>
          <w:bCs/>
          <w:sz w:val="20"/>
          <w:szCs w:val="20"/>
          <w:lang w:val="es-ES"/>
        </w:rPr>
        <w:tab/>
        <w:t>TRÁMITE ANTE LA CIDH</w:t>
      </w:r>
      <w:r w:rsidR="008E3BFE" w:rsidRPr="00AE4262">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E4262" w:rsidTr="00720F70">
        <w:tc>
          <w:tcPr>
            <w:tcW w:w="3600" w:type="dxa"/>
            <w:tcBorders>
              <w:top w:val="single" w:sz="6" w:space="0" w:color="auto"/>
              <w:bottom w:val="single" w:sz="6" w:space="0" w:color="auto"/>
            </w:tcBorders>
            <w:shd w:val="clear" w:color="auto" w:fill="386294"/>
            <w:vAlign w:val="center"/>
          </w:tcPr>
          <w:p w:rsidR="004C2312" w:rsidRPr="00AE4262" w:rsidRDefault="00720F70"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P</w:t>
            </w:r>
            <w:r w:rsidR="004C2312" w:rsidRPr="00AE4262">
              <w:rPr>
                <w:rFonts w:ascii="Cambria" w:hAnsi="Cambria"/>
                <w:b/>
                <w:bCs/>
                <w:color w:val="FFFFFF" w:themeColor="background1"/>
                <w:sz w:val="20"/>
                <w:szCs w:val="20"/>
                <w:lang w:val="es-ES"/>
              </w:rPr>
              <w:t>resentación de la petición:</w:t>
            </w:r>
          </w:p>
        </w:tc>
        <w:tc>
          <w:tcPr>
            <w:tcW w:w="5760" w:type="dxa"/>
            <w:vAlign w:val="center"/>
          </w:tcPr>
          <w:p w:rsidR="004C2312" w:rsidRPr="00AE4262" w:rsidRDefault="00D82C13" w:rsidP="00AE4262">
            <w:pPr>
              <w:jc w:val="both"/>
              <w:rPr>
                <w:rFonts w:ascii="Cambria" w:hAnsi="Cambria"/>
                <w:bCs/>
                <w:sz w:val="20"/>
                <w:szCs w:val="20"/>
                <w:lang w:val="es-ES"/>
              </w:rPr>
            </w:pPr>
            <w:r w:rsidRPr="00AE4262">
              <w:rPr>
                <w:rFonts w:ascii="Cambria" w:hAnsi="Cambria"/>
                <w:bCs/>
                <w:sz w:val="20"/>
                <w:szCs w:val="20"/>
                <w:lang w:val="es-ES"/>
              </w:rPr>
              <w:t>24 de julio de 2008</w:t>
            </w:r>
          </w:p>
        </w:tc>
      </w:tr>
      <w:tr w:rsidR="004C2312" w:rsidRPr="00AE4262" w:rsidTr="00720F70">
        <w:tc>
          <w:tcPr>
            <w:tcW w:w="3600" w:type="dxa"/>
            <w:tcBorders>
              <w:top w:val="single" w:sz="6" w:space="0" w:color="auto"/>
              <w:bottom w:val="single" w:sz="6" w:space="0" w:color="auto"/>
            </w:tcBorders>
            <w:shd w:val="clear" w:color="auto" w:fill="386294"/>
            <w:vAlign w:val="center"/>
          </w:tcPr>
          <w:p w:rsidR="004C2312" w:rsidRPr="00AE4262" w:rsidRDefault="00720F70" w:rsidP="00AE4262">
            <w:pPr>
              <w:jc w:val="center"/>
              <w:rPr>
                <w:rFonts w:ascii="Cambria" w:hAnsi="Cambria"/>
                <w:b/>
                <w:bCs/>
                <w:color w:val="FFFFFF" w:themeColor="background1"/>
                <w:sz w:val="20"/>
                <w:szCs w:val="20"/>
                <w:lang w:val="es-ES"/>
              </w:rPr>
            </w:pPr>
            <w:r w:rsidRPr="00AE4262">
              <w:rPr>
                <w:rFonts w:ascii="Cambria" w:hAnsi="Cambria"/>
                <w:b/>
                <w:color w:val="FFFFFF" w:themeColor="background1"/>
                <w:sz w:val="20"/>
                <w:szCs w:val="20"/>
                <w:lang w:val="es-ES"/>
              </w:rPr>
              <w:t>N</w:t>
            </w:r>
            <w:r w:rsidR="004C2312" w:rsidRPr="00AE4262">
              <w:rPr>
                <w:rFonts w:ascii="Cambria" w:hAnsi="Cambria"/>
                <w:b/>
                <w:color w:val="FFFFFF" w:themeColor="background1"/>
                <w:sz w:val="20"/>
                <w:szCs w:val="20"/>
                <w:lang w:val="es-ES"/>
              </w:rPr>
              <w:t>otificación de la petición al Estado:</w:t>
            </w:r>
          </w:p>
        </w:tc>
        <w:tc>
          <w:tcPr>
            <w:tcW w:w="5760" w:type="dxa"/>
            <w:vAlign w:val="center"/>
          </w:tcPr>
          <w:p w:rsidR="004C2312" w:rsidRPr="00AE4262" w:rsidRDefault="00317C3E" w:rsidP="00AE4262">
            <w:pPr>
              <w:jc w:val="both"/>
              <w:rPr>
                <w:rFonts w:ascii="Cambria" w:hAnsi="Cambria"/>
                <w:bCs/>
                <w:sz w:val="20"/>
                <w:szCs w:val="20"/>
                <w:lang w:val="es-ES"/>
              </w:rPr>
            </w:pPr>
            <w:r w:rsidRPr="00AE4262">
              <w:rPr>
                <w:rFonts w:ascii="Cambria" w:hAnsi="Cambria"/>
                <w:bCs/>
                <w:sz w:val="20"/>
                <w:szCs w:val="20"/>
                <w:lang w:val="es-ES"/>
              </w:rPr>
              <w:t>16 de junio de 2016</w:t>
            </w:r>
          </w:p>
        </w:tc>
      </w:tr>
      <w:tr w:rsidR="004C2312" w:rsidRPr="00AE4262" w:rsidTr="00720F70">
        <w:tc>
          <w:tcPr>
            <w:tcW w:w="3600" w:type="dxa"/>
            <w:tcBorders>
              <w:top w:val="single" w:sz="6" w:space="0" w:color="auto"/>
              <w:bottom w:val="single" w:sz="6" w:space="0" w:color="auto"/>
            </w:tcBorders>
            <w:shd w:val="clear" w:color="auto" w:fill="386294"/>
            <w:vAlign w:val="center"/>
          </w:tcPr>
          <w:p w:rsidR="004C2312" w:rsidRPr="00AE4262" w:rsidRDefault="00720F70" w:rsidP="00AE4262">
            <w:pPr>
              <w:jc w:val="center"/>
              <w:rPr>
                <w:rFonts w:ascii="Cambria" w:hAnsi="Cambria"/>
                <w:b/>
                <w:bCs/>
                <w:color w:val="FFFFFF" w:themeColor="background1"/>
                <w:sz w:val="20"/>
                <w:szCs w:val="20"/>
                <w:lang w:val="es-ES"/>
              </w:rPr>
            </w:pPr>
            <w:r w:rsidRPr="00AE4262">
              <w:rPr>
                <w:rFonts w:ascii="Cambria" w:hAnsi="Cambria"/>
                <w:b/>
                <w:color w:val="FFFFFF" w:themeColor="background1"/>
                <w:sz w:val="20"/>
                <w:szCs w:val="20"/>
                <w:lang w:val="es-ES"/>
              </w:rPr>
              <w:t>P</w:t>
            </w:r>
            <w:r w:rsidR="004C2312" w:rsidRPr="00AE4262">
              <w:rPr>
                <w:rFonts w:ascii="Cambria" w:hAnsi="Cambria"/>
                <w:b/>
                <w:color w:val="FFFFFF" w:themeColor="background1"/>
                <w:sz w:val="20"/>
                <w:szCs w:val="20"/>
                <w:lang w:val="es-ES"/>
              </w:rPr>
              <w:t>rimera respuesta del Estado:</w:t>
            </w:r>
          </w:p>
        </w:tc>
        <w:tc>
          <w:tcPr>
            <w:tcW w:w="5760" w:type="dxa"/>
            <w:vAlign w:val="center"/>
          </w:tcPr>
          <w:p w:rsidR="004C2312" w:rsidRPr="00AE4262" w:rsidRDefault="00317C3E" w:rsidP="00AE4262">
            <w:pPr>
              <w:jc w:val="both"/>
              <w:rPr>
                <w:rFonts w:ascii="Cambria" w:hAnsi="Cambria"/>
                <w:bCs/>
                <w:sz w:val="20"/>
                <w:szCs w:val="20"/>
                <w:lang w:val="es-ES"/>
              </w:rPr>
            </w:pPr>
            <w:r w:rsidRPr="00AE4262">
              <w:rPr>
                <w:rFonts w:ascii="Cambria" w:hAnsi="Cambria"/>
                <w:bCs/>
                <w:sz w:val="20"/>
                <w:szCs w:val="20"/>
                <w:lang w:val="es-ES"/>
              </w:rPr>
              <w:t>13 de febrero de 2017</w:t>
            </w:r>
          </w:p>
        </w:tc>
      </w:tr>
    </w:tbl>
    <w:p w:rsidR="003239B8" w:rsidRPr="00AE4262" w:rsidRDefault="003239B8" w:rsidP="00AE4262">
      <w:pPr>
        <w:spacing w:before="240" w:after="240"/>
        <w:ind w:firstLine="720"/>
        <w:jc w:val="both"/>
        <w:rPr>
          <w:rFonts w:asciiTheme="majorHAnsi" w:hAnsiTheme="majorHAnsi"/>
          <w:b/>
          <w:bCs/>
          <w:sz w:val="20"/>
          <w:szCs w:val="20"/>
          <w:lang w:val="es-ES"/>
        </w:rPr>
      </w:pPr>
      <w:r w:rsidRPr="00AE4262">
        <w:rPr>
          <w:rFonts w:asciiTheme="majorHAnsi" w:hAnsiTheme="majorHAnsi"/>
          <w:b/>
          <w:bCs/>
          <w:sz w:val="20"/>
          <w:szCs w:val="20"/>
          <w:lang w:val="es-ES"/>
        </w:rPr>
        <w:t xml:space="preserve">III. </w:t>
      </w:r>
      <w:r w:rsidRPr="00AE4262">
        <w:rPr>
          <w:rFonts w:asciiTheme="majorHAnsi" w:hAnsiTheme="majorHAnsi"/>
          <w:b/>
          <w:bCs/>
          <w:sz w:val="20"/>
          <w:szCs w:val="20"/>
          <w:lang w:val="es-ES"/>
        </w:rPr>
        <w:tab/>
        <w:t>COMPETENCIA</w:t>
      </w:r>
      <w:r w:rsidR="00EE00E9" w:rsidRPr="00AE426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E4262" w:rsidTr="00720F70">
        <w:trPr>
          <w:cantSplit/>
        </w:trPr>
        <w:tc>
          <w:tcPr>
            <w:tcW w:w="3600" w:type="dxa"/>
            <w:tcBorders>
              <w:top w:val="single" w:sz="4" w:space="0" w:color="auto"/>
              <w:bottom w:val="single" w:sz="6" w:space="0" w:color="auto"/>
            </w:tcBorders>
            <w:shd w:val="clear" w:color="auto" w:fill="386294"/>
            <w:vAlign w:val="center"/>
          </w:tcPr>
          <w:p w:rsidR="003239B8" w:rsidRPr="00AE4262" w:rsidRDefault="003239B8" w:rsidP="00AE4262">
            <w:pPr>
              <w:jc w:val="center"/>
              <w:rPr>
                <w:rFonts w:ascii="Cambria" w:hAnsi="Cambria"/>
                <w:b/>
                <w:bCs/>
                <w:i/>
                <w:color w:val="FFFFFF" w:themeColor="background1"/>
                <w:sz w:val="20"/>
                <w:szCs w:val="20"/>
                <w:lang w:val="es-ES"/>
              </w:rPr>
            </w:pPr>
            <w:r w:rsidRPr="00AE4262">
              <w:rPr>
                <w:rFonts w:ascii="Cambria" w:hAnsi="Cambria"/>
                <w:b/>
                <w:bCs/>
                <w:color w:val="FFFFFF" w:themeColor="background1"/>
                <w:sz w:val="20"/>
                <w:szCs w:val="20"/>
                <w:lang w:val="es-ES"/>
              </w:rPr>
              <w:t>Competencia</w:t>
            </w:r>
            <w:r w:rsidRPr="00AE4262">
              <w:rPr>
                <w:rFonts w:ascii="Cambria" w:hAnsi="Cambria"/>
                <w:b/>
                <w:bCs/>
                <w:i/>
                <w:color w:val="FFFFFF" w:themeColor="background1"/>
                <w:sz w:val="20"/>
                <w:szCs w:val="20"/>
                <w:lang w:val="es-ES"/>
              </w:rPr>
              <w:t xml:space="preserve"> Ratione personae:</w:t>
            </w:r>
          </w:p>
        </w:tc>
        <w:tc>
          <w:tcPr>
            <w:tcW w:w="5760" w:type="dxa"/>
            <w:vAlign w:val="center"/>
          </w:tcPr>
          <w:p w:rsidR="003239B8" w:rsidRPr="00AE4262" w:rsidRDefault="00092673" w:rsidP="00AE4262">
            <w:pPr>
              <w:rPr>
                <w:rFonts w:ascii="Cambria" w:hAnsi="Cambria"/>
                <w:bCs/>
                <w:sz w:val="20"/>
                <w:szCs w:val="20"/>
                <w:lang w:val="es-ES"/>
              </w:rPr>
            </w:pPr>
            <w:r w:rsidRPr="00AE4262">
              <w:rPr>
                <w:rFonts w:ascii="Cambria" w:hAnsi="Cambria"/>
                <w:bCs/>
                <w:sz w:val="20"/>
                <w:szCs w:val="20"/>
                <w:lang w:val="es-ES"/>
              </w:rPr>
              <w:t>Sí</w:t>
            </w:r>
          </w:p>
        </w:tc>
      </w:tr>
      <w:tr w:rsidR="003239B8" w:rsidRPr="00AE4262" w:rsidTr="00720F70">
        <w:trPr>
          <w:cantSplit/>
        </w:trPr>
        <w:tc>
          <w:tcPr>
            <w:tcW w:w="3600" w:type="dxa"/>
            <w:tcBorders>
              <w:top w:val="single" w:sz="6" w:space="0" w:color="auto"/>
              <w:bottom w:val="single" w:sz="6" w:space="0" w:color="auto"/>
            </w:tcBorders>
            <w:shd w:val="clear" w:color="auto" w:fill="386294"/>
            <w:vAlign w:val="center"/>
          </w:tcPr>
          <w:p w:rsidR="003239B8" w:rsidRPr="00AE4262" w:rsidRDefault="003239B8"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Competencia</w:t>
            </w:r>
            <w:r w:rsidRPr="00AE4262">
              <w:rPr>
                <w:rFonts w:ascii="Cambria" w:hAnsi="Cambria"/>
                <w:b/>
                <w:bCs/>
                <w:i/>
                <w:color w:val="FFFFFF" w:themeColor="background1"/>
                <w:sz w:val="20"/>
                <w:szCs w:val="20"/>
                <w:lang w:val="es-ES"/>
              </w:rPr>
              <w:t xml:space="preserve"> Ratione loci</w:t>
            </w:r>
            <w:r w:rsidRPr="00AE4262">
              <w:rPr>
                <w:rFonts w:ascii="Cambria" w:hAnsi="Cambria"/>
                <w:b/>
                <w:bCs/>
                <w:color w:val="FFFFFF" w:themeColor="background1"/>
                <w:sz w:val="20"/>
                <w:szCs w:val="20"/>
                <w:lang w:val="es-ES"/>
              </w:rPr>
              <w:t>:</w:t>
            </w:r>
          </w:p>
        </w:tc>
        <w:tc>
          <w:tcPr>
            <w:tcW w:w="5760" w:type="dxa"/>
            <w:vAlign w:val="center"/>
          </w:tcPr>
          <w:p w:rsidR="003239B8" w:rsidRPr="00AE4262" w:rsidRDefault="00092673" w:rsidP="00AE4262">
            <w:pPr>
              <w:rPr>
                <w:rFonts w:ascii="Cambria" w:hAnsi="Cambria"/>
                <w:bCs/>
                <w:sz w:val="20"/>
                <w:szCs w:val="20"/>
                <w:lang w:val="es-ES"/>
              </w:rPr>
            </w:pPr>
            <w:r w:rsidRPr="00AE4262">
              <w:rPr>
                <w:rFonts w:ascii="Cambria" w:hAnsi="Cambria"/>
                <w:bCs/>
                <w:sz w:val="20"/>
                <w:szCs w:val="20"/>
                <w:lang w:val="es-ES"/>
              </w:rPr>
              <w:t>Sí</w:t>
            </w:r>
          </w:p>
        </w:tc>
      </w:tr>
      <w:tr w:rsidR="003239B8" w:rsidRPr="00AE4262" w:rsidTr="00720F70">
        <w:trPr>
          <w:cantSplit/>
        </w:trPr>
        <w:tc>
          <w:tcPr>
            <w:tcW w:w="3600" w:type="dxa"/>
            <w:tcBorders>
              <w:top w:val="single" w:sz="6" w:space="0" w:color="auto"/>
              <w:bottom w:val="single" w:sz="6" w:space="0" w:color="auto"/>
            </w:tcBorders>
            <w:shd w:val="clear" w:color="auto" w:fill="386294"/>
            <w:vAlign w:val="center"/>
          </w:tcPr>
          <w:p w:rsidR="003239B8" w:rsidRPr="00AE4262" w:rsidRDefault="003239B8"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Competencia</w:t>
            </w:r>
            <w:r w:rsidRPr="00AE4262">
              <w:rPr>
                <w:rFonts w:ascii="Cambria" w:hAnsi="Cambria"/>
                <w:b/>
                <w:bCs/>
                <w:i/>
                <w:color w:val="FFFFFF" w:themeColor="background1"/>
                <w:sz w:val="20"/>
                <w:szCs w:val="20"/>
                <w:lang w:val="es-ES"/>
              </w:rPr>
              <w:t xml:space="preserve"> Ratione temporis</w:t>
            </w:r>
            <w:r w:rsidRPr="00AE4262">
              <w:rPr>
                <w:rFonts w:ascii="Cambria" w:hAnsi="Cambria"/>
                <w:b/>
                <w:bCs/>
                <w:color w:val="FFFFFF" w:themeColor="background1"/>
                <w:sz w:val="20"/>
                <w:szCs w:val="20"/>
                <w:lang w:val="es-ES"/>
              </w:rPr>
              <w:t>:</w:t>
            </w:r>
          </w:p>
        </w:tc>
        <w:tc>
          <w:tcPr>
            <w:tcW w:w="5760" w:type="dxa"/>
            <w:vAlign w:val="center"/>
          </w:tcPr>
          <w:p w:rsidR="003239B8" w:rsidRPr="00AE4262" w:rsidRDefault="00092673" w:rsidP="00AE4262">
            <w:pPr>
              <w:rPr>
                <w:bCs/>
                <w:sz w:val="20"/>
                <w:szCs w:val="20"/>
                <w:lang w:val="es-ES"/>
              </w:rPr>
            </w:pPr>
            <w:r w:rsidRPr="00AE4262">
              <w:rPr>
                <w:bCs/>
                <w:sz w:val="20"/>
                <w:szCs w:val="20"/>
                <w:lang w:val="es-ES"/>
              </w:rPr>
              <w:t>Sí</w:t>
            </w:r>
          </w:p>
        </w:tc>
      </w:tr>
      <w:tr w:rsidR="003239B8" w:rsidRPr="00D039FE" w:rsidTr="00720F70">
        <w:trPr>
          <w:cantSplit/>
        </w:trPr>
        <w:tc>
          <w:tcPr>
            <w:tcW w:w="3600" w:type="dxa"/>
            <w:tcBorders>
              <w:top w:val="single" w:sz="6" w:space="0" w:color="auto"/>
              <w:bottom w:val="single" w:sz="6" w:space="0" w:color="auto"/>
            </w:tcBorders>
            <w:shd w:val="clear" w:color="auto" w:fill="386294"/>
            <w:vAlign w:val="center"/>
          </w:tcPr>
          <w:p w:rsidR="003239B8" w:rsidRPr="00AE4262" w:rsidRDefault="003239B8"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Competencia</w:t>
            </w:r>
            <w:r w:rsidRPr="00AE4262">
              <w:rPr>
                <w:rFonts w:ascii="Cambria" w:hAnsi="Cambria"/>
                <w:b/>
                <w:bCs/>
                <w:i/>
                <w:color w:val="FFFFFF" w:themeColor="background1"/>
                <w:sz w:val="20"/>
                <w:szCs w:val="20"/>
                <w:lang w:val="es-ES"/>
              </w:rPr>
              <w:t xml:space="preserve"> Ratione materia</w:t>
            </w:r>
            <w:r w:rsidR="00EE00E9" w:rsidRPr="00AE4262">
              <w:rPr>
                <w:rFonts w:ascii="Cambria" w:hAnsi="Cambria"/>
                <w:b/>
                <w:bCs/>
                <w:i/>
                <w:color w:val="FFFFFF" w:themeColor="background1"/>
                <w:sz w:val="20"/>
                <w:szCs w:val="20"/>
                <w:lang w:val="es-ES"/>
              </w:rPr>
              <w:t>e</w:t>
            </w:r>
            <w:r w:rsidRPr="00AE4262">
              <w:rPr>
                <w:rFonts w:ascii="Cambria" w:hAnsi="Cambria"/>
                <w:b/>
                <w:bCs/>
                <w:color w:val="FFFFFF" w:themeColor="background1"/>
                <w:sz w:val="20"/>
                <w:szCs w:val="20"/>
                <w:lang w:val="es-ES"/>
              </w:rPr>
              <w:t>:</w:t>
            </w:r>
          </w:p>
        </w:tc>
        <w:tc>
          <w:tcPr>
            <w:tcW w:w="5760" w:type="dxa"/>
            <w:vAlign w:val="center"/>
          </w:tcPr>
          <w:p w:rsidR="003239B8" w:rsidRPr="00AE4262" w:rsidRDefault="00092673" w:rsidP="00AE4262">
            <w:pPr>
              <w:jc w:val="both"/>
              <w:rPr>
                <w:rFonts w:ascii="Cambria" w:hAnsi="Cambria"/>
                <w:bCs/>
                <w:sz w:val="20"/>
                <w:szCs w:val="20"/>
                <w:lang w:val="es-ES"/>
              </w:rPr>
            </w:pPr>
            <w:r w:rsidRPr="00AE4262">
              <w:rPr>
                <w:rFonts w:ascii="Cambria" w:hAnsi="Cambria"/>
                <w:bCs/>
                <w:sz w:val="20"/>
                <w:szCs w:val="20"/>
                <w:lang w:val="es-ES"/>
              </w:rPr>
              <w:t xml:space="preserve">Sí, </w:t>
            </w:r>
            <w:r w:rsidR="00E1078A" w:rsidRPr="00AE4262">
              <w:rPr>
                <w:rFonts w:ascii="Cambria" w:hAnsi="Cambria"/>
                <w:bCs/>
                <w:sz w:val="20"/>
                <w:szCs w:val="20"/>
                <w:bdr w:val="none" w:sz="0" w:space="0" w:color="auto" w:frame="1"/>
                <w:lang w:val="es-ES"/>
              </w:rPr>
              <w:t>Convención Americana</w:t>
            </w:r>
            <w:r w:rsidR="00041A5D" w:rsidRPr="00AE4262">
              <w:rPr>
                <w:rFonts w:ascii="Cambria" w:hAnsi="Cambria"/>
                <w:bCs/>
                <w:sz w:val="20"/>
                <w:szCs w:val="20"/>
                <w:bdr w:val="none" w:sz="0" w:space="0" w:color="auto" w:frame="1"/>
                <w:lang w:val="es-ES"/>
              </w:rPr>
              <w:t xml:space="preserve"> (depósito de instrumento realizado el </w:t>
            </w:r>
            <w:r w:rsidR="00041A5D" w:rsidRPr="00AE4262">
              <w:rPr>
                <w:rFonts w:ascii="Cambria" w:hAnsi="Cambria"/>
                <w:bCs/>
                <w:sz w:val="20"/>
                <w:szCs w:val="20"/>
                <w:lang w:val="es-ES"/>
              </w:rPr>
              <w:t>21 de agosto de 1990</w:t>
            </w:r>
            <w:r w:rsidR="000B0D16" w:rsidRPr="00AE4262">
              <w:rPr>
                <w:rFonts w:ascii="Cambria" w:hAnsi="Cambria"/>
                <w:bCs/>
                <w:sz w:val="20"/>
                <w:szCs w:val="20"/>
                <w:bdr w:val="none" w:sz="0" w:space="0" w:color="auto" w:frame="1"/>
                <w:lang w:val="es-ES"/>
              </w:rPr>
              <w:t xml:space="preserve">) y </w:t>
            </w:r>
            <w:r w:rsidR="008F7787" w:rsidRPr="00AE4262">
              <w:rPr>
                <w:rFonts w:ascii="Cambria" w:hAnsi="Cambria"/>
                <w:bCs/>
                <w:sz w:val="20"/>
                <w:szCs w:val="20"/>
                <w:bdr w:val="none" w:sz="0" w:space="0" w:color="auto" w:frame="1"/>
                <w:lang w:val="es-ES"/>
              </w:rPr>
              <w:t>Convención Interamericana para Prevenir, Sancionar y Erradicar la Violencia contra la Mujer</w:t>
            </w:r>
            <w:r w:rsidR="002F0B4C" w:rsidRPr="00AE4262">
              <w:rPr>
                <w:rFonts w:ascii="Cambria" w:hAnsi="Cambria"/>
                <w:bCs/>
                <w:sz w:val="20"/>
                <w:szCs w:val="20"/>
                <w:bdr w:val="none" w:sz="0" w:space="0" w:color="auto" w:frame="1"/>
                <w:lang w:val="es-ES"/>
              </w:rPr>
              <w:t xml:space="preserve"> </w:t>
            </w:r>
            <w:r w:rsidR="00041A5D" w:rsidRPr="00AE4262">
              <w:rPr>
                <w:rFonts w:ascii="Cambria" w:hAnsi="Cambria"/>
                <w:bCs/>
                <w:sz w:val="20"/>
                <w:szCs w:val="20"/>
                <w:bdr w:val="none" w:sz="0" w:space="0" w:color="auto" w:frame="1"/>
                <w:lang w:val="es-ES"/>
              </w:rPr>
              <w:t xml:space="preserve">(depósito de instrumento realizado el </w:t>
            </w:r>
            <w:r w:rsidR="00041A5D" w:rsidRPr="00AE4262">
              <w:rPr>
                <w:rFonts w:ascii="Cambria" w:hAnsi="Cambria"/>
                <w:bCs/>
                <w:sz w:val="20"/>
                <w:szCs w:val="20"/>
                <w:lang w:val="es-ES"/>
              </w:rPr>
              <w:t>15 de noviembre de 1996</w:t>
            </w:r>
            <w:r w:rsidR="00041A5D" w:rsidRPr="00AE4262">
              <w:rPr>
                <w:rFonts w:ascii="Cambria" w:hAnsi="Cambria"/>
                <w:bCs/>
                <w:sz w:val="20"/>
                <w:szCs w:val="20"/>
                <w:bdr w:val="none" w:sz="0" w:space="0" w:color="auto" w:frame="1"/>
                <w:lang w:val="es-ES"/>
              </w:rPr>
              <w:t>)</w:t>
            </w:r>
          </w:p>
        </w:tc>
      </w:tr>
    </w:tbl>
    <w:p w:rsidR="003239B8" w:rsidRPr="00AE4262" w:rsidRDefault="003239B8" w:rsidP="00AE4262">
      <w:pPr>
        <w:spacing w:before="240" w:after="240"/>
        <w:ind w:firstLine="720"/>
        <w:jc w:val="both"/>
        <w:rPr>
          <w:rFonts w:asciiTheme="majorHAnsi" w:hAnsiTheme="majorHAnsi"/>
          <w:b/>
          <w:bCs/>
          <w:sz w:val="20"/>
          <w:szCs w:val="20"/>
          <w:lang w:val="es-ES"/>
        </w:rPr>
      </w:pPr>
      <w:r w:rsidRPr="00AE4262">
        <w:rPr>
          <w:rFonts w:asciiTheme="majorHAnsi" w:hAnsiTheme="majorHAnsi"/>
          <w:b/>
          <w:bCs/>
          <w:sz w:val="20"/>
          <w:szCs w:val="20"/>
          <w:lang w:val="es-ES"/>
        </w:rPr>
        <w:t xml:space="preserve">IV. </w:t>
      </w:r>
      <w:r w:rsidRPr="00AE4262">
        <w:rPr>
          <w:rFonts w:asciiTheme="majorHAnsi" w:hAnsiTheme="majorHAnsi"/>
          <w:b/>
          <w:bCs/>
          <w:sz w:val="20"/>
          <w:szCs w:val="20"/>
          <w:lang w:val="es-ES"/>
        </w:rPr>
        <w:tab/>
      </w:r>
      <w:r w:rsidR="00EE00E9" w:rsidRPr="00AE4262">
        <w:rPr>
          <w:rFonts w:asciiTheme="majorHAnsi" w:hAnsiTheme="majorHAnsi"/>
          <w:b/>
          <w:bCs/>
          <w:sz w:val="20"/>
          <w:szCs w:val="20"/>
          <w:lang w:val="es-ES"/>
        </w:rPr>
        <w:t>DUPLICACIÓN</w:t>
      </w:r>
      <w:r w:rsidR="00EE00E9" w:rsidRPr="00AE4262">
        <w:rPr>
          <w:rFonts w:asciiTheme="majorHAnsi" w:hAnsiTheme="majorHAnsi"/>
          <w:b/>
          <w:bCs/>
          <w:color w:val="FFFFFF" w:themeColor="background1"/>
          <w:sz w:val="20"/>
          <w:szCs w:val="20"/>
          <w:lang w:val="es-ES"/>
        </w:rPr>
        <w:t xml:space="preserve"> </w:t>
      </w:r>
      <w:r w:rsidR="00EE00E9" w:rsidRPr="00AE4262">
        <w:rPr>
          <w:rFonts w:asciiTheme="majorHAnsi" w:hAnsiTheme="majorHAnsi"/>
          <w:b/>
          <w:bCs/>
          <w:sz w:val="20"/>
          <w:szCs w:val="20"/>
          <w:lang w:val="es-ES"/>
        </w:rPr>
        <w:t>DE PROCEDIMIENTOS Y COSA JUZGADA</w:t>
      </w:r>
      <w:r w:rsidR="00EE00E9" w:rsidRPr="00AE4262">
        <w:rPr>
          <w:rFonts w:asciiTheme="majorHAnsi" w:hAnsiTheme="majorHAnsi"/>
          <w:b/>
          <w:bCs/>
          <w:i/>
          <w:sz w:val="20"/>
          <w:szCs w:val="20"/>
          <w:lang w:val="es-ES"/>
        </w:rPr>
        <w:t xml:space="preserve"> </w:t>
      </w:r>
      <w:r w:rsidR="00EE00E9" w:rsidRPr="00AE4262">
        <w:rPr>
          <w:rFonts w:asciiTheme="majorHAnsi" w:hAnsiTheme="majorHAnsi"/>
          <w:b/>
          <w:bCs/>
          <w:sz w:val="20"/>
          <w:szCs w:val="20"/>
          <w:lang w:val="es-ES"/>
        </w:rPr>
        <w:t>INTERNACIONAL,</w:t>
      </w:r>
      <w:r w:rsidR="00E509C6" w:rsidRPr="00AE4262">
        <w:rPr>
          <w:rFonts w:asciiTheme="majorHAnsi" w:hAnsiTheme="majorHAnsi"/>
          <w:b/>
          <w:bCs/>
          <w:sz w:val="20"/>
          <w:szCs w:val="20"/>
          <w:lang w:val="es-ES"/>
        </w:rPr>
        <w:t xml:space="preserve"> </w:t>
      </w:r>
      <w:r w:rsidRPr="00AE4262">
        <w:rPr>
          <w:rFonts w:asciiTheme="majorHAnsi" w:hAnsiTheme="majorHAnsi"/>
          <w:b/>
          <w:bCs/>
          <w:sz w:val="20"/>
          <w:szCs w:val="20"/>
          <w:lang w:val="es-ES"/>
        </w:rPr>
        <w:t xml:space="preserve">CARACTERIZACIÓN, </w:t>
      </w:r>
      <w:r w:rsidRPr="00AE426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AE4262" w:rsidTr="00720F70">
        <w:trPr>
          <w:cantSplit/>
        </w:trPr>
        <w:tc>
          <w:tcPr>
            <w:tcW w:w="3600" w:type="dxa"/>
            <w:tcBorders>
              <w:top w:val="single" w:sz="4" w:space="0" w:color="auto"/>
              <w:bottom w:val="single" w:sz="6" w:space="0" w:color="auto"/>
            </w:tcBorders>
            <w:shd w:val="clear" w:color="auto" w:fill="386294"/>
            <w:vAlign w:val="center"/>
          </w:tcPr>
          <w:p w:rsidR="00EE00E9" w:rsidRPr="00AE4262" w:rsidRDefault="00EE00E9"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AE4262" w:rsidRDefault="00A83259" w:rsidP="00AE4262">
            <w:pPr>
              <w:jc w:val="both"/>
              <w:rPr>
                <w:rFonts w:ascii="Cambria" w:hAnsi="Cambria"/>
                <w:bCs/>
                <w:sz w:val="20"/>
                <w:szCs w:val="20"/>
                <w:lang w:val="es-ES"/>
              </w:rPr>
            </w:pPr>
            <w:r w:rsidRPr="00AE4262">
              <w:rPr>
                <w:rFonts w:ascii="Cambria" w:hAnsi="Cambria"/>
                <w:bCs/>
                <w:sz w:val="20"/>
                <w:szCs w:val="20"/>
                <w:lang w:val="es-ES"/>
              </w:rPr>
              <w:t>No</w:t>
            </w:r>
          </w:p>
        </w:tc>
      </w:tr>
      <w:tr w:rsidR="003239B8" w:rsidRPr="00D039FE" w:rsidTr="00720F70">
        <w:trPr>
          <w:cantSplit/>
        </w:trPr>
        <w:tc>
          <w:tcPr>
            <w:tcW w:w="3600" w:type="dxa"/>
            <w:tcBorders>
              <w:top w:val="single" w:sz="4" w:space="0" w:color="auto"/>
              <w:bottom w:val="single" w:sz="6" w:space="0" w:color="auto"/>
            </w:tcBorders>
            <w:shd w:val="clear" w:color="auto" w:fill="386294"/>
            <w:vAlign w:val="center"/>
          </w:tcPr>
          <w:p w:rsidR="003239B8" w:rsidRPr="00AE4262" w:rsidRDefault="003239B8" w:rsidP="00AE4262">
            <w:pPr>
              <w:jc w:val="center"/>
              <w:rPr>
                <w:rFonts w:ascii="Cambria" w:hAnsi="Cambria"/>
                <w:b/>
                <w:bCs/>
                <w:i/>
                <w:color w:val="FFFFFF" w:themeColor="background1"/>
                <w:sz w:val="20"/>
                <w:szCs w:val="20"/>
                <w:lang w:val="es-ES"/>
              </w:rPr>
            </w:pPr>
            <w:r w:rsidRPr="00AE4262">
              <w:rPr>
                <w:rFonts w:ascii="Cambria" w:hAnsi="Cambria"/>
                <w:b/>
                <w:bCs/>
                <w:color w:val="FFFFFF" w:themeColor="background1"/>
                <w:sz w:val="20"/>
                <w:szCs w:val="20"/>
                <w:lang w:val="es-ES"/>
              </w:rPr>
              <w:t>Derechos declarados admisibles</w:t>
            </w:r>
            <w:r w:rsidRPr="00AE4262">
              <w:rPr>
                <w:rFonts w:ascii="Cambria" w:hAnsi="Cambria"/>
                <w:b/>
                <w:bCs/>
                <w:i/>
                <w:color w:val="FFFFFF" w:themeColor="background1"/>
                <w:sz w:val="20"/>
                <w:szCs w:val="20"/>
                <w:lang w:val="es-ES"/>
              </w:rPr>
              <w:t>:</w:t>
            </w:r>
          </w:p>
        </w:tc>
        <w:tc>
          <w:tcPr>
            <w:tcW w:w="5760" w:type="dxa"/>
            <w:vAlign w:val="center"/>
          </w:tcPr>
          <w:p w:rsidR="003239B8" w:rsidRPr="00AE4262" w:rsidRDefault="003E085B" w:rsidP="00AE4262">
            <w:pPr>
              <w:jc w:val="both"/>
              <w:rPr>
                <w:rFonts w:ascii="Cambria" w:hAnsi="Cambria"/>
                <w:bCs/>
                <w:sz w:val="20"/>
                <w:szCs w:val="20"/>
                <w:lang w:val="es-ES"/>
              </w:rPr>
            </w:pPr>
            <w:r w:rsidRPr="00AE4262">
              <w:rPr>
                <w:rFonts w:ascii="Cambria" w:hAnsi="Cambria"/>
                <w:bCs/>
                <w:sz w:val="20"/>
                <w:szCs w:val="20"/>
                <w:lang w:val="es-US"/>
              </w:rPr>
              <w:t>Artículos 5 (integridad personal), 8 (garantías judiciales), 19 (derechos del niño), 24 (igualdad ante la ley) y 25 (protección judicial) en relación con los artículos 1.1 (obligación de respetar los derechos) y 2 (deber de adoptar disposiciones de derecho interno) de la Convención Americana, y artículo 7 de la Convención de Belém do Pará</w:t>
            </w:r>
          </w:p>
        </w:tc>
      </w:tr>
      <w:tr w:rsidR="003239B8" w:rsidRPr="00D039FE" w:rsidTr="00720F70">
        <w:trPr>
          <w:cantSplit/>
        </w:trPr>
        <w:tc>
          <w:tcPr>
            <w:tcW w:w="3600" w:type="dxa"/>
            <w:tcBorders>
              <w:top w:val="single" w:sz="6" w:space="0" w:color="auto"/>
              <w:bottom w:val="single" w:sz="6" w:space="0" w:color="auto"/>
            </w:tcBorders>
            <w:shd w:val="clear" w:color="auto" w:fill="386294"/>
            <w:vAlign w:val="center"/>
          </w:tcPr>
          <w:p w:rsidR="003239B8" w:rsidRPr="00AE4262" w:rsidRDefault="003239B8"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Agotamiento de recursos internos</w:t>
            </w:r>
            <w:r w:rsidR="00EE00E9" w:rsidRPr="00AE4262">
              <w:rPr>
                <w:rFonts w:ascii="Cambria" w:hAnsi="Cambria"/>
                <w:b/>
                <w:bCs/>
                <w:color w:val="FFFFFF" w:themeColor="background1"/>
                <w:sz w:val="20"/>
                <w:szCs w:val="20"/>
                <w:lang w:val="es-ES"/>
              </w:rPr>
              <w:t xml:space="preserve"> o procedencia de una excepción</w:t>
            </w:r>
            <w:r w:rsidRPr="00AE4262">
              <w:rPr>
                <w:rFonts w:ascii="Cambria" w:hAnsi="Cambria"/>
                <w:b/>
                <w:bCs/>
                <w:color w:val="FFFFFF" w:themeColor="background1"/>
                <w:sz w:val="20"/>
                <w:szCs w:val="20"/>
                <w:lang w:val="es-ES"/>
              </w:rPr>
              <w:t>:</w:t>
            </w:r>
          </w:p>
        </w:tc>
        <w:tc>
          <w:tcPr>
            <w:tcW w:w="5760" w:type="dxa"/>
            <w:vAlign w:val="center"/>
          </w:tcPr>
          <w:p w:rsidR="003239B8" w:rsidRPr="00AE4262" w:rsidRDefault="003E085B" w:rsidP="00AE4262">
            <w:pPr>
              <w:rPr>
                <w:rFonts w:ascii="Cambria" w:hAnsi="Cambria"/>
                <w:bCs/>
                <w:sz w:val="20"/>
                <w:szCs w:val="20"/>
                <w:lang w:val="es-ES"/>
              </w:rPr>
            </w:pPr>
            <w:r w:rsidRPr="00AE4262">
              <w:rPr>
                <w:rFonts w:ascii="Cambria" w:hAnsi="Cambria"/>
                <w:bCs/>
                <w:sz w:val="20"/>
                <w:szCs w:val="20"/>
                <w:lang w:val="es-ES"/>
              </w:rPr>
              <w:t>Sí, aplica excepción artículo 46.2.c de la Convención</w:t>
            </w:r>
          </w:p>
        </w:tc>
      </w:tr>
      <w:tr w:rsidR="003239B8" w:rsidRPr="00D039FE" w:rsidTr="00720F70">
        <w:trPr>
          <w:cantSplit/>
        </w:trPr>
        <w:tc>
          <w:tcPr>
            <w:tcW w:w="3600" w:type="dxa"/>
            <w:tcBorders>
              <w:top w:val="single" w:sz="6" w:space="0" w:color="auto"/>
              <w:bottom w:val="single" w:sz="6" w:space="0" w:color="auto"/>
            </w:tcBorders>
            <w:shd w:val="clear" w:color="auto" w:fill="386294"/>
            <w:vAlign w:val="center"/>
          </w:tcPr>
          <w:p w:rsidR="003239B8" w:rsidRPr="00AE4262" w:rsidRDefault="003239B8" w:rsidP="00AE4262">
            <w:pPr>
              <w:jc w:val="center"/>
              <w:rPr>
                <w:rFonts w:ascii="Cambria" w:hAnsi="Cambria"/>
                <w:b/>
                <w:bCs/>
                <w:color w:val="FFFFFF" w:themeColor="background1"/>
                <w:sz w:val="20"/>
                <w:szCs w:val="20"/>
                <w:lang w:val="es-ES"/>
              </w:rPr>
            </w:pPr>
            <w:r w:rsidRPr="00AE4262">
              <w:rPr>
                <w:rFonts w:ascii="Cambria" w:hAnsi="Cambria"/>
                <w:b/>
                <w:bCs/>
                <w:color w:val="FFFFFF" w:themeColor="background1"/>
                <w:sz w:val="20"/>
                <w:szCs w:val="20"/>
                <w:lang w:val="es-ES"/>
              </w:rPr>
              <w:t>Presentación dentro de plazo:</w:t>
            </w:r>
          </w:p>
        </w:tc>
        <w:tc>
          <w:tcPr>
            <w:tcW w:w="5760" w:type="dxa"/>
            <w:vAlign w:val="center"/>
          </w:tcPr>
          <w:p w:rsidR="003239B8" w:rsidRPr="00AE4262" w:rsidRDefault="003E085B" w:rsidP="00AE4262">
            <w:pPr>
              <w:rPr>
                <w:bCs/>
                <w:sz w:val="20"/>
                <w:szCs w:val="20"/>
                <w:lang w:val="es-ES"/>
              </w:rPr>
            </w:pPr>
            <w:r w:rsidRPr="00AE4262">
              <w:rPr>
                <w:rFonts w:ascii="Cambria" w:hAnsi="Cambria"/>
                <w:bCs/>
                <w:sz w:val="20"/>
                <w:szCs w:val="20"/>
                <w:lang w:val="es-ES"/>
              </w:rPr>
              <w:t>Sí, en los términos de la sección VI</w:t>
            </w:r>
          </w:p>
        </w:tc>
      </w:tr>
    </w:tbl>
    <w:p w:rsidR="00397D53" w:rsidRPr="00AE4262" w:rsidRDefault="00397D53" w:rsidP="00AE4262">
      <w:pPr>
        <w:spacing w:before="240" w:after="240"/>
        <w:ind w:firstLine="720"/>
        <w:jc w:val="both"/>
        <w:rPr>
          <w:rFonts w:asciiTheme="majorHAnsi" w:hAnsiTheme="majorHAnsi"/>
          <w:b/>
          <w:sz w:val="20"/>
          <w:szCs w:val="20"/>
          <w:lang w:val="es-ES"/>
        </w:rPr>
      </w:pPr>
    </w:p>
    <w:p w:rsidR="00397D53" w:rsidRPr="00AE4262" w:rsidRDefault="00397D53" w:rsidP="00AE4262">
      <w:pPr>
        <w:spacing w:before="240" w:after="240"/>
        <w:ind w:firstLine="720"/>
        <w:jc w:val="both"/>
        <w:rPr>
          <w:rFonts w:asciiTheme="majorHAnsi" w:hAnsiTheme="majorHAnsi"/>
          <w:b/>
          <w:sz w:val="20"/>
          <w:szCs w:val="20"/>
          <w:lang w:val="es-ES"/>
        </w:rPr>
      </w:pPr>
    </w:p>
    <w:p w:rsidR="00397D53" w:rsidRPr="00AE4262" w:rsidRDefault="00397D53" w:rsidP="00AE4262">
      <w:pPr>
        <w:spacing w:before="240" w:after="240"/>
        <w:ind w:firstLine="720"/>
        <w:jc w:val="both"/>
        <w:rPr>
          <w:rFonts w:asciiTheme="majorHAnsi" w:hAnsiTheme="majorHAnsi"/>
          <w:b/>
          <w:sz w:val="20"/>
          <w:szCs w:val="20"/>
          <w:lang w:val="es-ES"/>
        </w:rPr>
      </w:pPr>
    </w:p>
    <w:p w:rsidR="003239B8" w:rsidRPr="00AE4262" w:rsidRDefault="00223A29" w:rsidP="00AE4262">
      <w:pPr>
        <w:spacing w:before="240" w:after="240"/>
        <w:ind w:firstLine="720"/>
        <w:jc w:val="both"/>
        <w:rPr>
          <w:rFonts w:asciiTheme="majorHAnsi" w:hAnsiTheme="majorHAnsi"/>
          <w:b/>
          <w:sz w:val="20"/>
          <w:szCs w:val="20"/>
          <w:lang w:val="es-ES"/>
        </w:rPr>
      </w:pPr>
      <w:r w:rsidRPr="00AE4262">
        <w:rPr>
          <w:rFonts w:asciiTheme="majorHAnsi" w:hAnsiTheme="majorHAnsi"/>
          <w:b/>
          <w:sz w:val="20"/>
          <w:szCs w:val="20"/>
          <w:lang w:val="es-ES"/>
        </w:rPr>
        <w:lastRenderedPageBreak/>
        <w:t xml:space="preserve">V. </w:t>
      </w:r>
      <w:r w:rsidRPr="00AE4262">
        <w:rPr>
          <w:rFonts w:asciiTheme="majorHAnsi" w:hAnsiTheme="majorHAnsi"/>
          <w:b/>
          <w:sz w:val="20"/>
          <w:szCs w:val="20"/>
          <w:lang w:val="es-ES"/>
        </w:rPr>
        <w:tab/>
      </w:r>
      <w:r w:rsidR="003239B8" w:rsidRPr="00AE4262">
        <w:rPr>
          <w:rFonts w:asciiTheme="majorHAnsi" w:hAnsiTheme="majorHAnsi"/>
          <w:b/>
          <w:sz w:val="20"/>
          <w:szCs w:val="20"/>
          <w:lang w:val="es-ES"/>
        </w:rPr>
        <w:t xml:space="preserve">HECHOS ALEGADOS </w:t>
      </w:r>
    </w:p>
    <w:p w:rsidR="00FA3209" w:rsidRPr="00AE4262" w:rsidRDefault="00FA3209"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La peticionaria alega que</w:t>
      </w:r>
      <w:r w:rsidR="005272F3" w:rsidRPr="00AE4262">
        <w:rPr>
          <w:rFonts w:ascii="Cambria" w:hAnsi="Cambria"/>
          <w:sz w:val="20"/>
          <w:szCs w:val="20"/>
          <w:lang w:val="es-ES"/>
        </w:rPr>
        <w:t xml:space="preserve"> la presunta víctima, </w:t>
      </w:r>
      <w:r w:rsidR="005272F3" w:rsidRPr="00AE4262">
        <w:rPr>
          <w:rFonts w:ascii="Cambria" w:hAnsi="Cambria"/>
          <w:bCs/>
          <w:sz w:val="20"/>
          <w:szCs w:val="20"/>
          <w:lang w:val="es-ES"/>
        </w:rPr>
        <w:t xml:space="preserve">Tatiana Marisa Barría Mardones, </w:t>
      </w:r>
      <w:r w:rsidR="005272F3" w:rsidRPr="00AE4262">
        <w:rPr>
          <w:rFonts w:ascii="Cambria" w:hAnsi="Cambria"/>
          <w:sz w:val="20"/>
          <w:szCs w:val="20"/>
          <w:lang w:val="es-ES"/>
        </w:rPr>
        <w:t>mantuvo una relación de pareja</w:t>
      </w:r>
      <w:r w:rsidR="000A3A2F" w:rsidRPr="00AE4262">
        <w:rPr>
          <w:rFonts w:ascii="Cambria" w:hAnsi="Cambria"/>
          <w:sz w:val="20"/>
          <w:szCs w:val="20"/>
          <w:lang w:val="es-ES"/>
        </w:rPr>
        <w:t xml:space="preserve"> </w:t>
      </w:r>
      <w:r w:rsidR="00385E91" w:rsidRPr="00AE4262">
        <w:rPr>
          <w:rFonts w:ascii="Cambria" w:hAnsi="Cambria"/>
          <w:sz w:val="20"/>
          <w:szCs w:val="20"/>
          <w:lang w:val="es-ES"/>
        </w:rPr>
        <w:t>que culminó en 2003</w:t>
      </w:r>
      <w:r w:rsidR="005272F3" w:rsidRPr="00AE4262">
        <w:rPr>
          <w:rFonts w:ascii="Cambria" w:hAnsi="Cambria"/>
          <w:sz w:val="20"/>
          <w:szCs w:val="20"/>
          <w:lang w:val="es-ES"/>
        </w:rPr>
        <w:t xml:space="preserve">, </w:t>
      </w:r>
      <w:r w:rsidR="00385E91" w:rsidRPr="00AE4262">
        <w:rPr>
          <w:rFonts w:ascii="Cambria" w:hAnsi="Cambria"/>
          <w:sz w:val="20"/>
          <w:szCs w:val="20"/>
          <w:lang w:val="es-ES"/>
        </w:rPr>
        <w:t>producto de “las violencias físicas y psicológica</w:t>
      </w:r>
      <w:r w:rsidR="005272F3" w:rsidRPr="00AE4262">
        <w:rPr>
          <w:rFonts w:ascii="Cambria" w:hAnsi="Cambria"/>
          <w:sz w:val="20"/>
          <w:szCs w:val="20"/>
          <w:lang w:val="es-ES"/>
        </w:rPr>
        <w:t>s</w:t>
      </w:r>
      <w:r w:rsidR="00385E91" w:rsidRPr="00AE4262">
        <w:rPr>
          <w:rFonts w:ascii="Cambria" w:hAnsi="Cambria"/>
          <w:sz w:val="20"/>
          <w:szCs w:val="20"/>
          <w:lang w:val="es-ES"/>
        </w:rPr>
        <w:t xml:space="preserve"> que sufrió</w:t>
      </w:r>
      <w:r w:rsidR="00007409" w:rsidRPr="00AE4262">
        <w:rPr>
          <w:rFonts w:ascii="Cambria" w:hAnsi="Cambria"/>
          <w:sz w:val="20"/>
          <w:szCs w:val="20"/>
          <w:lang w:val="es-ES"/>
        </w:rPr>
        <w:t>”</w:t>
      </w:r>
      <w:r w:rsidR="005272F3" w:rsidRPr="00AE4262">
        <w:rPr>
          <w:rFonts w:ascii="Cambria" w:hAnsi="Cambria"/>
          <w:sz w:val="20"/>
          <w:szCs w:val="20"/>
          <w:lang w:val="es-ES"/>
        </w:rPr>
        <w:t xml:space="preserve">. </w:t>
      </w:r>
      <w:r w:rsidR="000A3A2F" w:rsidRPr="00AE4262">
        <w:rPr>
          <w:rFonts w:ascii="Cambria" w:hAnsi="Cambria"/>
          <w:sz w:val="20"/>
          <w:szCs w:val="20"/>
          <w:lang w:val="es-ES"/>
        </w:rPr>
        <w:t>A</w:t>
      </w:r>
      <w:r w:rsidR="005272F3" w:rsidRPr="00AE4262">
        <w:rPr>
          <w:rFonts w:ascii="Cambria" w:hAnsi="Cambria"/>
          <w:sz w:val="20"/>
          <w:szCs w:val="20"/>
          <w:lang w:val="es-ES"/>
        </w:rPr>
        <w:t xml:space="preserve">firma que </w:t>
      </w:r>
      <w:r w:rsidRPr="00AE4262">
        <w:rPr>
          <w:rFonts w:ascii="Cambria" w:hAnsi="Cambria"/>
          <w:sz w:val="20"/>
          <w:szCs w:val="20"/>
          <w:lang w:val="es-ES"/>
        </w:rPr>
        <w:t>el 11 de marzo de 2007</w:t>
      </w:r>
      <w:r w:rsidR="000A3A2F" w:rsidRPr="00AE4262">
        <w:rPr>
          <w:rFonts w:ascii="Cambria" w:hAnsi="Cambria"/>
          <w:sz w:val="20"/>
          <w:szCs w:val="20"/>
          <w:lang w:val="es-ES"/>
        </w:rPr>
        <w:t>, mientras se encontraba en su casa junto a su hija</w:t>
      </w:r>
      <w:r w:rsidR="00BA61F4" w:rsidRPr="00AE4262">
        <w:rPr>
          <w:rFonts w:ascii="Cambria" w:hAnsi="Cambria"/>
          <w:sz w:val="20"/>
          <w:szCs w:val="20"/>
          <w:lang w:val="es-ES"/>
        </w:rPr>
        <w:t xml:space="preserve"> de doce años,</w:t>
      </w:r>
      <w:r w:rsidR="000A3A2F" w:rsidRPr="00AE4262">
        <w:rPr>
          <w:rFonts w:ascii="Cambria" w:hAnsi="Cambria"/>
          <w:sz w:val="20"/>
          <w:szCs w:val="20"/>
          <w:lang w:val="es-ES"/>
        </w:rPr>
        <w:t xml:space="preserve"> y </w:t>
      </w:r>
      <w:r w:rsidRPr="00AE4262">
        <w:rPr>
          <w:rFonts w:ascii="Cambria" w:hAnsi="Cambria"/>
          <w:sz w:val="20"/>
          <w:szCs w:val="20"/>
          <w:lang w:val="es-ES"/>
        </w:rPr>
        <w:t xml:space="preserve">su </w:t>
      </w:r>
      <w:r w:rsidR="00896228" w:rsidRPr="00AE4262">
        <w:rPr>
          <w:rFonts w:ascii="Cambria" w:hAnsi="Cambria"/>
          <w:sz w:val="20"/>
          <w:szCs w:val="20"/>
          <w:lang w:val="es-ES"/>
        </w:rPr>
        <w:t>entonces</w:t>
      </w:r>
      <w:r w:rsidRPr="00AE4262">
        <w:rPr>
          <w:rFonts w:ascii="Cambria" w:hAnsi="Cambria"/>
          <w:sz w:val="20"/>
          <w:szCs w:val="20"/>
          <w:lang w:val="es-ES"/>
        </w:rPr>
        <w:t xml:space="preserve"> pareja</w:t>
      </w:r>
      <w:r w:rsidR="004F7523" w:rsidRPr="00AE4262">
        <w:rPr>
          <w:rFonts w:ascii="Cambria" w:hAnsi="Cambria"/>
          <w:sz w:val="20"/>
          <w:szCs w:val="20"/>
          <w:lang w:val="es-ES"/>
        </w:rPr>
        <w:t>, Luis Santos</w:t>
      </w:r>
      <w:r w:rsidR="005272F3" w:rsidRPr="00AE4262">
        <w:rPr>
          <w:rFonts w:ascii="Cambria" w:hAnsi="Cambria"/>
          <w:sz w:val="20"/>
          <w:szCs w:val="20"/>
          <w:lang w:val="es-ES"/>
        </w:rPr>
        <w:t xml:space="preserve">, </w:t>
      </w:r>
      <w:r w:rsidR="000A3A2F" w:rsidRPr="00AE4262">
        <w:rPr>
          <w:rFonts w:ascii="Cambria" w:hAnsi="Cambria"/>
          <w:sz w:val="20"/>
          <w:szCs w:val="20"/>
          <w:lang w:val="es-ES"/>
        </w:rPr>
        <w:t xml:space="preserve">llegó a su hogar </w:t>
      </w:r>
      <w:r w:rsidR="00030BAA" w:rsidRPr="00AE4262">
        <w:rPr>
          <w:rFonts w:ascii="Cambria" w:hAnsi="Cambria"/>
          <w:sz w:val="20"/>
          <w:szCs w:val="20"/>
          <w:lang w:val="es-ES"/>
        </w:rPr>
        <w:t>su ex pareja</w:t>
      </w:r>
      <w:r w:rsidR="008C33E5" w:rsidRPr="00AE4262">
        <w:rPr>
          <w:rFonts w:ascii="Cambria" w:hAnsi="Cambria"/>
          <w:sz w:val="20"/>
          <w:szCs w:val="20"/>
          <w:lang w:val="es-ES"/>
        </w:rPr>
        <w:t xml:space="preserve"> junto a su hermano</w:t>
      </w:r>
      <w:r w:rsidR="000A3A2F" w:rsidRPr="00AE4262">
        <w:rPr>
          <w:rFonts w:ascii="Cambria" w:hAnsi="Cambria"/>
          <w:sz w:val="20"/>
          <w:szCs w:val="20"/>
          <w:lang w:val="es-ES"/>
        </w:rPr>
        <w:t xml:space="preserve"> </w:t>
      </w:r>
      <w:r w:rsidR="00007409" w:rsidRPr="00AE4262">
        <w:rPr>
          <w:rFonts w:ascii="Cambria" w:hAnsi="Cambria"/>
          <w:sz w:val="20"/>
          <w:szCs w:val="20"/>
          <w:lang w:val="es-ES"/>
        </w:rPr>
        <w:t>quien</w:t>
      </w:r>
      <w:r w:rsidR="00030BAA" w:rsidRPr="00AE4262">
        <w:rPr>
          <w:rFonts w:ascii="Cambria" w:hAnsi="Cambria"/>
          <w:sz w:val="20"/>
          <w:szCs w:val="20"/>
          <w:lang w:val="es-ES"/>
        </w:rPr>
        <w:t>,</w:t>
      </w:r>
      <w:r w:rsidR="00007409" w:rsidRPr="00AE4262">
        <w:rPr>
          <w:rFonts w:ascii="Cambria" w:hAnsi="Cambria"/>
          <w:sz w:val="20"/>
          <w:szCs w:val="20"/>
          <w:lang w:val="es-ES"/>
        </w:rPr>
        <w:t xml:space="preserve"> en medio de insultos</w:t>
      </w:r>
      <w:r w:rsidR="00030BAA" w:rsidRPr="00AE4262">
        <w:rPr>
          <w:rFonts w:ascii="Cambria" w:hAnsi="Cambria"/>
          <w:sz w:val="20"/>
          <w:szCs w:val="20"/>
          <w:lang w:val="es-ES"/>
        </w:rPr>
        <w:t>,</w:t>
      </w:r>
      <w:r w:rsidR="00007409" w:rsidRPr="00AE4262">
        <w:rPr>
          <w:rFonts w:ascii="Cambria" w:hAnsi="Cambria"/>
          <w:sz w:val="20"/>
          <w:szCs w:val="20"/>
          <w:lang w:val="es-ES"/>
        </w:rPr>
        <w:t xml:space="preserve"> comenzó a lanzar piedras y otros objetos al techo de la casa, a fin de que la presunta víctima saliera. Afirma qu</w:t>
      </w:r>
      <w:r w:rsidR="00BA61F4" w:rsidRPr="00AE4262">
        <w:rPr>
          <w:rFonts w:ascii="Cambria" w:hAnsi="Cambria"/>
          <w:sz w:val="20"/>
          <w:szCs w:val="20"/>
          <w:lang w:val="es-ES"/>
        </w:rPr>
        <w:t xml:space="preserve">e fuera del hogar, </w:t>
      </w:r>
      <w:r w:rsidR="00030BAA" w:rsidRPr="00AE4262">
        <w:rPr>
          <w:rFonts w:ascii="Cambria" w:hAnsi="Cambria"/>
          <w:sz w:val="20"/>
          <w:szCs w:val="20"/>
          <w:lang w:val="es-ES"/>
        </w:rPr>
        <w:t>su ex pareja</w:t>
      </w:r>
      <w:r w:rsidR="00BA61F4" w:rsidRPr="00AE4262">
        <w:rPr>
          <w:rFonts w:ascii="Cambria" w:hAnsi="Cambria"/>
          <w:sz w:val="20"/>
          <w:szCs w:val="20"/>
          <w:lang w:val="es-ES"/>
        </w:rPr>
        <w:t xml:space="preserve"> la</w:t>
      </w:r>
      <w:r w:rsidR="00007409" w:rsidRPr="00AE4262">
        <w:rPr>
          <w:rFonts w:ascii="Cambria" w:hAnsi="Cambria"/>
          <w:sz w:val="20"/>
          <w:szCs w:val="20"/>
          <w:lang w:val="es-ES"/>
        </w:rPr>
        <w:t xml:space="preserve"> insult</w:t>
      </w:r>
      <w:r w:rsidR="00A04210" w:rsidRPr="00AE4262">
        <w:rPr>
          <w:rFonts w:ascii="Cambria" w:hAnsi="Cambria"/>
          <w:sz w:val="20"/>
          <w:szCs w:val="20"/>
          <w:lang w:val="es-ES"/>
        </w:rPr>
        <w:t>ó</w:t>
      </w:r>
      <w:r w:rsidR="00007409" w:rsidRPr="00AE4262">
        <w:rPr>
          <w:rFonts w:ascii="Cambria" w:hAnsi="Cambria"/>
          <w:sz w:val="20"/>
          <w:szCs w:val="20"/>
          <w:lang w:val="es-ES"/>
        </w:rPr>
        <w:t xml:space="preserve"> y ofendió, ante lo que Luis Santos</w:t>
      </w:r>
      <w:r w:rsidR="008C33E5" w:rsidRPr="00AE4262">
        <w:rPr>
          <w:rFonts w:ascii="Cambria" w:hAnsi="Cambria"/>
          <w:sz w:val="20"/>
          <w:szCs w:val="20"/>
          <w:lang w:val="es-ES"/>
        </w:rPr>
        <w:t xml:space="preserve"> reaccion</w:t>
      </w:r>
      <w:r w:rsidR="008C33E5" w:rsidRPr="00AE4262">
        <w:rPr>
          <w:sz w:val="20"/>
          <w:szCs w:val="20"/>
          <w:lang w:val="es-ES"/>
        </w:rPr>
        <w:t>ó</w:t>
      </w:r>
      <w:r w:rsidR="00007409" w:rsidRPr="00AE4262">
        <w:rPr>
          <w:rFonts w:ascii="Cambria" w:hAnsi="Cambria"/>
          <w:sz w:val="20"/>
          <w:szCs w:val="20"/>
          <w:lang w:val="es-ES"/>
        </w:rPr>
        <w:t xml:space="preserve"> </w:t>
      </w:r>
      <w:r w:rsidR="008C33E5" w:rsidRPr="00AE4262">
        <w:rPr>
          <w:rFonts w:ascii="Cambria" w:hAnsi="Cambria"/>
          <w:sz w:val="20"/>
          <w:szCs w:val="20"/>
          <w:lang w:val="es-ES"/>
        </w:rPr>
        <w:t>exigiéndole</w:t>
      </w:r>
      <w:r w:rsidR="00007409" w:rsidRPr="00AE4262">
        <w:rPr>
          <w:rFonts w:ascii="Cambria" w:hAnsi="Cambria"/>
          <w:sz w:val="20"/>
          <w:szCs w:val="20"/>
          <w:lang w:val="es-ES"/>
        </w:rPr>
        <w:t xml:space="preserve"> que se fu</w:t>
      </w:r>
      <w:r w:rsidR="008C33E5" w:rsidRPr="00AE4262">
        <w:rPr>
          <w:rFonts w:ascii="Cambria" w:hAnsi="Cambria"/>
          <w:sz w:val="20"/>
          <w:szCs w:val="20"/>
          <w:lang w:val="es-ES"/>
        </w:rPr>
        <w:t>era</w:t>
      </w:r>
      <w:r w:rsidR="00BA61F4" w:rsidRPr="00AE4262">
        <w:rPr>
          <w:rFonts w:ascii="Cambria" w:hAnsi="Cambria"/>
          <w:sz w:val="20"/>
          <w:szCs w:val="20"/>
          <w:lang w:val="es-ES"/>
        </w:rPr>
        <w:t xml:space="preserve"> del lugar, lo que provoc</w:t>
      </w:r>
      <w:r w:rsidR="00BA61F4" w:rsidRPr="00AE4262">
        <w:rPr>
          <w:sz w:val="20"/>
          <w:szCs w:val="20"/>
          <w:lang w:val="es-ES"/>
        </w:rPr>
        <w:t>ó</w:t>
      </w:r>
      <w:r w:rsidR="00007409" w:rsidRPr="00AE4262">
        <w:rPr>
          <w:rFonts w:ascii="Cambria" w:hAnsi="Cambria"/>
          <w:sz w:val="20"/>
          <w:szCs w:val="20"/>
          <w:lang w:val="es-ES"/>
        </w:rPr>
        <w:t xml:space="preserve"> que el agresor se ofuscase </w:t>
      </w:r>
      <w:r w:rsidR="00BA61F4" w:rsidRPr="00AE4262">
        <w:rPr>
          <w:rFonts w:ascii="Cambria" w:hAnsi="Cambria"/>
          <w:sz w:val="20"/>
          <w:szCs w:val="20"/>
          <w:lang w:val="es-ES"/>
        </w:rPr>
        <w:t>más y lo golpeara</w:t>
      </w:r>
      <w:r w:rsidR="008C33E5" w:rsidRPr="00AE4262">
        <w:rPr>
          <w:rFonts w:ascii="Cambria" w:hAnsi="Cambria"/>
          <w:sz w:val="20"/>
          <w:szCs w:val="20"/>
          <w:lang w:val="es-ES"/>
        </w:rPr>
        <w:t xml:space="preserve">, provocándole lesiones. Indica que la escena fue presenciada por su hija desde una ventana, comenzando a gritar, por lo cual el agresor se retiró aseverando que regresaría a matarlos. Afirma que tras entrar </w:t>
      </w:r>
      <w:r w:rsidR="00BA61F4" w:rsidRPr="00AE4262">
        <w:rPr>
          <w:rFonts w:ascii="Cambria" w:hAnsi="Cambria"/>
          <w:sz w:val="20"/>
          <w:szCs w:val="20"/>
          <w:lang w:val="es-ES"/>
        </w:rPr>
        <w:t>a la casa</w:t>
      </w:r>
      <w:r w:rsidR="008C33E5" w:rsidRPr="00AE4262">
        <w:rPr>
          <w:rFonts w:ascii="Cambria" w:hAnsi="Cambria"/>
          <w:sz w:val="20"/>
          <w:szCs w:val="20"/>
          <w:lang w:val="es-ES"/>
        </w:rPr>
        <w:t xml:space="preserve">, </w:t>
      </w:r>
      <w:r w:rsidR="00BA61F4" w:rsidRPr="00AE4262">
        <w:rPr>
          <w:rFonts w:ascii="Cambria" w:hAnsi="Cambria"/>
          <w:sz w:val="20"/>
          <w:szCs w:val="20"/>
          <w:lang w:val="es-ES"/>
        </w:rPr>
        <w:t xml:space="preserve">el </w:t>
      </w:r>
      <w:r w:rsidR="00030BAA" w:rsidRPr="00AE4262">
        <w:rPr>
          <w:rFonts w:ascii="Cambria" w:hAnsi="Cambria"/>
          <w:sz w:val="20"/>
          <w:szCs w:val="20"/>
          <w:lang w:val="es-ES"/>
        </w:rPr>
        <w:t xml:space="preserve">presunto </w:t>
      </w:r>
      <w:r w:rsidR="00BA61F4" w:rsidRPr="00AE4262">
        <w:rPr>
          <w:rFonts w:ascii="Cambria" w:hAnsi="Cambria"/>
          <w:sz w:val="20"/>
          <w:szCs w:val="20"/>
          <w:lang w:val="es-ES"/>
        </w:rPr>
        <w:t>agresor regresó</w:t>
      </w:r>
      <w:r w:rsidR="008C33E5" w:rsidRPr="00AE4262">
        <w:rPr>
          <w:rFonts w:ascii="Cambria" w:hAnsi="Cambria"/>
          <w:sz w:val="20"/>
          <w:szCs w:val="20"/>
          <w:lang w:val="es-ES"/>
        </w:rPr>
        <w:t xml:space="preserve"> dando golpes a la puerta, ordenando abrir y reiterando sus amenazas</w:t>
      </w:r>
      <w:r w:rsidRPr="00AE4262">
        <w:rPr>
          <w:rFonts w:ascii="Cambria" w:hAnsi="Cambria"/>
          <w:sz w:val="20"/>
          <w:szCs w:val="20"/>
          <w:lang w:val="es-ES"/>
        </w:rPr>
        <w:t xml:space="preserve">. </w:t>
      </w:r>
      <w:r w:rsidR="00AE1553" w:rsidRPr="00AE4262">
        <w:rPr>
          <w:rFonts w:ascii="Cambria" w:hAnsi="Cambria"/>
          <w:sz w:val="20"/>
          <w:szCs w:val="20"/>
          <w:lang w:val="es-ES"/>
        </w:rPr>
        <w:t xml:space="preserve">Indica que </w:t>
      </w:r>
      <w:r w:rsidR="004F7523" w:rsidRPr="00AE4262">
        <w:rPr>
          <w:rFonts w:ascii="Cambria" w:hAnsi="Cambria"/>
          <w:sz w:val="20"/>
          <w:szCs w:val="20"/>
          <w:lang w:val="es-ES"/>
        </w:rPr>
        <w:t>solicitaron la ayuda de</w:t>
      </w:r>
      <w:r w:rsidR="00B46DBB" w:rsidRPr="00AE4262">
        <w:rPr>
          <w:rFonts w:ascii="Cambria" w:hAnsi="Cambria"/>
          <w:sz w:val="20"/>
          <w:szCs w:val="20"/>
          <w:lang w:val="es-ES"/>
        </w:rPr>
        <w:t xml:space="preserve"> Carabineros, quienes </w:t>
      </w:r>
      <w:r w:rsidR="0089665E" w:rsidRPr="00AE4262">
        <w:rPr>
          <w:rFonts w:ascii="Cambria" w:hAnsi="Cambria"/>
          <w:sz w:val="20"/>
          <w:szCs w:val="20"/>
          <w:lang w:val="es-ES"/>
        </w:rPr>
        <w:t xml:space="preserve">“arribaron al lugar y nada hicieron por detener a los hermanos </w:t>
      </w:r>
      <w:r w:rsidR="00030BAA" w:rsidRPr="00AE4262">
        <w:rPr>
          <w:rFonts w:ascii="Cambria" w:hAnsi="Cambria"/>
          <w:sz w:val="20"/>
          <w:szCs w:val="20"/>
          <w:lang w:val="es-ES"/>
        </w:rPr>
        <w:t>[…]</w:t>
      </w:r>
      <w:r w:rsidR="0089665E" w:rsidRPr="00AE4262">
        <w:rPr>
          <w:rFonts w:ascii="Cambria" w:hAnsi="Cambria"/>
          <w:sz w:val="20"/>
          <w:szCs w:val="20"/>
          <w:lang w:val="es-ES"/>
        </w:rPr>
        <w:t xml:space="preserve">, a pesar de que les fue dada la identidad del victimario, de la flagrancia y de haber dado todas las señas para su captura”. </w:t>
      </w:r>
      <w:r w:rsidR="00B46DBB" w:rsidRPr="00AE4262">
        <w:rPr>
          <w:rFonts w:ascii="Cambria" w:hAnsi="Cambria"/>
          <w:sz w:val="20"/>
          <w:szCs w:val="20"/>
          <w:lang w:val="es-ES"/>
        </w:rPr>
        <w:t>Agrega q</w:t>
      </w:r>
      <w:r w:rsidR="004F7523" w:rsidRPr="00AE4262">
        <w:rPr>
          <w:rFonts w:ascii="Cambria" w:hAnsi="Cambria"/>
          <w:sz w:val="20"/>
          <w:szCs w:val="20"/>
          <w:lang w:val="es-ES"/>
        </w:rPr>
        <w:t xml:space="preserve">ue concurrieron al servicio hospitalario de urgencia, narrando </w:t>
      </w:r>
      <w:r w:rsidR="0089665E" w:rsidRPr="00AE4262">
        <w:rPr>
          <w:rFonts w:ascii="Cambria" w:hAnsi="Cambria"/>
          <w:sz w:val="20"/>
          <w:szCs w:val="20"/>
          <w:lang w:val="es-ES"/>
        </w:rPr>
        <w:t xml:space="preserve">cada uno de los afectados su denuncia </w:t>
      </w:r>
      <w:r w:rsidR="004F7523" w:rsidRPr="00AE4262">
        <w:rPr>
          <w:rFonts w:ascii="Cambria" w:hAnsi="Cambria"/>
          <w:sz w:val="20"/>
          <w:szCs w:val="20"/>
          <w:lang w:val="es-ES"/>
        </w:rPr>
        <w:t>a la policía</w:t>
      </w:r>
      <w:r w:rsidR="00AE1553" w:rsidRPr="00AE4262">
        <w:rPr>
          <w:rFonts w:ascii="Cambria" w:hAnsi="Cambria"/>
          <w:sz w:val="20"/>
          <w:szCs w:val="20"/>
          <w:lang w:val="es-ES"/>
        </w:rPr>
        <w:t>. Alega</w:t>
      </w:r>
      <w:r w:rsidR="00B46DBB" w:rsidRPr="00AE4262">
        <w:rPr>
          <w:rFonts w:ascii="Cambria" w:hAnsi="Cambria"/>
          <w:sz w:val="20"/>
          <w:szCs w:val="20"/>
          <w:lang w:val="es-ES"/>
        </w:rPr>
        <w:t xml:space="preserve"> que desde ese momento la señora Barría fue considerada testigo y no víctima</w:t>
      </w:r>
      <w:r w:rsidR="005272F3" w:rsidRPr="00AE4262">
        <w:rPr>
          <w:rFonts w:ascii="Cambria" w:hAnsi="Cambria"/>
          <w:sz w:val="20"/>
          <w:szCs w:val="20"/>
          <w:lang w:val="es-ES"/>
        </w:rPr>
        <w:t xml:space="preserve">. </w:t>
      </w:r>
      <w:r w:rsidR="0089665E" w:rsidRPr="00AE4262">
        <w:rPr>
          <w:rFonts w:ascii="Cambria" w:hAnsi="Cambria"/>
          <w:sz w:val="20"/>
          <w:szCs w:val="20"/>
          <w:lang w:val="es-ES"/>
        </w:rPr>
        <w:t>Indica que en esa oportunidad se le informó que sería citada a prestar declaración.</w:t>
      </w:r>
    </w:p>
    <w:p w:rsidR="00A04210" w:rsidRPr="00AE4262" w:rsidRDefault="00AE1553"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Se r</w:t>
      </w:r>
      <w:r w:rsidR="004F7523" w:rsidRPr="00AE4262">
        <w:rPr>
          <w:rFonts w:ascii="Cambria" w:hAnsi="Cambria"/>
          <w:sz w:val="20"/>
          <w:szCs w:val="20"/>
          <w:lang w:val="es-ES"/>
        </w:rPr>
        <w:t xml:space="preserve">efiere que el 15 de marzo de 2007 </w:t>
      </w:r>
      <w:r w:rsidR="00BE764D" w:rsidRPr="00AE4262">
        <w:rPr>
          <w:rFonts w:ascii="Cambria" w:hAnsi="Cambria"/>
          <w:sz w:val="20"/>
          <w:szCs w:val="20"/>
          <w:lang w:val="es-ES"/>
        </w:rPr>
        <w:t>Luis Santos presentó una</w:t>
      </w:r>
      <w:r w:rsidR="004F7523" w:rsidRPr="00AE4262">
        <w:rPr>
          <w:rFonts w:ascii="Cambria" w:hAnsi="Cambria"/>
          <w:sz w:val="20"/>
          <w:szCs w:val="20"/>
          <w:lang w:val="es-ES"/>
        </w:rPr>
        <w:t xml:space="preserve"> querella por lesiones y amenazas contra</w:t>
      </w:r>
      <w:r w:rsidR="00BF396B" w:rsidRPr="00AE4262">
        <w:rPr>
          <w:rFonts w:ascii="Cambria" w:hAnsi="Cambria"/>
          <w:sz w:val="20"/>
          <w:szCs w:val="20"/>
          <w:lang w:val="es-ES"/>
        </w:rPr>
        <w:t xml:space="preserve"> </w:t>
      </w:r>
      <w:r w:rsidR="00030BAA" w:rsidRPr="00AE4262">
        <w:rPr>
          <w:rFonts w:ascii="Cambria" w:hAnsi="Cambria"/>
          <w:sz w:val="20"/>
          <w:szCs w:val="20"/>
          <w:lang w:val="es-ES"/>
        </w:rPr>
        <w:t>el presunto agresor</w:t>
      </w:r>
      <w:r w:rsidR="000420A3" w:rsidRPr="00AE4262">
        <w:rPr>
          <w:rFonts w:ascii="Cambria" w:hAnsi="Cambria"/>
          <w:sz w:val="20"/>
          <w:szCs w:val="20"/>
          <w:lang w:val="es-ES"/>
        </w:rPr>
        <w:t xml:space="preserve"> “por las lesiones y amenazas de que él fue víctima”</w:t>
      </w:r>
      <w:r w:rsidR="004F7523" w:rsidRPr="00AE4262">
        <w:rPr>
          <w:rFonts w:ascii="Cambria" w:hAnsi="Cambria"/>
          <w:sz w:val="20"/>
          <w:szCs w:val="20"/>
          <w:lang w:val="es-ES"/>
        </w:rPr>
        <w:t>,</w:t>
      </w:r>
      <w:r w:rsidR="000420A3" w:rsidRPr="00AE4262">
        <w:rPr>
          <w:rFonts w:ascii="Cambria" w:hAnsi="Cambria"/>
          <w:sz w:val="20"/>
          <w:szCs w:val="20"/>
          <w:lang w:val="es-ES"/>
        </w:rPr>
        <w:t xml:space="preserve"> por lo que l</w:t>
      </w:r>
      <w:r w:rsidR="002906E3" w:rsidRPr="00AE4262">
        <w:rPr>
          <w:rFonts w:ascii="Cambria" w:hAnsi="Cambria"/>
          <w:sz w:val="20"/>
          <w:szCs w:val="20"/>
          <w:lang w:val="es-ES"/>
        </w:rPr>
        <w:t xml:space="preserve">a </w:t>
      </w:r>
      <w:r w:rsidR="00BE764D" w:rsidRPr="00AE4262">
        <w:rPr>
          <w:rFonts w:ascii="Cambria" w:hAnsi="Cambria"/>
          <w:sz w:val="20"/>
          <w:szCs w:val="20"/>
          <w:lang w:val="es-ES"/>
        </w:rPr>
        <w:t>F</w:t>
      </w:r>
      <w:r w:rsidR="002906E3" w:rsidRPr="00AE4262">
        <w:rPr>
          <w:rFonts w:ascii="Cambria" w:hAnsi="Cambria"/>
          <w:sz w:val="20"/>
          <w:szCs w:val="20"/>
          <w:lang w:val="es-ES"/>
        </w:rPr>
        <w:t>iscalía</w:t>
      </w:r>
      <w:r w:rsidR="000420A3" w:rsidRPr="00AE4262">
        <w:rPr>
          <w:rFonts w:ascii="Cambria" w:hAnsi="Cambria"/>
          <w:sz w:val="20"/>
          <w:szCs w:val="20"/>
          <w:lang w:val="es-ES"/>
        </w:rPr>
        <w:t xml:space="preserve"> “ordenó investigar sólo al tenor de su acción judicial, sin considerar a la afectada”</w:t>
      </w:r>
      <w:r w:rsidRPr="00AE4262">
        <w:rPr>
          <w:rFonts w:ascii="Cambria" w:hAnsi="Cambria"/>
          <w:sz w:val="20"/>
          <w:szCs w:val="20"/>
          <w:lang w:val="es-ES"/>
        </w:rPr>
        <w:t xml:space="preserve">. </w:t>
      </w:r>
      <w:r w:rsidR="004F7523" w:rsidRPr="00AE4262">
        <w:rPr>
          <w:rFonts w:ascii="Cambria" w:hAnsi="Cambria"/>
          <w:sz w:val="20"/>
          <w:szCs w:val="20"/>
          <w:lang w:val="es-ES"/>
        </w:rPr>
        <w:t xml:space="preserve">Por </w:t>
      </w:r>
      <w:r w:rsidRPr="00AE4262">
        <w:rPr>
          <w:rFonts w:ascii="Cambria" w:hAnsi="Cambria"/>
          <w:sz w:val="20"/>
          <w:szCs w:val="20"/>
          <w:lang w:val="es-ES"/>
        </w:rPr>
        <w:t>el</w:t>
      </w:r>
      <w:r w:rsidR="004F7523" w:rsidRPr="00AE4262">
        <w:rPr>
          <w:rFonts w:ascii="Cambria" w:hAnsi="Cambria"/>
          <w:sz w:val="20"/>
          <w:szCs w:val="20"/>
          <w:lang w:val="es-ES"/>
        </w:rPr>
        <w:t xml:space="preserve">lo, </w:t>
      </w:r>
      <w:r w:rsidR="00BE764D" w:rsidRPr="00AE4262">
        <w:rPr>
          <w:rFonts w:ascii="Cambria" w:hAnsi="Cambria"/>
          <w:sz w:val="20"/>
          <w:szCs w:val="20"/>
          <w:lang w:val="es-ES"/>
        </w:rPr>
        <w:t>afirma</w:t>
      </w:r>
      <w:r w:rsidRPr="00AE4262">
        <w:rPr>
          <w:rFonts w:ascii="Cambria" w:hAnsi="Cambria"/>
          <w:sz w:val="20"/>
          <w:szCs w:val="20"/>
          <w:lang w:val="es-ES"/>
        </w:rPr>
        <w:t xml:space="preserve"> </w:t>
      </w:r>
      <w:r w:rsidR="004F7523" w:rsidRPr="00AE4262">
        <w:rPr>
          <w:rFonts w:ascii="Cambria" w:hAnsi="Cambria"/>
          <w:sz w:val="20"/>
          <w:szCs w:val="20"/>
          <w:lang w:val="es-ES"/>
        </w:rPr>
        <w:t xml:space="preserve">que </w:t>
      </w:r>
      <w:r w:rsidRPr="00AE4262">
        <w:rPr>
          <w:rFonts w:ascii="Cambria" w:hAnsi="Cambria"/>
          <w:sz w:val="20"/>
          <w:szCs w:val="20"/>
          <w:lang w:val="es-ES"/>
        </w:rPr>
        <w:t>la presunta víctima acudió a la F</w:t>
      </w:r>
      <w:r w:rsidR="004F7523" w:rsidRPr="00AE4262">
        <w:rPr>
          <w:rFonts w:ascii="Cambria" w:hAnsi="Cambria"/>
          <w:sz w:val="20"/>
          <w:szCs w:val="20"/>
          <w:lang w:val="es-ES"/>
        </w:rPr>
        <w:t>iscalía exigiendo se le tomase declaración</w:t>
      </w:r>
      <w:r w:rsidR="000420A3" w:rsidRPr="00AE4262">
        <w:rPr>
          <w:rFonts w:ascii="Cambria" w:hAnsi="Cambria"/>
          <w:sz w:val="20"/>
          <w:szCs w:val="20"/>
          <w:lang w:val="es-ES"/>
        </w:rPr>
        <w:t xml:space="preserve"> “lo que el funcionario del Ministerio Público hizo muy informalmente y de mala manera sin estar presente el Fiscal responsable de la investigación”</w:t>
      </w:r>
      <w:r w:rsidR="00575594" w:rsidRPr="00AE4262">
        <w:rPr>
          <w:rFonts w:ascii="Cambria" w:hAnsi="Cambria"/>
          <w:sz w:val="20"/>
          <w:szCs w:val="20"/>
          <w:lang w:val="es-ES"/>
        </w:rPr>
        <w:t>. Se alega que en esa oportunidad</w:t>
      </w:r>
      <w:r w:rsidRPr="00AE4262">
        <w:rPr>
          <w:rFonts w:ascii="Cambria" w:hAnsi="Cambria"/>
          <w:sz w:val="20"/>
          <w:szCs w:val="20"/>
          <w:lang w:val="es-ES"/>
        </w:rPr>
        <w:t>,</w:t>
      </w:r>
      <w:r w:rsidR="00575594" w:rsidRPr="00AE4262">
        <w:rPr>
          <w:rFonts w:ascii="Cambria" w:hAnsi="Cambria"/>
          <w:sz w:val="20"/>
          <w:szCs w:val="20"/>
          <w:lang w:val="es-ES"/>
        </w:rPr>
        <w:t xml:space="preserve"> </w:t>
      </w:r>
      <w:r w:rsidR="00EF6C17" w:rsidRPr="00AE4262">
        <w:rPr>
          <w:rFonts w:ascii="Cambria" w:hAnsi="Cambria"/>
          <w:sz w:val="20"/>
          <w:szCs w:val="20"/>
          <w:lang w:val="es-ES"/>
        </w:rPr>
        <w:t xml:space="preserve">la presunta víctima no fue derivada a la Unidad de </w:t>
      </w:r>
      <w:r w:rsidR="00575594" w:rsidRPr="00AE4262">
        <w:rPr>
          <w:rFonts w:ascii="Cambria" w:hAnsi="Cambria"/>
          <w:sz w:val="20"/>
          <w:szCs w:val="20"/>
          <w:lang w:val="es-ES"/>
        </w:rPr>
        <w:t>A</w:t>
      </w:r>
      <w:r w:rsidR="00EF6C17" w:rsidRPr="00AE4262">
        <w:rPr>
          <w:rFonts w:ascii="Cambria" w:hAnsi="Cambria"/>
          <w:sz w:val="20"/>
          <w:szCs w:val="20"/>
          <w:lang w:val="es-ES"/>
        </w:rPr>
        <w:t xml:space="preserve">tención </w:t>
      </w:r>
      <w:r w:rsidR="00575594" w:rsidRPr="00AE4262">
        <w:rPr>
          <w:rFonts w:ascii="Cambria" w:hAnsi="Cambria"/>
          <w:sz w:val="20"/>
          <w:szCs w:val="20"/>
          <w:lang w:val="es-ES"/>
        </w:rPr>
        <w:t>de V</w:t>
      </w:r>
      <w:r w:rsidR="00EF6C17" w:rsidRPr="00AE4262">
        <w:rPr>
          <w:rFonts w:ascii="Cambria" w:hAnsi="Cambria"/>
          <w:sz w:val="20"/>
          <w:szCs w:val="20"/>
          <w:lang w:val="es-ES"/>
        </w:rPr>
        <w:t>íctimas</w:t>
      </w:r>
      <w:r w:rsidR="00575594" w:rsidRPr="00AE4262">
        <w:rPr>
          <w:rFonts w:ascii="Cambria" w:hAnsi="Cambria"/>
          <w:sz w:val="20"/>
          <w:szCs w:val="20"/>
          <w:lang w:val="es-ES"/>
        </w:rPr>
        <w:t xml:space="preserve"> y Testigos como debió ocurrir.</w:t>
      </w:r>
      <w:r w:rsidR="00B23CBA" w:rsidRPr="00AE4262">
        <w:rPr>
          <w:rFonts w:ascii="Cambria" w:hAnsi="Cambria"/>
          <w:sz w:val="20"/>
          <w:szCs w:val="20"/>
          <w:lang w:val="es-ES"/>
        </w:rPr>
        <w:t xml:space="preserve"> Agrega que el 3 de abril de 2007, en cumplimiento de una orden de investigar de la Fiscalía, la presunta víctima fue citada a declarar al cuartel policial, oportunidad en que un carabinero tom</w:t>
      </w:r>
      <w:r w:rsidR="00A04210" w:rsidRPr="00AE4262">
        <w:rPr>
          <w:rFonts w:ascii="Cambria" w:hAnsi="Cambria"/>
          <w:sz w:val="20"/>
          <w:szCs w:val="20"/>
          <w:lang w:val="es-ES"/>
        </w:rPr>
        <w:t>ó</w:t>
      </w:r>
      <w:r w:rsidR="00B23CBA" w:rsidRPr="00AE4262">
        <w:rPr>
          <w:rFonts w:ascii="Cambria" w:hAnsi="Cambria"/>
          <w:sz w:val="20"/>
          <w:szCs w:val="20"/>
          <w:lang w:val="es-ES"/>
        </w:rPr>
        <w:t xml:space="preserve"> nota de sus dichos, concluyendo en el informe policial que existieron lesiones en perjuicio de Luis Santos,</w:t>
      </w:r>
      <w:r w:rsidR="008D5B5F" w:rsidRPr="00AE4262">
        <w:rPr>
          <w:rFonts w:ascii="Cambria" w:hAnsi="Cambria"/>
          <w:sz w:val="20"/>
          <w:szCs w:val="20"/>
          <w:lang w:val="es-ES"/>
        </w:rPr>
        <w:t xml:space="preserve"> omitiendo las amenazas de que ella fue víctima, así como el ingreso ilegal a su morada.</w:t>
      </w:r>
      <w:r w:rsidR="00575594" w:rsidRPr="00AE4262">
        <w:rPr>
          <w:rFonts w:ascii="Cambria" w:hAnsi="Cambria"/>
          <w:sz w:val="20"/>
          <w:szCs w:val="20"/>
          <w:lang w:val="es-ES"/>
        </w:rPr>
        <w:t xml:space="preserve"> </w:t>
      </w:r>
    </w:p>
    <w:p w:rsidR="00A63EAA" w:rsidRPr="00AE4262" w:rsidRDefault="00523D44"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Manifiesta que,</w:t>
      </w:r>
      <w:r w:rsidR="00B46DBB" w:rsidRPr="00AE4262">
        <w:rPr>
          <w:rFonts w:ascii="Cambria" w:hAnsi="Cambria"/>
          <w:sz w:val="20"/>
          <w:szCs w:val="20"/>
          <w:lang w:val="es-ES"/>
        </w:rPr>
        <w:t xml:space="preserve"> dada la omisión</w:t>
      </w:r>
      <w:r w:rsidR="00AE1553" w:rsidRPr="00AE4262">
        <w:rPr>
          <w:rFonts w:ascii="Cambria" w:hAnsi="Cambria"/>
          <w:sz w:val="20"/>
          <w:szCs w:val="20"/>
          <w:lang w:val="es-ES"/>
        </w:rPr>
        <w:t xml:space="preserve"> de investigación</w:t>
      </w:r>
      <w:r w:rsidR="00B46DBB" w:rsidRPr="00AE4262">
        <w:rPr>
          <w:rFonts w:ascii="Cambria" w:hAnsi="Cambria"/>
          <w:sz w:val="20"/>
          <w:szCs w:val="20"/>
          <w:lang w:val="es-ES"/>
        </w:rPr>
        <w:t xml:space="preserve"> sobre las denuncias relacionadas con su persona,</w:t>
      </w:r>
      <w:r w:rsidR="00785E94" w:rsidRPr="00AE4262">
        <w:rPr>
          <w:rFonts w:ascii="Cambria" w:hAnsi="Cambria"/>
          <w:sz w:val="20"/>
          <w:szCs w:val="20"/>
          <w:lang w:val="es-ES"/>
        </w:rPr>
        <w:t xml:space="preserve"> el 23 de abril de 2007</w:t>
      </w:r>
      <w:r w:rsidRPr="00AE4262">
        <w:rPr>
          <w:rFonts w:ascii="Cambria" w:hAnsi="Cambria"/>
          <w:sz w:val="20"/>
          <w:szCs w:val="20"/>
          <w:lang w:val="es-ES"/>
        </w:rPr>
        <w:t xml:space="preserve"> la presunta víctima presentó una querella criminal por amenazas, </w:t>
      </w:r>
      <w:r w:rsidR="00BE764D" w:rsidRPr="00AE4262">
        <w:rPr>
          <w:rFonts w:ascii="Cambria" w:hAnsi="Cambria"/>
          <w:sz w:val="20"/>
          <w:szCs w:val="20"/>
          <w:lang w:val="es-ES"/>
        </w:rPr>
        <w:t>haciendo referencia</w:t>
      </w:r>
      <w:r w:rsidRPr="00AE4262">
        <w:rPr>
          <w:rFonts w:ascii="Cambria" w:hAnsi="Cambria"/>
          <w:sz w:val="20"/>
          <w:szCs w:val="20"/>
          <w:lang w:val="es-ES"/>
        </w:rPr>
        <w:t xml:space="preserve"> a hechos </w:t>
      </w:r>
      <w:r w:rsidR="00BE764D" w:rsidRPr="00AE4262">
        <w:rPr>
          <w:rFonts w:ascii="Cambria" w:hAnsi="Cambria"/>
          <w:sz w:val="20"/>
          <w:szCs w:val="20"/>
          <w:lang w:val="es-ES"/>
        </w:rPr>
        <w:t xml:space="preserve">anteriores </w:t>
      </w:r>
      <w:r w:rsidRPr="00AE4262">
        <w:rPr>
          <w:rFonts w:ascii="Cambria" w:hAnsi="Cambria"/>
          <w:sz w:val="20"/>
          <w:szCs w:val="20"/>
          <w:lang w:val="es-ES"/>
        </w:rPr>
        <w:t>de violencia</w:t>
      </w:r>
      <w:r w:rsidR="00A04210" w:rsidRPr="00AE4262">
        <w:rPr>
          <w:rFonts w:ascii="Cambria" w:hAnsi="Cambria"/>
          <w:sz w:val="20"/>
          <w:szCs w:val="20"/>
          <w:lang w:val="es-ES"/>
        </w:rPr>
        <w:t xml:space="preserve"> </w:t>
      </w:r>
      <w:r w:rsidR="00785E94" w:rsidRPr="00AE4262">
        <w:rPr>
          <w:rFonts w:ascii="Cambria" w:hAnsi="Cambria"/>
          <w:sz w:val="20"/>
          <w:szCs w:val="20"/>
          <w:lang w:val="es-ES"/>
        </w:rPr>
        <w:t xml:space="preserve">por parte de su expareja </w:t>
      </w:r>
      <w:r w:rsidR="00EB7883" w:rsidRPr="00AE4262">
        <w:rPr>
          <w:rFonts w:ascii="Cambria" w:hAnsi="Cambria"/>
          <w:sz w:val="20"/>
          <w:szCs w:val="20"/>
          <w:lang w:val="es-ES"/>
        </w:rPr>
        <w:t>y a</w:t>
      </w:r>
      <w:r w:rsidR="00BE764D" w:rsidRPr="00AE4262">
        <w:rPr>
          <w:rFonts w:ascii="Cambria" w:hAnsi="Cambria"/>
          <w:sz w:val="20"/>
          <w:szCs w:val="20"/>
          <w:lang w:val="es-ES"/>
        </w:rPr>
        <w:t xml:space="preserve"> </w:t>
      </w:r>
      <w:r w:rsidR="00EB7883" w:rsidRPr="00AE4262">
        <w:rPr>
          <w:rFonts w:ascii="Cambria" w:hAnsi="Cambria"/>
          <w:sz w:val="20"/>
          <w:szCs w:val="20"/>
          <w:lang w:val="es-ES"/>
        </w:rPr>
        <w:t>l</w:t>
      </w:r>
      <w:r w:rsidR="00BE764D" w:rsidRPr="00AE4262">
        <w:rPr>
          <w:rFonts w:ascii="Cambria" w:hAnsi="Cambria"/>
          <w:sz w:val="20"/>
          <w:szCs w:val="20"/>
          <w:lang w:val="es-ES"/>
        </w:rPr>
        <w:t>o</w:t>
      </w:r>
      <w:r w:rsidR="00EB7883" w:rsidRPr="00AE4262">
        <w:rPr>
          <w:rFonts w:ascii="Cambria" w:hAnsi="Cambria"/>
          <w:sz w:val="20"/>
          <w:szCs w:val="20"/>
          <w:lang w:val="es-ES"/>
        </w:rPr>
        <w:t xml:space="preserve"> ocurrido en 2007</w:t>
      </w:r>
      <w:r w:rsidRPr="00AE4262">
        <w:rPr>
          <w:rFonts w:ascii="Cambria" w:hAnsi="Cambria"/>
          <w:sz w:val="20"/>
          <w:szCs w:val="20"/>
          <w:lang w:val="es-ES"/>
        </w:rPr>
        <w:t>.</w:t>
      </w:r>
      <w:r w:rsidR="00BE764D" w:rsidRPr="00AE4262">
        <w:rPr>
          <w:rFonts w:ascii="Cambria" w:hAnsi="Cambria"/>
          <w:sz w:val="20"/>
          <w:szCs w:val="20"/>
          <w:lang w:val="es-ES"/>
        </w:rPr>
        <w:t xml:space="preserve"> </w:t>
      </w:r>
      <w:r w:rsidR="002427B1" w:rsidRPr="00AE4262">
        <w:rPr>
          <w:rFonts w:ascii="Cambria" w:hAnsi="Cambria"/>
          <w:sz w:val="20"/>
          <w:szCs w:val="20"/>
          <w:lang w:val="es-ES"/>
        </w:rPr>
        <w:t xml:space="preserve">En la denuncia describió los sucesos de 11 de marzo de 2007 </w:t>
      </w:r>
      <w:r w:rsidR="00642753" w:rsidRPr="00AE4262">
        <w:rPr>
          <w:rFonts w:ascii="Cambria" w:hAnsi="Cambria"/>
          <w:sz w:val="20"/>
          <w:szCs w:val="20"/>
          <w:lang w:val="es-ES"/>
        </w:rPr>
        <w:t>e indicó que decidió presentar la denuncia porque “ya en muchas oportunidades he sido intimidada, agredida y amenazada por esta persona lo que me provoca miedo, inseguridad y terror de que en algún momento concrete sus amenazas de muerte.” Indicó que la relación terminó en 2003 “por violencia física y psicológica” y que nunca me atreví a denunciar por las reiteradas amenazas de muerte”. En la denuncia relató amenaza, seguimiento y hostigamiento, e indicó que tras los mismos “decidí cambiar de domicilio y cambiar de trabajo e irme a la ciudad de Coyhaique pensando en que ya no me molestaría pues no sabría mi nuevo lugar de residencia”.</w:t>
      </w:r>
      <w:r w:rsidR="002427B1" w:rsidRPr="00AE4262">
        <w:rPr>
          <w:rFonts w:ascii="Cambria" w:hAnsi="Cambria"/>
          <w:sz w:val="20"/>
          <w:szCs w:val="20"/>
          <w:lang w:val="es-ES"/>
        </w:rPr>
        <w:t xml:space="preserve"> </w:t>
      </w:r>
      <w:r w:rsidR="00E6705C" w:rsidRPr="00AE4262">
        <w:rPr>
          <w:rFonts w:ascii="Cambria" w:hAnsi="Cambria"/>
          <w:sz w:val="20"/>
          <w:szCs w:val="20"/>
          <w:lang w:val="es-ES"/>
        </w:rPr>
        <w:t>Sob</w:t>
      </w:r>
      <w:r w:rsidR="00BE764D" w:rsidRPr="00AE4262">
        <w:rPr>
          <w:rFonts w:ascii="Cambria" w:hAnsi="Cambria"/>
          <w:sz w:val="20"/>
          <w:szCs w:val="20"/>
          <w:lang w:val="es-ES"/>
        </w:rPr>
        <w:t>re esta denuncia, aduce que la Fiscalía presentó</w:t>
      </w:r>
      <w:r w:rsidR="00E6705C" w:rsidRPr="00AE4262">
        <w:rPr>
          <w:rFonts w:ascii="Cambria" w:hAnsi="Cambria"/>
          <w:sz w:val="20"/>
          <w:szCs w:val="20"/>
          <w:lang w:val="es-ES"/>
        </w:rPr>
        <w:t xml:space="preserve"> </w:t>
      </w:r>
      <w:r w:rsidR="00BE764D" w:rsidRPr="00AE4262">
        <w:rPr>
          <w:rFonts w:ascii="Cambria" w:hAnsi="Cambria"/>
          <w:sz w:val="20"/>
          <w:szCs w:val="20"/>
          <w:lang w:val="es-ES"/>
        </w:rPr>
        <w:t xml:space="preserve">una </w:t>
      </w:r>
      <w:r w:rsidR="00E6705C" w:rsidRPr="00AE4262">
        <w:rPr>
          <w:rFonts w:ascii="Cambria" w:hAnsi="Cambria"/>
          <w:sz w:val="20"/>
          <w:szCs w:val="20"/>
          <w:lang w:val="es-ES"/>
        </w:rPr>
        <w:t>solicitud de audiencia</w:t>
      </w:r>
      <w:r w:rsidR="00A63EAA" w:rsidRPr="00AE4262">
        <w:rPr>
          <w:rFonts w:ascii="Cambria" w:hAnsi="Cambria"/>
          <w:sz w:val="20"/>
          <w:szCs w:val="20"/>
          <w:lang w:val="es-ES"/>
        </w:rPr>
        <w:t xml:space="preserve"> para un procedimiento simplificado por los delitos que afectaron a Luis Santos, y otra audiencia para comunicar la decisión de no perseverar en el procedimiento respecto de los delitos contra la presunta víctima. Aduce que al no haber sido notificada la afectada, la audiencia se debió diferir para el 2 de agosto de 2007.</w:t>
      </w:r>
    </w:p>
    <w:p w:rsidR="00523D44" w:rsidRPr="00AE4262" w:rsidRDefault="00E6705C"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 xml:space="preserve"> </w:t>
      </w:r>
      <w:r w:rsidR="00A63EAA" w:rsidRPr="00AE4262">
        <w:rPr>
          <w:rFonts w:ascii="Cambria" w:hAnsi="Cambria"/>
          <w:sz w:val="20"/>
          <w:szCs w:val="20"/>
          <w:lang w:val="es-ES"/>
        </w:rPr>
        <w:t xml:space="preserve">Indica que </w:t>
      </w:r>
      <w:r w:rsidR="00523D44" w:rsidRPr="00AE4262">
        <w:rPr>
          <w:rFonts w:ascii="Cambria" w:hAnsi="Cambria"/>
          <w:sz w:val="20"/>
          <w:szCs w:val="20"/>
          <w:lang w:val="es-ES"/>
        </w:rPr>
        <w:t xml:space="preserve">el abogado </w:t>
      </w:r>
      <w:r w:rsidR="00A04210" w:rsidRPr="00AE4262">
        <w:rPr>
          <w:rFonts w:ascii="Cambria" w:hAnsi="Cambria"/>
          <w:sz w:val="20"/>
          <w:szCs w:val="20"/>
          <w:lang w:val="es-ES"/>
        </w:rPr>
        <w:t xml:space="preserve">particular </w:t>
      </w:r>
      <w:r w:rsidR="00523D44" w:rsidRPr="00AE4262">
        <w:rPr>
          <w:rFonts w:ascii="Cambria" w:hAnsi="Cambria"/>
          <w:sz w:val="20"/>
          <w:szCs w:val="20"/>
          <w:lang w:val="es-ES"/>
        </w:rPr>
        <w:t>de la</w:t>
      </w:r>
      <w:r w:rsidR="00BE764D" w:rsidRPr="00AE4262">
        <w:rPr>
          <w:rFonts w:ascii="Cambria" w:hAnsi="Cambria"/>
          <w:sz w:val="20"/>
          <w:szCs w:val="20"/>
          <w:lang w:val="es-ES"/>
        </w:rPr>
        <w:t xml:space="preserve"> presunta víctima</w:t>
      </w:r>
      <w:r w:rsidR="00523D44" w:rsidRPr="00AE4262">
        <w:rPr>
          <w:rFonts w:ascii="Cambria" w:hAnsi="Cambria"/>
          <w:bCs/>
          <w:sz w:val="20"/>
          <w:szCs w:val="20"/>
          <w:lang w:val="es-ES"/>
        </w:rPr>
        <w:t xml:space="preserve"> </w:t>
      </w:r>
      <w:r w:rsidR="00523D44" w:rsidRPr="00AE4262">
        <w:rPr>
          <w:rFonts w:ascii="Cambria" w:hAnsi="Cambria"/>
          <w:sz w:val="20"/>
          <w:szCs w:val="20"/>
          <w:lang w:val="es-ES"/>
        </w:rPr>
        <w:t xml:space="preserve">solicitó </w:t>
      </w:r>
      <w:r w:rsidR="005C47C1" w:rsidRPr="00AE4262">
        <w:rPr>
          <w:rFonts w:ascii="Cambria" w:hAnsi="Cambria"/>
          <w:sz w:val="20"/>
          <w:szCs w:val="20"/>
          <w:lang w:val="es-ES"/>
        </w:rPr>
        <w:t>ocho</w:t>
      </w:r>
      <w:r w:rsidR="00BE764D" w:rsidRPr="00AE4262">
        <w:rPr>
          <w:rFonts w:ascii="Cambria" w:hAnsi="Cambria"/>
          <w:sz w:val="20"/>
          <w:szCs w:val="20"/>
          <w:lang w:val="es-ES"/>
        </w:rPr>
        <w:t xml:space="preserve"> </w:t>
      </w:r>
      <w:r w:rsidR="0029344E" w:rsidRPr="00AE4262">
        <w:rPr>
          <w:rFonts w:ascii="Cambria" w:hAnsi="Cambria"/>
          <w:sz w:val="20"/>
          <w:szCs w:val="20"/>
          <w:lang w:val="es-ES"/>
        </w:rPr>
        <w:t>diligencias probatorias</w:t>
      </w:r>
      <w:r w:rsidR="005C47C1" w:rsidRPr="00AE4262">
        <w:rPr>
          <w:rFonts w:ascii="Cambria" w:hAnsi="Cambria"/>
          <w:sz w:val="20"/>
          <w:szCs w:val="20"/>
          <w:lang w:val="es-ES"/>
        </w:rPr>
        <w:t xml:space="preserve">- entre ellas la </w:t>
      </w:r>
      <w:r w:rsidR="004A7F77" w:rsidRPr="00AE4262">
        <w:rPr>
          <w:rFonts w:ascii="Cambria" w:hAnsi="Cambria"/>
          <w:sz w:val="20"/>
          <w:szCs w:val="20"/>
          <w:lang w:val="es-ES"/>
        </w:rPr>
        <w:t>declaración</w:t>
      </w:r>
      <w:r w:rsidR="005C47C1" w:rsidRPr="00AE4262">
        <w:rPr>
          <w:rFonts w:ascii="Cambria" w:hAnsi="Cambria"/>
          <w:sz w:val="20"/>
          <w:szCs w:val="20"/>
          <w:lang w:val="es-ES"/>
        </w:rPr>
        <w:t xml:space="preserve"> de Luis Santos</w:t>
      </w:r>
      <w:r w:rsidR="004A7F77" w:rsidRPr="00AE4262">
        <w:rPr>
          <w:rFonts w:ascii="Cambria" w:hAnsi="Cambria"/>
          <w:sz w:val="20"/>
          <w:szCs w:val="20"/>
          <w:lang w:val="es-ES"/>
        </w:rPr>
        <w:t xml:space="preserve"> y</w:t>
      </w:r>
      <w:r w:rsidR="005C47C1" w:rsidRPr="00AE4262">
        <w:rPr>
          <w:rFonts w:ascii="Cambria" w:hAnsi="Cambria"/>
          <w:sz w:val="20"/>
          <w:szCs w:val="20"/>
          <w:lang w:val="es-ES"/>
        </w:rPr>
        <w:t xml:space="preserve"> allegar antecedentes de una denuncia de 2003 en contra </w:t>
      </w:r>
      <w:r w:rsidR="00030BAA" w:rsidRPr="00AE4262">
        <w:rPr>
          <w:rFonts w:ascii="Cambria" w:hAnsi="Cambria"/>
          <w:sz w:val="20"/>
          <w:szCs w:val="20"/>
          <w:lang w:val="es-ES"/>
        </w:rPr>
        <w:t>el presunto agresor</w:t>
      </w:r>
      <w:r w:rsidR="005C47C1" w:rsidRPr="00AE4262">
        <w:rPr>
          <w:rFonts w:ascii="Cambria" w:hAnsi="Cambria"/>
          <w:sz w:val="20"/>
          <w:szCs w:val="20"/>
          <w:lang w:val="es-ES"/>
        </w:rPr>
        <w:t xml:space="preserve"> “por hurto durante una agresión de la que ella fue objeto y otras más destinadas a acreditar los ataques reiterados”-</w:t>
      </w:r>
      <w:r w:rsidR="00523D44" w:rsidRPr="00AE4262">
        <w:rPr>
          <w:rFonts w:ascii="Cambria" w:hAnsi="Cambria"/>
          <w:sz w:val="20"/>
          <w:szCs w:val="20"/>
          <w:lang w:val="es-ES"/>
        </w:rPr>
        <w:t xml:space="preserve"> de las cuales </w:t>
      </w:r>
      <w:r w:rsidR="00BE764D" w:rsidRPr="00AE4262">
        <w:rPr>
          <w:rFonts w:ascii="Cambria" w:hAnsi="Cambria"/>
          <w:sz w:val="20"/>
          <w:szCs w:val="20"/>
          <w:lang w:val="es-ES"/>
        </w:rPr>
        <w:t xml:space="preserve">la Fiscalía </w:t>
      </w:r>
      <w:r w:rsidR="00523D44" w:rsidRPr="00AE4262">
        <w:rPr>
          <w:rFonts w:ascii="Cambria" w:hAnsi="Cambria"/>
          <w:sz w:val="20"/>
          <w:szCs w:val="20"/>
          <w:lang w:val="es-ES"/>
        </w:rPr>
        <w:t xml:space="preserve">sólo </w:t>
      </w:r>
      <w:r w:rsidR="0026571B" w:rsidRPr="00AE4262">
        <w:rPr>
          <w:rFonts w:ascii="Cambria" w:hAnsi="Cambria"/>
          <w:sz w:val="20"/>
          <w:szCs w:val="20"/>
          <w:lang w:val="es-ES"/>
        </w:rPr>
        <w:t>admitió</w:t>
      </w:r>
      <w:r w:rsidR="00523D44" w:rsidRPr="00AE4262">
        <w:rPr>
          <w:rFonts w:ascii="Cambria" w:hAnsi="Cambria"/>
          <w:sz w:val="20"/>
          <w:szCs w:val="20"/>
          <w:lang w:val="es-ES"/>
        </w:rPr>
        <w:t xml:space="preserve"> dos</w:t>
      </w:r>
      <w:r w:rsidR="0026571B" w:rsidRPr="00AE4262">
        <w:rPr>
          <w:rFonts w:ascii="Cambria" w:hAnsi="Cambria"/>
          <w:sz w:val="20"/>
          <w:szCs w:val="20"/>
          <w:lang w:val="es-ES"/>
        </w:rPr>
        <w:t xml:space="preserve"> testimoniales</w:t>
      </w:r>
      <w:r w:rsidR="005C47C1" w:rsidRPr="00AE4262">
        <w:rPr>
          <w:rFonts w:ascii="Cambria" w:hAnsi="Cambria"/>
          <w:sz w:val="20"/>
          <w:szCs w:val="20"/>
          <w:lang w:val="es-ES"/>
        </w:rPr>
        <w:t>, rechazando entre otras la citación a declarar a Luis Santos</w:t>
      </w:r>
      <w:r w:rsidR="00BE764D" w:rsidRPr="00AE4262">
        <w:rPr>
          <w:rFonts w:ascii="Cambria" w:hAnsi="Cambria"/>
          <w:sz w:val="20"/>
          <w:szCs w:val="20"/>
          <w:lang w:val="es-ES"/>
        </w:rPr>
        <w:t>. Al</w:t>
      </w:r>
      <w:r w:rsidR="0026571B" w:rsidRPr="00AE4262">
        <w:rPr>
          <w:rFonts w:ascii="Cambria" w:hAnsi="Cambria"/>
          <w:sz w:val="20"/>
          <w:szCs w:val="20"/>
          <w:lang w:val="es-ES"/>
        </w:rPr>
        <w:t xml:space="preserve"> respecto</w:t>
      </w:r>
      <w:r w:rsidR="00BE764D" w:rsidRPr="00AE4262">
        <w:rPr>
          <w:rFonts w:ascii="Cambria" w:hAnsi="Cambria"/>
          <w:sz w:val="20"/>
          <w:szCs w:val="20"/>
          <w:lang w:val="es-ES"/>
        </w:rPr>
        <w:t xml:space="preserve">, se </w:t>
      </w:r>
      <w:r w:rsidR="0026571B" w:rsidRPr="00AE4262">
        <w:rPr>
          <w:rFonts w:ascii="Cambria" w:hAnsi="Cambria"/>
          <w:sz w:val="20"/>
          <w:szCs w:val="20"/>
          <w:lang w:val="es-ES"/>
        </w:rPr>
        <w:t xml:space="preserve">alega </w:t>
      </w:r>
      <w:r w:rsidR="00BE764D" w:rsidRPr="00AE4262">
        <w:rPr>
          <w:rFonts w:ascii="Cambria" w:hAnsi="Cambria"/>
          <w:sz w:val="20"/>
          <w:szCs w:val="20"/>
          <w:lang w:val="es-ES"/>
        </w:rPr>
        <w:t>que</w:t>
      </w:r>
      <w:r w:rsidR="005C47C1" w:rsidRPr="00AE4262">
        <w:rPr>
          <w:rFonts w:ascii="Cambria" w:hAnsi="Cambria"/>
          <w:sz w:val="20"/>
          <w:szCs w:val="20"/>
          <w:lang w:val="es-ES"/>
        </w:rPr>
        <w:t xml:space="preserve"> el Fiscal nunca cit</w:t>
      </w:r>
      <w:r w:rsidR="00A04210" w:rsidRPr="00AE4262">
        <w:rPr>
          <w:rFonts w:ascii="Cambria" w:hAnsi="Cambria"/>
          <w:sz w:val="20"/>
          <w:szCs w:val="20"/>
          <w:lang w:val="es-ES"/>
        </w:rPr>
        <w:t>ó</w:t>
      </w:r>
      <w:r w:rsidR="005C47C1" w:rsidRPr="00AE4262">
        <w:rPr>
          <w:rFonts w:ascii="Cambria" w:hAnsi="Cambria"/>
          <w:sz w:val="20"/>
          <w:szCs w:val="20"/>
          <w:lang w:val="es-ES"/>
        </w:rPr>
        <w:t xml:space="preserve"> a la presunta víctima a declarar ante él, y </w:t>
      </w:r>
      <w:r w:rsidR="004A7F77" w:rsidRPr="00AE4262">
        <w:rPr>
          <w:rFonts w:ascii="Cambria" w:hAnsi="Cambria"/>
          <w:sz w:val="20"/>
          <w:szCs w:val="20"/>
          <w:lang w:val="es-ES"/>
        </w:rPr>
        <w:t>que</w:t>
      </w:r>
      <w:r w:rsidR="00BE764D" w:rsidRPr="00AE4262">
        <w:rPr>
          <w:rFonts w:ascii="Cambria" w:hAnsi="Cambria"/>
          <w:sz w:val="20"/>
          <w:szCs w:val="20"/>
          <w:lang w:val="es-ES"/>
        </w:rPr>
        <w:t xml:space="preserve"> la F</w:t>
      </w:r>
      <w:r w:rsidR="0026571B" w:rsidRPr="00AE4262">
        <w:rPr>
          <w:rFonts w:ascii="Cambria" w:hAnsi="Cambria"/>
          <w:sz w:val="20"/>
          <w:szCs w:val="20"/>
          <w:lang w:val="es-ES"/>
        </w:rPr>
        <w:t xml:space="preserve">iscalía indagó sobre </w:t>
      </w:r>
      <w:r w:rsidR="00BE764D" w:rsidRPr="00AE4262">
        <w:rPr>
          <w:rFonts w:ascii="Cambria" w:hAnsi="Cambria"/>
          <w:sz w:val="20"/>
          <w:szCs w:val="20"/>
          <w:lang w:val="es-ES"/>
        </w:rPr>
        <w:t xml:space="preserve">los </w:t>
      </w:r>
      <w:r w:rsidR="0026571B" w:rsidRPr="00AE4262">
        <w:rPr>
          <w:rFonts w:ascii="Cambria" w:hAnsi="Cambria"/>
          <w:sz w:val="20"/>
          <w:szCs w:val="20"/>
          <w:lang w:val="es-ES"/>
        </w:rPr>
        <w:t xml:space="preserve">hechos </w:t>
      </w:r>
      <w:r w:rsidR="00BE764D" w:rsidRPr="00AE4262">
        <w:rPr>
          <w:rFonts w:ascii="Cambria" w:hAnsi="Cambria"/>
          <w:sz w:val="20"/>
          <w:szCs w:val="20"/>
          <w:lang w:val="es-ES"/>
        </w:rPr>
        <w:t>de 2007 pese a que el</w:t>
      </w:r>
      <w:r w:rsidR="0026571B" w:rsidRPr="00AE4262">
        <w:rPr>
          <w:rFonts w:ascii="Cambria" w:hAnsi="Cambria"/>
          <w:sz w:val="20"/>
          <w:szCs w:val="20"/>
          <w:lang w:val="es-ES"/>
        </w:rPr>
        <w:t xml:space="preserve"> objeto de </w:t>
      </w:r>
      <w:r w:rsidR="00BE764D" w:rsidRPr="00AE4262">
        <w:rPr>
          <w:rFonts w:ascii="Cambria" w:hAnsi="Cambria"/>
          <w:sz w:val="20"/>
          <w:szCs w:val="20"/>
          <w:lang w:val="es-ES"/>
        </w:rPr>
        <w:t>las testimoniales era por hechos anteriores</w:t>
      </w:r>
      <w:r w:rsidR="004A7F77" w:rsidRPr="00AE4262">
        <w:rPr>
          <w:rFonts w:ascii="Cambria" w:hAnsi="Cambria"/>
          <w:sz w:val="20"/>
          <w:szCs w:val="20"/>
          <w:lang w:val="es-ES"/>
        </w:rPr>
        <w:t>, y que los testigos no habían estado presentes cuando ocurrieron los hechos de 2007</w:t>
      </w:r>
      <w:r w:rsidR="00BE764D" w:rsidRPr="00AE4262">
        <w:rPr>
          <w:rFonts w:ascii="Cambria" w:hAnsi="Cambria"/>
          <w:sz w:val="20"/>
          <w:szCs w:val="20"/>
          <w:lang w:val="es-ES"/>
        </w:rPr>
        <w:t>.</w:t>
      </w:r>
      <w:r w:rsidR="00523D44" w:rsidRPr="00AE4262">
        <w:rPr>
          <w:rFonts w:ascii="Cambria" w:hAnsi="Cambria"/>
          <w:sz w:val="20"/>
          <w:szCs w:val="20"/>
          <w:lang w:val="es-ES"/>
        </w:rPr>
        <w:t xml:space="preserve"> </w:t>
      </w:r>
      <w:r w:rsidR="000161ED" w:rsidRPr="00AE4262">
        <w:rPr>
          <w:rFonts w:ascii="Cambria" w:hAnsi="Cambria"/>
          <w:sz w:val="20"/>
          <w:szCs w:val="20"/>
          <w:lang w:val="es-ES"/>
        </w:rPr>
        <w:t xml:space="preserve">Además, alega que el interrogatorio realizado a la hija de la presunta víctima fue hostil, y que </w:t>
      </w:r>
      <w:r w:rsidR="00F03663" w:rsidRPr="00AE4262">
        <w:rPr>
          <w:rFonts w:ascii="Cambria" w:hAnsi="Cambria"/>
          <w:sz w:val="20"/>
          <w:szCs w:val="20"/>
          <w:lang w:val="es-ES"/>
        </w:rPr>
        <w:t>en esa oportunidad el</w:t>
      </w:r>
      <w:r w:rsidR="00BE764D" w:rsidRPr="00AE4262">
        <w:rPr>
          <w:rFonts w:ascii="Cambria" w:hAnsi="Cambria"/>
          <w:sz w:val="20"/>
          <w:szCs w:val="20"/>
          <w:lang w:val="es-ES"/>
        </w:rPr>
        <w:t xml:space="preserve"> F</w:t>
      </w:r>
      <w:r w:rsidR="000161ED" w:rsidRPr="00AE4262">
        <w:rPr>
          <w:rFonts w:ascii="Cambria" w:hAnsi="Cambria"/>
          <w:sz w:val="20"/>
          <w:szCs w:val="20"/>
          <w:lang w:val="es-ES"/>
        </w:rPr>
        <w:t>iscal le adelantó que no le tomaría declaración</w:t>
      </w:r>
      <w:r w:rsidR="00F03663" w:rsidRPr="00AE4262">
        <w:rPr>
          <w:rFonts w:ascii="Cambria" w:hAnsi="Cambria"/>
          <w:sz w:val="20"/>
          <w:szCs w:val="20"/>
          <w:lang w:val="es-ES"/>
        </w:rPr>
        <w:t xml:space="preserve"> a </w:t>
      </w:r>
      <w:r w:rsidR="00BE764D" w:rsidRPr="00AE4262">
        <w:rPr>
          <w:rFonts w:ascii="Cambria" w:hAnsi="Cambria"/>
          <w:sz w:val="20"/>
          <w:szCs w:val="20"/>
          <w:lang w:val="es-ES"/>
        </w:rPr>
        <w:t xml:space="preserve">la presunta víctima, sugiriéndole </w:t>
      </w:r>
      <w:r w:rsidR="000161ED" w:rsidRPr="00AE4262">
        <w:rPr>
          <w:rFonts w:ascii="Cambria" w:hAnsi="Cambria"/>
          <w:sz w:val="20"/>
          <w:szCs w:val="20"/>
          <w:lang w:val="es-ES"/>
        </w:rPr>
        <w:t xml:space="preserve">que concurriera a los tribunales de familia. </w:t>
      </w:r>
      <w:r w:rsidR="00BE764D" w:rsidRPr="00AE4262">
        <w:rPr>
          <w:rFonts w:ascii="Cambria" w:hAnsi="Cambria"/>
          <w:sz w:val="20"/>
          <w:szCs w:val="20"/>
          <w:lang w:val="es-ES"/>
        </w:rPr>
        <w:t>Así, a</w:t>
      </w:r>
      <w:r w:rsidR="00D023E0" w:rsidRPr="00AE4262">
        <w:rPr>
          <w:rFonts w:ascii="Cambria" w:hAnsi="Cambria"/>
          <w:sz w:val="20"/>
          <w:szCs w:val="20"/>
          <w:lang w:val="es-ES"/>
        </w:rPr>
        <w:t>duce</w:t>
      </w:r>
      <w:r w:rsidR="00523D44" w:rsidRPr="00AE4262">
        <w:rPr>
          <w:rFonts w:ascii="Cambria" w:hAnsi="Cambria"/>
          <w:sz w:val="20"/>
          <w:szCs w:val="20"/>
          <w:lang w:val="es-ES"/>
        </w:rPr>
        <w:t xml:space="preserve"> que </w:t>
      </w:r>
      <w:r w:rsidR="006E2A2A" w:rsidRPr="00AE4262">
        <w:rPr>
          <w:rFonts w:ascii="Cambria" w:hAnsi="Cambria"/>
          <w:sz w:val="20"/>
          <w:szCs w:val="20"/>
          <w:lang w:val="es-ES"/>
        </w:rPr>
        <w:t xml:space="preserve">evitó el </w:t>
      </w:r>
      <w:r w:rsidR="00523D44" w:rsidRPr="00AE4262">
        <w:rPr>
          <w:rFonts w:ascii="Cambria" w:hAnsi="Cambria"/>
          <w:sz w:val="20"/>
          <w:szCs w:val="20"/>
          <w:lang w:val="es-ES"/>
        </w:rPr>
        <w:t xml:space="preserve">cierre de las investigaciones en dos </w:t>
      </w:r>
      <w:r w:rsidR="00523D44" w:rsidRPr="00AE4262">
        <w:rPr>
          <w:rFonts w:ascii="Cambria" w:hAnsi="Cambria"/>
          <w:sz w:val="20"/>
          <w:szCs w:val="20"/>
          <w:lang w:val="es-ES"/>
        </w:rPr>
        <w:lastRenderedPageBreak/>
        <w:t>oportunidades, mediante la presentación de</w:t>
      </w:r>
      <w:r w:rsidR="00476A3A" w:rsidRPr="00AE4262">
        <w:rPr>
          <w:rFonts w:ascii="Cambria" w:hAnsi="Cambria"/>
          <w:sz w:val="20"/>
          <w:szCs w:val="20"/>
          <w:lang w:val="es-ES"/>
        </w:rPr>
        <w:t xml:space="preserve"> solicitud de realización de pr</w:t>
      </w:r>
      <w:r w:rsidR="00523D44" w:rsidRPr="00AE4262">
        <w:rPr>
          <w:rFonts w:ascii="Cambria" w:hAnsi="Cambria"/>
          <w:sz w:val="20"/>
          <w:szCs w:val="20"/>
          <w:lang w:val="es-ES"/>
        </w:rPr>
        <w:t xml:space="preserve">uebas en contra del </w:t>
      </w:r>
      <w:r w:rsidR="00030BAA" w:rsidRPr="00AE4262">
        <w:rPr>
          <w:rFonts w:ascii="Cambria" w:hAnsi="Cambria"/>
          <w:sz w:val="20"/>
          <w:szCs w:val="20"/>
          <w:lang w:val="es-ES"/>
        </w:rPr>
        <w:t xml:space="preserve">presunto </w:t>
      </w:r>
      <w:r w:rsidR="00523D44" w:rsidRPr="00AE4262">
        <w:rPr>
          <w:rFonts w:ascii="Cambria" w:hAnsi="Cambria"/>
          <w:sz w:val="20"/>
          <w:szCs w:val="20"/>
          <w:lang w:val="es-ES"/>
        </w:rPr>
        <w:t>agresor</w:t>
      </w:r>
      <w:r w:rsidR="00D023E0" w:rsidRPr="00AE4262">
        <w:rPr>
          <w:rFonts w:ascii="Cambria" w:hAnsi="Cambria"/>
          <w:sz w:val="20"/>
          <w:szCs w:val="20"/>
          <w:lang w:val="es-ES"/>
        </w:rPr>
        <w:t>.</w:t>
      </w:r>
    </w:p>
    <w:p w:rsidR="00AE4098" w:rsidRPr="00AE4262" w:rsidRDefault="003960FB"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Indica que el 2 de enero de 2008</w:t>
      </w:r>
      <w:r w:rsidR="00476A3A" w:rsidRPr="00AE4262">
        <w:rPr>
          <w:rFonts w:ascii="Cambria" w:hAnsi="Cambria"/>
          <w:sz w:val="20"/>
          <w:szCs w:val="20"/>
          <w:lang w:val="es-ES"/>
        </w:rPr>
        <w:t>,</w:t>
      </w:r>
      <w:r w:rsidRPr="00AE4262">
        <w:rPr>
          <w:rFonts w:ascii="Cambria" w:hAnsi="Cambria"/>
          <w:sz w:val="20"/>
          <w:szCs w:val="20"/>
          <w:lang w:val="es-ES"/>
        </w:rPr>
        <w:t xml:space="preserve"> se llevó a cabo una audiencia en que </w:t>
      </w:r>
      <w:r w:rsidR="004C2CF0" w:rsidRPr="00AE4262">
        <w:rPr>
          <w:rFonts w:ascii="Cambria" w:hAnsi="Cambria"/>
          <w:sz w:val="20"/>
          <w:szCs w:val="20"/>
          <w:lang w:val="es-ES"/>
        </w:rPr>
        <w:t xml:space="preserve">se </w:t>
      </w:r>
      <w:r w:rsidR="00476A3A" w:rsidRPr="00AE4262">
        <w:rPr>
          <w:rFonts w:ascii="Cambria" w:hAnsi="Cambria"/>
          <w:sz w:val="20"/>
          <w:szCs w:val="20"/>
          <w:lang w:val="es-ES"/>
        </w:rPr>
        <w:t>ordenó</w:t>
      </w:r>
      <w:r w:rsidRPr="00AE4262">
        <w:rPr>
          <w:rFonts w:ascii="Cambria" w:hAnsi="Cambria"/>
          <w:sz w:val="20"/>
          <w:szCs w:val="20"/>
          <w:lang w:val="es-ES"/>
        </w:rPr>
        <w:t xml:space="preserve"> la práctica de nuevas diligencias. </w:t>
      </w:r>
      <w:r w:rsidR="00D023E0" w:rsidRPr="00AE4262">
        <w:rPr>
          <w:rFonts w:ascii="Cambria" w:hAnsi="Cambria"/>
          <w:sz w:val="20"/>
          <w:szCs w:val="20"/>
          <w:lang w:val="es-ES"/>
        </w:rPr>
        <w:t xml:space="preserve">Manifiesta que el 25 de enero de 2008 se celebró una audiencia en la cual </w:t>
      </w:r>
      <w:r w:rsidR="00CE7F58" w:rsidRPr="00AE4262">
        <w:rPr>
          <w:rFonts w:ascii="Cambria" w:hAnsi="Cambria"/>
          <w:sz w:val="20"/>
          <w:szCs w:val="20"/>
          <w:lang w:val="es-ES"/>
        </w:rPr>
        <w:t>el F</w:t>
      </w:r>
      <w:r w:rsidR="006871C1" w:rsidRPr="00AE4262">
        <w:rPr>
          <w:rFonts w:ascii="Cambria" w:hAnsi="Cambria"/>
          <w:sz w:val="20"/>
          <w:szCs w:val="20"/>
          <w:lang w:val="es-ES"/>
        </w:rPr>
        <w:t xml:space="preserve">iscal ejerció </w:t>
      </w:r>
      <w:r w:rsidR="00EC6C63" w:rsidRPr="00AE4262">
        <w:rPr>
          <w:rFonts w:ascii="Cambria" w:hAnsi="Cambria"/>
          <w:sz w:val="20"/>
          <w:szCs w:val="20"/>
          <w:lang w:val="es-ES"/>
        </w:rPr>
        <w:t>la facultad de no perseverar en la investigación</w:t>
      </w:r>
      <w:r w:rsidR="006871C1" w:rsidRPr="00AE4262">
        <w:rPr>
          <w:rFonts w:ascii="Cambria" w:hAnsi="Cambria"/>
          <w:sz w:val="20"/>
          <w:szCs w:val="20"/>
          <w:lang w:val="es-ES"/>
        </w:rPr>
        <w:t>, por lo que</w:t>
      </w:r>
      <w:r w:rsidR="00EC6C63" w:rsidRPr="00AE4262">
        <w:rPr>
          <w:rFonts w:ascii="Cambria" w:hAnsi="Cambria"/>
          <w:sz w:val="20"/>
          <w:szCs w:val="20"/>
          <w:lang w:val="es-ES"/>
        </w:rPr>
        <w:t xml:space="preserve"> </w:t>
      </w:r>
      <w:r w:rsidR="00D023E0" w:rsidRPr="00AE4262">
        <w:rPr>
          <w:rFonts w:ascii="Cambria" w:hAnsi="Cambria"/>
          <w:sz w:val="20"/>
          <w:szCs w:val="20"/>
          <w:lang w:val="es-ES"/>
        </w:rPr>
        <w:t xml:space="preserve">el Juez </w:t>
      </w:r>
      <w:r w:rsidR="00D1596C" w:rsidRPr="00AE4262">
        <w:rPr>
          <w:rFonts w:ascii="Cambria" w:hAnsi="Cambria"/>
          <w:sz w:val="20"/>
          <w:szCs w:val="20"/>
          <w:lang w:val="es-ES"/>
        </w:rPr>
        <w:t xml:space="preserve">de </w:t>
      </w:r>
      <w:r w:rsidR="00D023E0" w:rsidRPr="00AE4262">
        <w:rPr>
          <w:rFonts w:ascii="Cambria" w:hAnsi="Cambria"/>
          <w:sz w:val="20"/>
          <w:szCs w:val="20"/>
          <w:lang w:val="es-ES"/>
        </w:rPr>
        <w:t>Garantía de Coyhaique decidió cerrar la investigación. Alega que la presunta víctima fue citada a la audiencia, pero que no fue informada con antelación sobre el objeto misma, razón por la cual no pudo ejercer su derecho a oponerse al cierre.</w:t>
      </w:r>
      <w:r w:rsidR="00CE7F58" w:rsidRPr="00AE4262">
        <w:rPr>
          <w:rFonts w:ascii="Cambria" w:hAnsi="Cambria"/>
          <w:sz w:val="20"/>
          <w:szCs w:val="20"/>
          <w:lang w:val="es-ES"/>
        </w:rPr>
        <w:t xml:space="preserve"> </w:t>
      </w:r>
      <w:r w:rsidR="006E1178" w:rsidRPr="00AE4262">
        <w:rPr>
          <w:rFonts w:ascii="Cambria" w:hAnsi="Cambria"/>
          <w:sz w:val="20"/>
          <w:szCs w:val="20"/>
          <w:lang w:val="es-ES"/>
        </w:rPr>
        <w:t xml:space="preserve">Agrega </w:t>
      </w:r>
      <w:r w:rsidR="00D023E0" w:rsidRPr="00AE4262">
        <w:rPr>
          <w:rFonts w:ascii="Cambria" w:hAnsi="Cambria"/>
          <w:sz w:val="20"/>
          <w:szCs w:val="20"/>
          <w:lang w:val="es-ES"/>
        </w:rPr>
        <w:t>que tampoco se le brindó la oportunidad de dar su opinión sobre esta decisión</w:t>
      </w:r>
      <w:r w:rsidR="00AE4098" w:rsidRPr="00AE4262">
        <w:rPr>
          <w:rFonts w:ascii="Cambria" w:hAnsi="Cambria"/>
          <w:sz w:val="20"/>
          <w:szCs w:val="20"/>
          <w:lang w:val="es-ES"/>
        </w:rPr>
        <w:t>,</w:t>
      </w:r>
      <w:r w:rsidR="00D023E0" w:rsidRPr="00AE4262">
        <w:rPr>
          <w:rFonts w:ascii="Cambria" w:hAnsi="Cambria"/>
          <w:sz w:val="20"/>
          <w:szCs w:val="20"/>
          <w:lang w:val="es-ES"/>
        </w:rPr>
        <w:t xml:space="preserve"> </w:t>
      </w:r>
      <w:r w:rsidR="009B7C3B" w:rsidRPr="00AE4262">
        <w:rPr>
          <w:rFonts w:ascii="Cambria" w:hAnsi="Cambria"/>
          <w:sz w:val="20"/>
          <w:szCs w:val="20"/>
          <w:lang w:val="es-ES"/>
        </w:rPr>
        <w:t>la cual</w:t>
      </w:r>
      <w:r w:rsidR="00DD0661" w:rsidRPr="00AE4262">
        <w:rPr>
          <w:rFonts w:ascii="Cambria" w:hAnsi="Cambria"/>
          <w:sz w:val="20"/>
          <w:szCs w:val="20"/>
          <w:lang w:val="es-ES"/>
        </w:rPr>
        <w:t xml:space="preserve"> </w:t>
      </w:r>
      <w:r w:rsidR="00D023E0" w:rsidRPr="00AE4262">
        <w:rPr>
          <w:rFonts w:ascii="Cambria" w:hAnsi="Cambria"/>
          <w:sz w:val="20"/>
          <w:szCs w:val="20"/>
          <w:lang w:val="es-ES"/>
        </w:rPr>
        <w:t>contravino el artículo 248</w:t>
      </w:r>
      <w:r w:rsidR="00AE4098" w:rsidRPr="00AE4262">
        <w:rPr>
          <w:rFonts w:ascii="Cambria" w:hAnsi="Cambria"/>
          <w:sz w:val="20"/>
          <w:szCs w:val="20"/>
          <w:lang w:val="es-ES"/>
        </w:rPr>
        <w:t xml:space="preserve"> l</w:t>
      </w:r>
      <w:r w:rsidR="00D023E0" w:rsidRPr="00AE4262">
        <w:rPr>
          <w:rFonts w:ascii="Cambria" w:hAnsi="Cambria"/>
          <w:sz w:val="20"/>
          <w:szCs w:val="20"/>
          <w:lang w:val="es-ES"/>
        </w:rPr>
        <w:t>etra c</w:t>
      </w:r>
      <w:r w:rsidR="00AE4098" w:rsidRPr="00AE4262">
        <w:rPr>
          <w:rFonts w:ascii="Cambria" w:hAnsi="Cambria"/>
          <w:sz w:val="20"/>
          <w:szCs w:val="20"/>
          <w:lang w:val="es-ES"/>
        </w:rPr>
        <w:t>)</w:t>
      </w:r>
      <w:r w:rsidR="00D023E0" w:rsidRPr="00AE4262">
        <w:rPr>
          <w:rFonts w:ascii="Cambria" w:hAnsi="Cambria"/>
          <w:sz w:val="20"/>
          <w:szCs w:val="20"/>
          <w:lang w:val="es-ES"/>
        </w:rPr>
        <w:t xml:space="preserve"> del Código Procesal Penal</w:t>
      </w:r>
      <w:r w:rsidR="00BD3D23" w:rsidRPr="00AE4262">
        <w:rPr>
          <w:rFonts w:ascii="Cambria" w:hAnsi="Cambria"/>
          <w:sz w:val="20"/>
          <w:szCs w:val="20"/>
          <w:lang w:val="es-ES"/>
        </w:rPr>
        <w:t xml:space="preserve"> (en adelante “CPP”)</w:t>
      </w:r>
      <w:r w:rsidR="00D023E0" w:rsidRPr="00AE4262">
        <w:rPr>
          <w:rFonts w:ascii="Cambria" w:hAnsi="Cambria"/>
          <w:sz w:val="20"/>
          <w:szCs w:val="20"/>
          <w:lang w:val="es-ES"/>
        </w:rPr>
        <w:t xml:space="preserve">, </w:t>
      </w:r>
      <w:r w:rsidR="002C3912" w:rsidRPr="00AE4262">
        <w:rPr>
          <w:rFonts w:ascii="Cambria" w:hAnsi="Cambria"/>
          <w:sz w:val="20"/>
          <w:szCs w:val="20"/>
          <w:lang w:val="es-ES"/>
        </w:rPr>
        <w:t>que establece que para disponer el cierre de una investigación</w:t>
      </w:r>
      <w:r w:rsidR="003F2EF8" w:rsidRPr="00AE4262">
        <w:rPr>
          <w:rFonts w:ascii="Cambria" w:hAnsi="Cambria"/>
          <w:sz w:val="20"/>
          <w:szCs w:val="20"/>
          <w:lang w:val="es-ES"/>
        </w:rPr>
        <w:t>,</w:t>
      </w:r>
      <w:r w:rsidR="002C3912" w:rsidRPr="00AE4262">
        <w:rPr>
          <w:rFonts w:ascii="Cambria" w:hAnsi="Cambria"/>
          <w:sz w:val="20"/>
          <w:szCs w:val="20"/>
          <w:lang w:val="es-ES"/>
        </w:rPr>
        <w:t xml:space="preserve"> la misma deb</w:t>
      </w:r>
      <w:r w:rsidR="006E1178" w:rsidRPr="00AE4262">
        <w:rPr>
          <w:rFonts w:ascii="Cambria" w:hAnsi="Cambria"/>
          <w:sz w:val="20"/>
          <w:szCs w:val="20"/>
          <w:lang w:val="es-ES"/>
        </w:rPr>
        <w:t>e</w:t>
      </w:r>
      <w:r w:rsidR="002C3912" w:rsidRPr="00AE4262">
        <w:rPr>
          <w:rFonts w:ascii="Cambria" w:hAnsi="Cambria"/>
          <w:sz w:val="20"/>
          <w:szCs w:val="20"/>
          <w:lang w:val="es-ES"/>
        </w:rPr>
        <w:t xml:space="preserve"> estar formalizada y se deben practicar las diligencias necesarias para averiguar sobre el hecho y los autores. Alega que</w:t>
      </w:r>
      <w:r w:rsidR="00AE4098" w:rsidRPr="00AE4262">
        <w:rPr>
          <w:rFonts w:ascii="Cambria" w:hAnsi="Cambria"/>
          <w:sz w:val="20"/>
          <w:szCs w:val="20"/>
          <w:lang w:val="es-ES"/>
        </w:rPr>
        <w:t>,</w:t>
      </w:r>
      <w:r w:rsidR="002C3912" w:rsidRPr="00AE4262">
        <w:rPr>
          <w:rFonts w:ascii="Cambria" w:hAnsi="Cambria"/>
          <w:sz w:val="20"/>
          <w:szCs w:val="20"/>
          <w:lang w:val="es-ES"/>
        </w:rPr>
        <w:t xml:space="preserve"> </w:t>
      </w:r>
      <w:r w:rsidR="00D023E0" w:rsidRPr="00AE4262">
        <w:rPr>
          <w:rFonts w:ascii="Cambria" w:hAnsi="Cambria"/>
          <w:sz w:val="20"/>
          <w:szCs w:val="20"/>
          <w:lang w:val="es-ES"/>
        </w:rPr>
        <w:t xml:space="preserve">en </w:t>
      </w:r>
      <w:r w:rsidR="00740D49" w:rsidRPr="00AE4262">
        <w:rPr>
          <w:rFonts w:ascii="Cambria" w:hAnsi="Cambria"/>
          <w:sz w:val="20"/>
          <w:szCs w:val="20"/>
          <w:lang w:val="es-ES"/>
        </w:rPr>
        <w:t>el</w:t>
      </w:r>
      <w:r w:rsidR="002C3912" w:rsidRPr="00AE4262">
        <w:rPr>
          <w:rFonts w:ascii="Cambria" w:hAnsi="Cambria"/>
          <w:sz w:val="20"/>
          <w:szCs w:val="20"/>
          <w:lang w:val="es-ES"/>
        </w:rPr>
        <w:t xml:space="preserve"> presente</w:t>
      </w:r>
      <w:r w:rsidR="00D023E0" w:rsidRPr="00AE4262">
        <w:rPr>
          <w:rFonts w:ascii="Cambria" w:hAnsi="Cambria"/>
          <w:sz w:val="20"/>
          <w:szCs w:val="20"/>
          <w:lang w:val="es-ES"/>
        </w:rPr>
        <w:t xml:space="preserve"> caso</w:t>
      </w:r>
      <w:r w:rsidR="00B91177" w:rsidRPr="00AE4262">
        <w:rPr>
          <w:rFonts w:ascii="Cambria" w:hAnsi="Cambria"/>
          <w:sz w:val="20"/>
          <w:szCs w:val="20"/>
          <w:lang w:val="es-ES"/>
        </w:rPr>
        <w:t>,</w:t>
      </w:r>
      <w:r w:rsidR="002C3912" w:rsidRPr="00AE4262">
        <w:rPr>
          <w:rFonts w:ascii="Cambria" w:hAnsi="Cambria"/>
          <w:sz w:val="20"/>
          <w:szCs w:val="20"/>
          <w:lang w:val="es-ES"/>
        </w:rPr>
        <w:t xml:space="preserve"> la investigación no se formalizó y no se llevaron a cabo las medidas de prueba solicitadas. </w:t>
      </w:r>
    </w:p>
    <w:p w:rsidR="00740D49" w:rsidRPr="00AE4262" w:rsidRDefault="00361928"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 xml:space="preserve">De la información aportada se colige que </w:t>
      </w:r>
      <w:r w:rsidR="00740D49" w:rsidRPr="00AE4262">
        <w:rPr>
          <w:rFonts w:ascii="Cambria" w:hAnsi="Cambria"/>
          <w:sz w:val="20"/>
          <w:szCs w:val="20"/>
          <w:lang w:val="es-ES"/>
        </w:rPr>
        <w:t xml:space="preserve">el 4 de febrero de 2008, </w:t>
      </w:r>
      <w:r w:rsidR="002C3912" w:rsidRPr="00AE4262">
        <w:rPr>
          <w:rFonts w:ascii="Cambria" w:hAnsi="Cambria"/>
          <w:sz w:val="20"/>
          <w:szCs w:val="20"/>
          <w:lang w:val="es-ES"/>
        </w:rPr>
        <w:t xml:space="preserve">la presunta víctima </w:t>
      </w:r>
      <w:r w:rsidR="00AE4098" w:rsidRPr="00AE4262">
        <w:rPr>
          <w:rFonts w:ascii="Cambria" w:hAnsi="Cambria"/>
          <w:sz w:val="20"/>
          <w:szCs w:val="20"/>
          <w:lang w:val="es-ES"/>
        </w:rPr>
        <w:t>solicitó</w:t>
      </w:r>
      <w:r w:rsidRPr="00AE4262">
        <w:rPr>
          <w:rFonts w:ascii="Cambria" w:hAnsi="Cambria"/>
          <w:sz w:val="20"/>
          <w:szCs w:val="20"/>
          <w:lang w:val="es-ES"/>
        </w:rPr>
        <w:t xml:space="preserve"> </w:t>
      </w:r>
      <w:r w:rsidR="00740D49" w:rsidRPr="00AE4262">
        <w:rPr>
          <w:rFonts w:ascii="Cambria" w:hAnsi="Cambria"/>
          <w:sz w:val="20"/>
          <w:szCs w:val="20"/>
          <w:lang w:val="es-ES"/>
        </w:rPr>
        <w:t>al Fiscal diligencias probatorias</w:t>
      </w:r>
      <w:r w:rsidR="00EB4339" w:rsidRPr="00AE4262">
        <w:rPr>
          <w:rFonts w:ascii="Cambria" w:hAnsi="Cambria"/>
          <w:sz w:val="20"/>
          <w:szCs w:val="20"/>
          <w:lang w:val="es-ES"/>
        </w:rPr>
        <w:t xml:space="preserve"> y que la investigación siguiera en curso por no habérsele notificado el motivo de la </w:t>
      </w:r>
      <w:r w:rsidR="00CE7F58" w:rsidRPr="00AE4262">
        <w:rPr>
          <w:rFonts w:ascii="Cambria" w:hAnsi="Cambria"/>
          <w:sz w:val="20"/>
          <w:szCs w:val="20"/>
          <w:lang w:val="es-ES"/>
        </w:rPr>
        <w:t>audiencia,</w:t>
      </w:r>
      <w:r w:rsidR="00937EBA" w:rsidRPr="00AE4262">
        <w:rPr>
          <w:rFonts w:ascii="Cambria" w:hAnsi="Cambria"/>
          <w:sz w:val="20"/>
          <w:szCs w:val="20"/>
          <w:lang w:val="es-ES"/>
        </w:rPr>
        <w:t xml:space="preserve"> solicitud que </w:t>
      </w:r>
      <w:r w:rsidR="00AE4098" w:rsidRPr="00AE4262">
        <w:rPr>
          <w:rFonts w:ascii="Cambria" w:hAnsi="Cambria"/>
          <w:sz w:val="20"/>
          <w:szCs w:val="20"/>
          <w:lang w:val="es-ES"/>
        </w:rPr>
        <w:t>habría sido</w:t>
      </w:r>
      <w:r w:rsidR="00937EBA" w:rsidRPr="00AE4262">
        <w:rPr>
          <w:rFonts w:ascii="Cambria" w:hAnsi="Cambria"/>
          <w:sz w:val="20"/>
          <w:szCs w:val="20"/>
          <w:lang w:val="es-ES"/>
        </w:rPr>
        <w:t xml:space="preserve"> rechazada </w:t>
      </w:r>
      <w:r w:rsidR="00740D49" w:rsidRPr="00AE4262">
        <w:rPr>
          <w:rFonts w:ascii="Cambria" w:hAnsi="Cambria"/>
          <w:sz w:val="20"/>
          <w:szCs w:val="20"/>
          <w:lang w:val="es-ES"/>
        </w:rPr>
        <w:t>el día 5 de febrero de 2008</w:t>
      </w:r>
      <w:r w:rsidR="00316C02" w:rsidRPr="00AE4262">
        <w:rPr>
          <w:rFonts w:ascii="Cambria" w:hAnsi="Cambria"/>
          <w:sz w:val="20"/>
          <w:szCs w:val="20"/>
          <w:lang w:val="es-ES"/>
        </w:rPr>
        <w:t xml:space="preserve">. </w:t>
      </w:r>
      <w:r w:rsidR="00AE4098" w:rsidRPr="00AE4262">
        <w:rPr>
          <w:rFonts w:ascii="Cambria" w:hAnsi="Cambria"/>
          <w:sz w:val="20"/>
          <w:szCs w:val="20"/>
          <w:lang w:val="es-ES"/>
        </w:rPr>
        <w:t>La peticionaria a</w:t>
      </w:r>
      <w:r w:rsidR="00740D49" w:rsidRPr="00AE4262">
        <w:rPr>
          <w:rFonts w:ascii="Cambria" w:hAnsi="Cambria"/>
          <w:sz w:val="20"/>
          <w:szCs w:val="20"/>
          <w:lang w:val="es-ES"/>
        </w:rPr>
        <w:t>lega qu</w:t>
      </w:r>
      <w:r w:rsidR="005C64C9" w:rsidRPr="00AE4262">
        <w:rPr>
          <w:rFonts w:ascii="Cambria" w:hAnsi="Cambria"/>
          <w:sz w:val="20"/>
          <w:szCs w:val="20"/>
          <w:lang w:val="es-ES"/>
        </w:rPr>
        <w:t>e</w:t>
      </w:r>
      <w:r w:rsidR="00AE4098" w:rsidRPr="00AE4262">
        <w:rPr>
          <w:rFonts w:ascii="Cambria" w:hAnsi="Cambria"/>
          <w:sz w:val="20"/>
          <w:szCs w:val="20"/>
          <w:lang w:val="es-ES"/>
        </w:rPr>
        <w:t xml:space="preserve"> la presunta víctima</w:t>
      </w:r>
      <w:r w:rsidR="005C64C9" w:rsidRPr="00AE4262">
        <w:rPr>
          <w:rFonts w:ascii="Cambria" w:hAnsi="Cambria"/>
          <w:sz w:val="20"/>
          <w:szCs w:val="20"/>
          <w:lang w:val="es-ES"/>
        </w:rPr>
        <w:t xml:space="preserve"> no contó con</w:t>
      </w:r>
      <w:r w:rsidR="00740D49" w:rsidRPr="00AE4262">
        <w:rPr>
          <w:rFonts w:ascii="Cambria" w:hAnsi="Cambria"/>
          <w:sz w:val="20"/>
          <w:szCs w:val="20"/>
          <w:lang w:val="es-ES"/>
        </w:rPr>
        <w:t xml:space="preserve"> un recurso adecuado</w:t>
      </w:r>
      <w:r w:rsidR="00D456DB" w:rsidRPr="00AE4262">
        <w:rPr>
          <w:rFonts w:ascii="Cambria" w:hAnsi="Cambria"/>
          <w:sz w:val="20"/>
          <w:szCs w:val="20"/>
          <w:lang w:val="es-ES"/>
        </w:rPr>
        <w:t xml:space="preserve"> y disponible</w:t>
      </w:r>
      <w:r w:rsidR="00A419DC" w:rsidRPr="00AE4262">
        <w:rPr>
          <w:rFonts w:ascii="Cambria" w:hAnsi="Cambria"/>
          <w:sz w:val="20"/>
          <w:szCs w:val="20"/>
          <w:lang w:val="es-ES"/>
        </w:rPr>
        <w:t>, pues</w:t>
      </w:r>
      <w:r w:rsidR="006E2A2A" w:rsidRPr="00AE4262">
        <w:rPr>
          <w:rFonts w:ascii="Cambria" w:hAnsi="Cambria"/>
          <w:sz w:val="20"/>
          <w:szCs w:val="20"/>
          <w:lang w:val="es-ES"/>
        </w:rPr>
        <w:t xml:space="preserve"> </w:t>
      </w:r>
      <w:r w:rsidR="00740D49" w:rsidRPr="00AE4262">
        <w:rPr>
          <w:rFonts w:ascii="Cambria" w:hAnsi="Cambria"/>
          <w:sz w:val="20"/>
          <w:szCs w:val="20"/>
          <w:lang w:val="es-ES"/>
        </w:rPr>
        <w:t>el forzamiento de la investigación previsto</w:t>
      </w:r>
      <w:r w:rsidR="00AB7E5E" w:rsidRPr="00AE4262">
        <w:rPr>
          <w:rFonts w:ascii="Cambria" w:hAnsi="Cambria"/>
          <w:sz w:val="20"/>
          <w:szCs w:val="20"/>
          <w:lang w:val="es-ES"/>
        </w:rPr>
        <w:t xml:space="preserve"> en</w:t>
      </w:r>
      <w:r w:rsidR="00DD0661" w:rsidRPr="00AE4262">
        <w:rPr>
          <w:rFonts w:ascii="Cambria" w:hAnsi="Cambria"/>
          <w:sz w:val="20"/>
          <w:szCs w:val="20"/>
          <w:lang w:val="es-ES"/>
        </w:rPr>
        <w:t xml:space="preserve"> el artículo</w:t>
      </w:r>
      <w:r w:rsidR="00740D49" w:rsidRPr="00AE4262">
        <w:rPr>
          <w:rFonts w:ascii="Cambria" w:hAnsi="Cambria"/>
          <w:sz w:val="20"/>
          <w:szCs w:val="20"/>
          <w:lang w:val="es-ES"/>
        </w:rPr>
        <w:t xml:space="preserve"> 258 del C</w:t>
      </w:r>
      <w:r w:rsidR="00BD3D23" w:rsidRPr="00AE4262">
        <w:rPr>
          <w:rFonts w:ascii="Cambria" w:hAnsi="Cambria"/>
          <w:sz w:val="20"/>
          <w:szCs w:val="20"/>
          <w:lang w:val="es-ES"/>
        </w:rPr>
        <w:t>PP</w:t>
      </w:r>
      <w:r w:rsidR="006E2A2A" w:rsidRPr="00AE4262">
        <w:rPr>
          <w:rFonts w:ascii="Cambria" w:hAnsi="Cambria"/>
          <w:sz w:val="20"/>
          <w:szCs w:val="20"/>
          <w:lang w:val="es-ES"/>
        </w:rPr>
        <w:t>, no</w:t>
      </w:r>
      <w:r w:rsidR="006E1178" w:rsidRPr="00AE4262">
        <w:rPr>
          <w:rFonts w:ascii="Cambria" w:hAnsi="Cambria"/>
          <w:sz w:val="20"/>
          <w:szCs w:val="20"/>
          <w:lang w:val="es-ES"/>
        </w:rPr>
        <w:t xml:space="preserve"> es</w:t>
      </w:r>
      <w:r w:rsidR="006E2A2A" w:rsidRPr="00AE4262">
        <w:rPr>
          <w:rFonts w:ascii="Cambria" w:hAnsi="Cambria"/>
          <w:sz w:val="20"/>
          <w:szCs w:val="20"/>
          <w:lang w:val="es-ES"/>
        </w:rPr>
        <w:t xml:space="preserve"> un recurso sencillo </w:t>
      </w:r>
      <w:r w:rsidR="00AC1C60" w:rsidRPr="00AE4262">
        <w:rPr>
          <w:rFonts w:ascii="Cambria" w:hAnsi="Cambria"/>
          <w:sz w:val="20"/>
          <w:szCs w:val="20"/>
          <w:lang w:val="es-ES"/>
        </w:rPr>
        <w:t>y rápido</w:t>
      </w:r>
      <w:r w:rsidR="00AE4098" w:rsidRPr="00AE4262">
        <w:rPr>
          <w:rFonts w:ascii="Cambria" w:hAnsi="Cambria"/>
          <w:sz w:val="20"/>
          <w:szCs w:val="20"/>
          <w:lang w:val="es-ES"/>
        </w:rPr>
        <w:t xml:space="preserve">. Agrega que dicha figura </w:t>
      </w:r>
      <w:r w:rsidR="00A350B7" w:rsidRPr="00AE4262">
        <w:rPr>
          <w:rFonts w:ascii="Cambria" w:hAnsi="Cambria"/>
          <w:sz w:val="20"/>
          <w:szCs w:val="20"/>
          <w:lang w:val="es-ES"/>
        </w:rPr>
        <w:t xml:space="preserve">le </w:t>
      </w:r>
      <w:r w:rsidR="009D1998" w:rsidRPr="00AE4262">
        <w:rPr>
          <w:rFonts w:ascii="Cambria" w:hAnsi="Cambria"/>
          <w:sz w:val="20"/>
          <w:szCs w:val="20"/>
          <w:lang w:val="es-ES"/>
        </w:rPr>
        <w:t>impedía</w:t>
      </w:r>
      <w:r w:rsidR="00A350B7" w:rsidRPr="00AE4262">
        <w:rPr>
          <w:rFonts w:ascii="Cambria" w:hAnsi="Cambria"/>
          <w:sz w:val="20"/>
          <w:szCs w:val="20"/>
          <w:lang w:val="es-ES"/>
        </w:rPr>
        <w:t xml:space="preserve"> hacerse de medios de prueba que s</w:t>
      </w:r>
      <w:r w:rsidR="00AB7E5E" w:rsidRPr="00AE4262">
        <w:rPr>
          <w:rFonts w:ascii="Cambria" w:hAnsi="Cambria"/>
          <w:sz w:val="20"/>
          <w:szCs w:val="20"/>
          <w:lang w:val="es-ES"/>
        </w:rPr>
        <w:t>í</w:t>
      </w:r>
      <w:r w:rsidR="00A350B7" w:rsidRPr="00AE4262">
        <w:rPr>
          <w:rFonts w:ascii="Cambria" w:hAnsi="Cambria"/>
          <w:sz w:val="20"/>
          <w:szCs w:val="20"/>
          <w:lang w:val="es-ES"/>
        </w:rPr>
        <w:t xml:space="preserve"> </w:t>
      </w:r>
      <w:r w:rsidR="00AE4098" w:rsidRPr="00AE4262">
        <w:rPr>
          <w:rFonts w:ascii="Cambria" w:hAnsi="Cambria"/>
          <w:sz w:val="20"/>
          <w:szCs w:val="20"/>
          <w:lang w:val="es-ES"/>
        </w:rPr>
        <w:t>podía</w:t>
      </w:r>
      <w:r w:rsidR="00A350B7" w:rsidRPr="00AE4262">
        <w:rPr>
          <w:rFonts w:ascii="Cambria" w:hAnsi="Cambria"/>
          <w:sz w:val="20"/>
          <w:szCs w:val="20"/>
          <w:lang w:val="es-ES"/>
        </w:rPr>
        <w:t xml:space="preserve"> requerir el ente </w:t>
      </w:r>
      <w:r w:rsidR="00AE4098" w:rsidRPr="00AE4262">
        <w:rPr>
          <w:rFonts w:ascii="Cambria" w:hAnsi="Cambria"/>
          <w:sz w:val="20"/>
          <w:szCs w:val="20"/>
          <w:lang w:val="es-ES"/>
        </w:rPr>
        <w:t>persecutor</w:t>
      </w:r>
      <w:r w:rsidR="00740D49" w:rsidRPr="00AE4262">
        <w:rPr>
          <w:rFonts w:ascii="Cambria" w:hAnsi="Cambria"/>
          <w:sz w:val="20"/>
          <w:szCs w:val="20"/>
          <w:lang w:val="es-ES"/>
        </w:rPr>
        <w:t>.</w:t>
      </w:r>
    </w:p>
    <w:p w:rsidR="006E67E7" w:rsidRPr="00AE4262" w:rsidRDefault="006E67E7"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 xml:space="preserve">En resumen, la petición alega que en 2007 la presunta víctima presentó una denuncia por violencia doméstica contra su expareja, respecto a varias presuntas agresiones desde por lo menos 2003, hasta la fecha de presentación; y denunció específicamente amenazas por parte del agresor de regresar y matarla. Afirma que la respuesta de las autoridades se centró en realizar una investigación de las lesiones sufridas por su actual pareja, sin investigar los denunciados hechos anteriores o el riesgo que ella identificó. </w:t>
      </w:r>
    </w:p>
    <w:p w:rsidR="005A3144" w:rsidRPr="00AE4262" w:rsidRDefault="00840B9A"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El Estado</w:t>
      </w:r>
      <w:r w:rsidR="009A3C40" w:rsidRPr="00AE4262">
        <w:rPr>
          <w:rFonts w:ascii="Cambria" w:hAnsi="Cambria"/>
          <w:sz w:val="20"/>
          <w:szCs w:val="20"/>
          <w:lang w:val="es-ES"/>
        </w:rPr>
        <w:t>, por su parte</w:t>
      </w:r>
      <w:r w:rsidR="00104836" w:rsidRPr="00AE4262">
        <w:rPr>
          <w:rFonts w:ascii="Cambria" w:hAnsi="Cambria"/>
          <w:sz w:val="20"/>
          <w:szCs w:val="20"/>
          <w:lang w:val="es-ES"/>
        </w:rPr>
        <w:t>, señala que los hechos denunciados no caracterizan una violación a los derechos garantizados en la Convención</w:t>
      </w:r>
      <w:r w:rsidR="00284CAD" w:rsidRPr="00AE4262">
        <w:rPr>
          <w:rFonts w:ascii="Cambria" w:hAnsi="Cambria"/>
          <w:sz w:val="20"/>
          <w:szCs w:val="20"/>
          <w:lang w:val="es-ES"/>
        </w:rPr>
        <w:t xml:space="preserve">. Afirma que </w:t>
      </w:r>
      <w:r w:rsidR="00B37167" w:rsidRPr="00AE4262">
        <w:rPr>
          <w:rFonts w:ascii="Cambria" w:hAnsi="Cambria"/>
          <w:sz w:val="20"/>
          <w:szCs w:val="20"/>
          <w:lang w:val="es-ES"/>
        </w:rPr>
        <w:t xml:space="preserve">la decisión de no perseverar </w:t>
      </w:r>
      <w:r w:rsidR="0064014B" w:rsidRPr="00AE4262">
        <w:rPr>
          <w:rFonts w:ascii="Cambria" w:hAnsi="Cambria"/>
          <w:sz w:val="20"/>
          <w:szCs w:val="20"/>
          <w:lang w:val="es-ES"/>
        </w:rPr>
        <w:t>en una</w:t>
      </w:r>
      <w:r w:rsidR="00B37167" w:rsidRPr="00AE4262">
        <w:rPr>
          <w:rFonts w:ascii="Cambria" w:hAnsi="Cambria"/>
          <w:sz w:val="20"/>
          <w:szCs w:val="20"/>
          <w:lang w:val="es-ES"/>
        </w:rPr>
        <w:t xml:space="preserve"> investigaci</w:t>
      </w:r>
      <w:r w:rsidR="004A704F" w:rsidRPr="00AE4262">
        <w:rPr>
          <w:rFonts w:ascii="Cambria" w:hAnsi="Cambria"/>
          <w:sz w:val="20"/>
          <w:szCs w:val="20"/>
          <w:lang w:val="es-ES"/>
        </w:rPr>
        <w:t>ón penal es una facultad de la F</w:t>
      </w:r>
      <w:r w:rsidR="009A3C40" w:rsidRPr="00AE4262">
        <w:rPr>
          <w:rFonts w:ascii="Cambria" w:hAnsi="Cambria"/>
          <w:sz w:val="20"/>
          <w:szCs w:val="20"/>
          <w:lang w:val="es-ES"/>
        </w:rPr>
        <w:t xml:space="preserve">iscalía </w:t>
      </w:r>
      <w:r w:rsidR="00B37167" w:rsidRPr="00AE4262">
        <w:rPr>
          <w:rFonts w:ascii="Cambria" w:hAnsi="Cambria"/>
          <w:sz w:val="20"/>
          <w:szCs w:val="20"/>
          <w:lang w:val="es-ES"/>
        </w:rPr>
        <w:t>que se sustenta en la carencia de antecedentes suficientes para fundar una acusación, y que se trata</w:t>
      </w:r>
      <w:r w:rsidR="000C5F80" w:rsidRPr="00AE4262">
        <w:rPr>
          <w:rFonts w:ascii="Cambria" w:hAnsi="Cambria"/>
          <w:sz w:val="20"/>
          <w:szCs w:val="20"/>
          <w:lang w:val="es-ES"/>
        </w:rPr>
        <w:t xml:space="preserve"> de una determinación técnica,</w:t>
      </w:r>
      <w:r w:rsidR="00B37167" w:rsidRPr="00AE4262">
        <w:rPr>
          <w:rFonts w:ascii="Cambria" w:hAnsi="Cambria"/>
          <w:sz w:val="20"/>
          <w:szCs w:val="20"/>
          <w:lang w:val="es-ES"/>
        </w:rPr>
        <w:t xml:space="preserve"> que no refleja discrecionalidad, desinterés, o sobrecarga de trabajo</w:t>
      </w:r>
      <w:r w:rsidR="006C11EE" w:rsidRPr="00AE4262">
        <w:rPr>
          <w:rFonts w:ascii="Cambria" w:hAnsi="Cambria"/>
          <w:sz w:val="20"/>
          <w:szCs w:val="20"/>
          <w:lang w:val="es-ES"/>
        </w:rPr>
        <w:t xml:space="preserve"> por parte de los funcionarios</w:t>
      </w:r>
      <w:r w:rsidR="009A3C40" w:rsidRPr="00AE4262">
        <w:rPr>
          <w:rFonts w:ascii="Cambria" w:hAnsi="Cambria"/>
          <w:sz w:val="20"/>
          <w:szCs w:val="20"/>
          <w:lang w:val="es-ES"/>
        </w:rPr>
        <w:t xml:space="preserve"> públicos</w:t>
      </w:r>
      <w:r w:rsidR="00B37167" w:rsidRPr="00AE4262">
        <w:rPr>
          <w:rFonts w:ascii="Cambria" w:hAnsi="Cambria"/>
          <w:sz w:val="20"/>
          <w:szCs w:val="20"/>
          <w:lang w:val="es-ES"/>
        </w:rPr>
        <w:t xml:space="preserve">. Agrega que, aún en estos casos, si con posteridad </w:t>
      </w:r>
      <w:r w:rsidR="006C11EE" w:rsidRPr="00AE4262">
        <w:rPr>
          <w:rFonts w:ascii="Cambria" w:hAnsi="Cambria"/>
          <w:sz w:val="20"/>
          <w:szCs w:val="20"/>
          <w:lang w:val="es-ES"/>
        </w:rPr>
        <w:t xml:space="preserve">al cierre </w:t>
      </w:r>
      <w:r w:rsidR="00B37167" w:rsidRPr="00AE4262">
        <w:rPr>
          <w:rFonts w:ascii="Cambria" w:hAnsi="Cambria"/>
          <w:sz w:val="20"/>
          <w:szCs w:val="20"/>
          <w:lang w:val="es-ES"/>
        </w:rPr>
        <w:t xml:space="preserve">se presentaran nuevos antecedentes, el Fiscal está facultado para reabrir la investigación. </w:t>
      </w:r>
      <w:r w:rsidR="00CD7082" w:rsidRPr="00AE4262">
        <w:rPr>
          <w:rFonts w:ascii="Cambria" w:hAnsi="Cambria"/>
          <w:sz w:val="20"/>
          <w:szCs w:val="20"/>
          <w:lang w:val="es-ES"/>
        </w:rPr>
        <w:t>Agrega que</w:t>
      </w:r>
      <w:r w:rsidR="00AB7E5E" w:rsidRPr="00AE4262">
        <w:rPr>
          <w:rFonts w:ascii="Cambria" w:hAnsi="Cambria"/>
          <w:sz w:val="20"/>
          <w:szCs w:val="20"/>
          <w:lang w:val="es-ES"/>
        </w:rPr>
        <w:t>,</w:t>
      </w:r>
      <w:r w:rsidR="00CD7082" w:rsidRPr="00AE4262">
        <w:rPr>
          <w:rFonts w:ascii="Cambria" w:hAnsi="Cambria"/>
          <w:sz w:val="20"/>
          <w:szCs w:val="20"/>
          <w:lang w:val="es-ES"/>
        </w:rPr>
        <w:t xml:space="preserve"> en este caso, no se ha acompañado </w:t>
      </w:r>
      <w:r w:rsidR="00AB7E5E" w:rsidRPr="00AE4262">
        <w:rPr>
          <w:rFonts w:ascii="Cambria" w:hAnsi="Cambria"/>
          <w:sz w:val="20"/>
          <w:szCs w:val="20"/>
          <w:lang w:val="es-ES"/>
        </w:rPr>
        <w:t>información</w:t>
      </w:r>
      <w:r w:rsidR="00CD7082" w:rsidRPr="00AE4262">
        <w:rPr>
          <w:rFonts w:ascii="Cambria" w:hAnsi="Cambria"/>
          <w:sz w:val="20"/>
          <w:szCs w:val="20"/>
          <w:lang w:val="es-ES"/>
        </w:rPr>
        <w:t xml:space="preserve"> por parte de la parte peticionaria que </w:t>
      </w:r>
      <w:r w:rsidR="00AB7E5E" w:rsidRPr="00AE4262">
        <w:rPr>
          <w:rFonts w:ascii="Cambria" w:hAnsi="Cambria"/>
          <w:sz w:val="20"/>
          <w:szCs w:val="20"/>
          <w:lang w:val="es-ES"/>
        </w:rPr>
        <w:t xml:space="preserve">dé </w:t>
      </w:r>
      <w:r w:rsidR="00CD7082" w:rsidRPr="00AE4262">
        <w:rPr>
          <w:rFonts w:ascii="Cambria" w:hAnsi="Cambria"/>
          <w:sz w:val="20"/>
          <w:szCs w:val="20"/>
          <w:lang w:val="es-ES"/>
        </w:rPr>
        <w:t xml:space="preserve">cuenta de haber proporcionado nuevos antecedentes al Fiscal de la causa. </w:t>
      </w:r>
      <w:r w:rsidR="006C11EE" w:rsidRPr="00AE4262">
        <w:rPr>
          <w:rFonts w:ascii="Cambria" w:hAnsi="Cambria"/>
          <w:sz w:val="20"/>
          <w:szCs w:val="20"/>
          <w:lang w:val="es-ES"/>
        </w:rPr>
        <w:t>Sostiene</w:t>
      </w:r>
      <w:r w:rsidR="003D7F76" w:rsidRPr="00AE4262">
        <w:rPr>
          <w:rFonts w:ascii="Cambria" w:hAnsi="Cambria"/>
          <w:sz w:val="20"/>
          <w:szCs w:val="20"/>
          <w:lang w:val="es-ES"/>
        </w:rPr>
        <w:t xml:space="preserve"> que los peticionarios intentan utilizar a la </w:t>
      </w:r>
      <w:r w:rsidR="006B0008" w:rsidRPr="00AE4262">
        <w:rPr>
          <w:rFonts w:ascii="Cambria" w:hAnsi="Cambria"/>
          <w:sz w:val="20"/>
          <w:szCs w:val="20"/>
          <w:lang w:val="es-ES"/>
        </w:rPr>
        <w:t>Comisión</w:t>
      </w:r>
      <w:r w:rsidR="003D7F76" w:rsidRPr="00AE4262">
        <w:rPr>
          <w:rFonts w:ascii="Cambria" w:hAnsi="Cambria"/>
          <w:sz w:val="20"/>
          <w:szCs w:val="20"/>
          <w:lang w:val="es-ES"/>
        </w:rPr>
        <w:t xml:space="preserve"> como una cuarta instancia</w:t>
      </w:r>
      <w:r w:rsidR="006B0008" w:rsidRPr="00AE4262">
        <w:rPr>
          <w:rFonts w:ascii="Cambria" w:hAnsi="Cambria"/>
          <w:sz w:val="20"/>
          <w:szCs w:val="20"/>
          <w:lang w:val="es-ES"/>
        </w:rPr>
        <w:t xml:space="preserve"> para revisar una resolución que les resultó desfavorable.</w:t>
      </w:r>
      <w:r w:rsidR="00E509C6" w:rsidRPr="00AE4262">
        <w:rPr>
          <w:rFonts w:ascii="Cambria" w:hAnsi="Cambria"/>
          <w:sz w:val="20"/>
          <w:szCs w:val="20"/>
          <w:lang w:val="es-ES"/>
        </w:rPr>
        <w:t xml:space="preserve"> </w:t>
      </w:r>
    </w:p>
    <w:p w:rsidR="003239B8" w:rsidRPr="00AE4262" w:rsidRDefault="003239B8" w:rsidP="00AE4262">
      <w:pPr>
        <w:spacing w:before="240" w:after="240"/>
        <w:ind w:firstLine="720"/>
        <w:jc w:val="both"/>
        <w:rPr>
          <w:rFonts w:ascii="Cambria" w:hAnsi="Cambria"/>
          <w:sz w:val="20"/>
          <w:szCs w:val="20"/>
          <w:lang w:val="es-ES"/>
        </w:rPr>
      </w:pPr>
      <w:r w:rsidRPr="00AE4262">
        <w:rPr>
          <w:rFonts w:ascii="Cambria" w:eastAsia="Cambria" w:hAnsi="Cambria" w:cs="Cambria"/>
          <w:b/>
          <w:bCs/>
          <w:color w:val="000000"/>
          <w:sz w:val="20"/>
          <w:szCs w:val="20"/>
          <w:u w:color="000000"/>
          <w:lang w:val="es-ES" w:eastAsia="es-ES"/>
        </w:rPr>
        <w:t>VI.</w:t>
      </w:r>
      <w:r w:rsidRPr="00AE4262">
        <w:rPr>
          <w:rFonts w:ascii="Cambria" w:eastAsia="Cambria" w:hAnsi="Cambria" w:cs="Cambria"/>
          <w:b/>
          <w:bCs/>
          <w:color w:val="000000"/>
          <w:sz w:val="20"/>
          <w:szCs w:val="20"/>
          <w:u w:color="000000"/>
          <w:lang w:val="es-ES" w:eastAsia="es-ES"/>
        </w:rPr>
        <w:tab/>
      </w:r>
      <w:r w:rsidR="00720F70" w:rsidRPr="00AE4262">
        <w:rPr>
          <w:rFonts w:ascii="Cambria" w:eastAsia="Cambria" w:hAnsi="Cambria" w:cs="Cambria"/>
          <w:b/>
          <w:bCs/>
          <w:color w:val="000000"/>
          <w:sz w:val="20"/>
          <w:szCs w:val="20"/>
          <w:u w:color="000000"/>
          <w:lang w:val="es-ES" w:eastAsia="es-ES"/>
        </w:rPr>
        <w:t xml:space="preserve">ANÁLISIS DE </w:t>
      </w:r>
      <w:r w:rsidR="00C21FEF" w:rsidRPr="00AE4262">
        <w:rPr>
          <w:rFonts w:ascii="Cambria" w:hAnsi="Cambria"/>
          <w:b/>
          <w:sz w:val="20"/>
          <w:szCs w:val="20"/>
          <w:lang w:val="es-ES"/>
        </w:rPr>
        <w:t>AGOTAMIENTO DE LOS RECURSOS INTERNOS Y PLAZO DE PRESENTACIÓN</w:t>
      </w:r>
      <w:r w:rsidR="00C21FEF" w:rsidRPr="00AE4262">
        <w:rPr>
          <w:rFonts w:ascii="Cambria" w:eastAsia="Cambria" w:hAnsi="Cambria" w:cs="Cambria"/>
          <w:b/>
          <w:bCs/>
          <w:sz w:val="20"/>
          <w:szCs w:val="20"/>
          <w:u w:color="000000"/>
          <w:lang w:val="es-ES" w:eastAsia="es-ES"/>
        </w:rPr>
        <w:t xml:space="preserve"> </w:t>
      </w:r>
    </w:p>
    <w:p w:rsidR="00EA0BF3" w:rsidRPr="00AE4262" w:rsidRDefault="00EF0E8C"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Cambria" w:hAnsi="Cambria"/>
          <w:color w:val="FF0000"/>
          <w:sz w:val="20"/>
          <w:szCs w:val="20"/>
          <w:lang w:val="es-ES_tradnl"/>
        </w:rPr>
      </w:pPr>
      <w:r w:rsidRPr="00AE4262">
        <w:rPr>
          <w:rFonts w:ascii="Cambria" w:hAnsi="Cambria"/>
          <w:sz w:val="20"/>
          <w:szCs w:val="20"/>
          <w:lang w:val="es-ES_tradnl"/>
        </w:rPr>
        <w:t xml:space="preserve">La </w:t>
      </w:r>
      <w:r w:rsidR="00EA0BF3" w:rsidRPr="00AE4262">
        <w:rPr>
          <w:rFonts w:ascii="Cambria" w:hAnsi="Cambria"/>
          <w:sz w:val="20"/>
          <w:szCs w:val="20"/>
          <w:lang w:val="es-ES_tradnl"/>
        </w:rPr>
        <w:t>peticionaria alega que</w:t>
      </w:r>
      <w:r w:rsidR="00F77D1F" w:rsidRPr="00AE4262">
        <w:rPr>
          <w:rFonts w:ascii="Cambria" w:hAnsi="Cambria"/>
          <w:sz w:val="20"/>
          <w:szCs w:val="20"/>
          <w:lang w:val="es-ES_tradnl"/>
        </w:rPr>
        <w:t xml:space="preserve"> presentó diversas solicitudes de realización de diligencias ante la fiscalía a fin de continuar con la investigación</w:t>
      </w:r>
      <w:r w:rsidR="00D9403F" w:rsidRPr="00AE4262">
        <w:rPr>
          <w:rFonts w:ascii="Cambria" w:hAnsi="Cambria"/>
          <w:sz w:val="20"/>
          <w:szCs w:val="20"/>
          <w:lang w:val="es-ES_tradnl"/>
        </w:rPr>
        <w:t xml:space="preserve">. </w:t>
      </w:r>
      <w:r w:rsidR="00BD3D23" w:rsidRPr="00AE4262">
        <w:rPr>
          <w:rFonts w:ascii="Cambria" w:hAnsi="Cambria"/>
          <w:sz w:val="20"/>
          <w:szCs w:val="20"/>
          <w:lang w:val="es-ES_tradnl"/>
        </w:rPr>
        <w:t xml:space="preserve">Afirma que </w:t>
      </w:r>
      <w:r w:rsidR="001F56B0" w:rsidRPr="00AE4262">
        <w:rPr>
          <w:rFonts w:ascii="Cambria" w:hAnsi="Cambria"/>
          <w:sz w:val="20"/>
          <w:szCs w:val="20"/>
          <w:lang w:val="es-ES_tradnl"/>
        </w:rPr>
        <w:t xml:space="preserve">en la audiencia de </w:t>
      </w:r>
      <w:r w:rsidR="001F56B0" w:rsidRPr="00AE4262">
        <w:rPr>
          <w:rFonts w:ascii="Cambria" w:hAnsi="Cambria"/>
          <w:sz w:val="20"/>
          <w:szCs w:val="20"/>
          <w:lang w:val="es-ES"/>
        </w:rPr>
        <w:t>cierre de la investigación</w:t>
      </w:r>
      <w:r w:rsidR="001F56B0" w:rsidRPr="00AE4262">
        <w:rPr>
          <w:rFonts w:ascii="Cambria" w:hAnsi="Cambria"/>
          <w:sz w:val="20"/>
          <w:szCs w:val="20"/>
          <w:lang w:val="es-ES_tradnl"/>
        </w:rPr>
        <w:t xml:space="preserve"> por ejercicio de la facultad de no perseverar de la Fiscalía </w:t>
      </w:r>
      <w:r w:rsidR="00BD3D23" w:rsidRPr="00AE4262">
        <w:rPr>
          <w:rFonts w:ascii="Cambria" w:hAnsi="Cambria"/>
          <w:sz w:val="20"/>
          <w:szCs w:val="20"/>
          <w:lang w:val="es-ES_tradnl"/>
        </w:rPr>
        <w:t xml:space="preserve">no </w:t>
      </w:r>
      <w:r w:rsidR="00D9403F" w:rsidRPr="00AE4262">
        <w:rPr>
          <w:rFonts w:ascii="Cambria" w:hAnsi="Cambria"/>
          <w:sz w:val="20"/>
          <w:szCs w:val="20"/>
          <w:lang w:val="es-ES"/>
        </w:rPr>
        <w:t xml:space="preserve">se le brindó </w:t>
      </w:r>
      <w:r w:rsidR="0054103C" w:rsidRPr="00AE4262">
        <w:rPr>
          <w:rFonts w:ascii="Cambria" w:hAnsi="Cambria"/>
          <w:sz w:val="20"/>
          <w:szCs w:val="20"/>
          <w:lang w:val="es-ES"/>
        </w:rPr>
        <w:t xml:space="preserve">a la presunta víctima </w:t>
      </w:r>
      <w:r w:rsidR="00D9403F" w:rsidRPr="00AE4262">
        <w:rPr>
          <w:rFonts w:ascii="Cambria" w:hAnsi="Cambria"/>
          <w:sz w:val="20"/>
          <w:szCs w:val="20"/>
          <w:lang w:val="es-ES"/>
        </w:rPr>
        <w:t xml:space="preserve">la oportunidad de dar su opinión, </w:t>
      </w:r>
      <w:r w:rsidR="00BD3D23" w:rsidRPr="00AE4262">
        <w:rPr>
          <w:rFonts w:ascii="Cambria" w:hAnsi="Cambria"/>
          <w:sz w:val="20"/>
          <w:szCs w:val="20"/>
          <w:lang w:val="es-ES"/>
        </w:rPr>
        <w:t>en contravención d</w:t>
      </w:r>
      <w:r w:rsidR="00D9403F" w:rsidRPr="00AE4262">
        <w:rPr>
          <w:rFonts w:ascii="Cambria" w:hAnsi="Cambria"/>
          <w:sz w:val="20"/>
          <w:szCs w:val="20"/>
          <w:lang w:val="es-ES"/>
        </w:rPr>
        <w:t>el artículo 248 letra c) del C</w:t>
      </w:r>
      <w:r w:rsidR="00BD3D23" w:rsidRPr="00AE4262">
        <w:rPr>
          <w:rFonts w:ascii="Cambria" w:hAnsi="Cambria"/>
          <w:sz w:val="20"/>
          <w:szCs w:val="20"/>
          <w:lang w:val="es-ES"/>
        </w:rPr>
        <w:t xml:space="preserve">PP. Alega asimismo </w:t>
      </w:r>
      <w:r w:rsidR="00F77D1F" w:rsidRPr="00AE4262">
        <w:rPr>
          <w:rFonts w:ascii="Cambria" w:hAnsi="Cambria"/>
          <w:sz w:val="20"/>
          <w:szCs w:val="20"/>
          <w:lang w:val="es-ES_tradnl"/>
        </w:rPr>
        <w:t>que</w:t>
      </w:r>
      <w:r w:rsidR="007B1A32" w:rsidRPr="00AE4262">
        <w:rPr>
          <w:rFonts w:ascii="Cambria" w:hAnsi="Cambria"/>
          <w:sz w:val="20"/>
          <w:szCs w:val="20"/>
          <w:lang w:val="es-ES_tradnl"/>
        </w:rPr>
        <w:t xml:space="preserve"> </w:t>
      </w:r>
      <w:r w:rsidR="00BD3D23" w:rsidRPr="00AE4262">
        <w:rPr>
          <w:rFonts w:ascii="Cambria" w:hAnsi="Cambria"/>
          <w:sz w:val="20"/>
          <w:szCs w:val="20"/>
          <w:lang w:val="es-ES"/>
        </w:rPr>
        <w:t>no contó con un recurso adecuado</w:t>
      </w:r>
      <w:r w:rsidR="00D456DB" w:rsidRPr="00AE4262">
        <w:rPr>
          <w:rFonts w:ascii="Cambria" w:hAnsi="Cambria"/>
          <w:sz w:val="20"/>
          <w:szCs w:val="20"/>
          <w:lang w:val="es-ES"/>
        </w:rPr>
        <w:t xml:space="preserve"> y disponible</w:t>
      </w:r>
      <w:r w:rsidR="00BD3D23" w:rsidRPr="00AE4262">
        <w:rPr>
          <w:rFonts w:ascii="Cambria" w:hAnsi="Cambria"/>
          <w:sz w:val="20"/>
          <w:szCs w:val="20"/>
          <w:lang w:val="es-ES"/>
        </w:rPr>
        <w:t xml:space="preserve">, pues el forzamiento de la investigación previsto en el artículo 258 del CPP no es un recurso sencillo y rápido. </w:t>
      </w:r>
      <w:r w:rsidR="00EA0BF3" w:rsidRPr="00AE4262">
        <w:rPr>
          <w:rFonts w:ascii="Cambria" w:hAnsi="Cambria"/>
          <w:sz w:val="20"/>
          <w:szCs w:val="20"/>
          <w:lang w:val="es-ES_tradnl"/>
        </w:rPr>
        <w:t xml:space="preserve">Por su parte, el Estado </w:t>
      </w:r>
      <w:r w:rsidR="00AB7F84" w:rsidRPr="00AE4262">
        <w:rPr>
          <w:rFonts w:ascii="Cambria" w:hAnsi="Cambria"/>
          <w:sz w:val="20"/>
          <w:szCs w:val="20"/>
          <w:lang w:val="es-ES_tradnl"/>
        </w:rPr>
        <w:t>afirma que si con posteridad al cierre de la investigación</w:t>
      </w:r>
      <w:r w:rsidR="00DE15F2" w:rsidRPr="00AE4262">
        <w:rPr>
          <w:rFonts w:ascii="Cambria" w:hAnsi="Cambria"/>
          <w:sz w:val="20"/>
          <w:szCs w:val="20"/>
          <w:lang w:val="es-ES_tradnl"/>
        </w:rPr>
        <w:t xml:space="preserve"> </w:t>
      </w:r>
      <w:r w:rsidR="00AB7F84" w:rsidRPr="00AE4262">
        <w:rPr>
          <w:rFonts w:ascii="Cambria" w:hAnsi="Cambria"/>
          <w:sz w:val="20"/>
          <w:szCs w:val="20"/>
          <w:lang w:val="es-ES_tradnl"/>
        </w:rPr>
        <w:t>se presentaran nuevos antecedentes, el Fiscal está facultado para reabrir la investigación</w:t>
      </w:r>
      <w:r w:rsidR="00124F4B" w:rsidRPr="00AE4262">
        <w:rPr>
          <w:rFonts w:ascii="Cambria" w:hAnsi="Cambria"/>
          <w:sz w:val="20"/>
          <w:szCs w:val="20"/>
          <w:lang w:val="es-ES_tradnl"/>
        </w:rPr>
        <w:t xml:space="preserve">. </w:t>
      </w:r>
    </w:p>
    <w:p w:rsidR="008D0884" w:rsidRPr="00AE4262" w:rsidRDefault="00FE372A"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Cambria" w:hAnsi="Cambria"/>
          <w:sz w:val="20"/>
          <w:szCs w:val="20"/>
          <w:lang w:val="es-ES_tradnl"/>
        </w:rPr>
      </w:pPr>
      <w:r w:rsidRPr="00AE4262">
        <w:rPr>
          <w:rFonts w:ascii="Cambria" w:hAnsi="Cambria"/>
          <w:sz w:val="20"/>
          <w:szCs w:val="20"/>
          <w:lang w:val="es-ES_tradnl"/>
        </w:rPr>
        <w:t xml:space="preserve">La </w:t>
      </w:r>
      <w:r w:rsidR="00EF0E8C" w:rsidRPr="00AE4262">
        <w:rPr>
          <w:rFonts w:ascii="Cambria" w:hAnsi="Cambria"/>
          <w:sz w:val="20"/>
          <w:szCs w:val="20"/>
          <w:lang w:val="es-ES_tradnl"/>
        </w:rPr>
        <w:t>Comisión observa que</w:t>
      </w:r>
      <w:r w:rsidR="000C486D" w:rsidRPr="00AE4262">
        <w:rPr>
          <w:rFonts w:ascii="Cambria" w:hAnsi="Cambria"/>
          <w:sz w:val="20"/>
          <w:szCs w:val="20"/>
          <w:lang w:val="es-ES_tradnl"/>
        </w:rPr>
        <w:t>,</w:t>
      </w:r>
      <w:r w:rsidR="00074061" w:rsidRPr="00AE4262">
        <w:rPr>
          <w:rFonts w:ascii="Cambria" w:hAnsi="Cambria"/>
          <w:sz w:val="20"/>
          <w:szCs w:val="20"/>
          <w:lang w:val="es-ES_tradnl"/>
        </w:rPr>
        <w:t xml:space="preserve"> en el presente caso</w:t>
      </w:r>
      <w:r w:rsidR="003F2EF8" w:rsidRPr="00AE4262">
        <w:rPr>
          <w:rFonts w:ascii="Cambria" w:hAnsi="Cambria"/>
          <w:sz w:val="20"/>
          <w:szCs w:val="20"/>
          <w:lang w:val="es-ES_tradnl"/>
        </w:rPr>
        <w:t>,</w:t>
      </w:r>
      <w:r w:rsidR="00074061" w:rsidRPr="00AE4262">
        <w:rPr>
          <w:rFonts w:ascii="Cambria" w:hAnsi="Cambria"/>
          <w:sz w:val="20"/>
          <w:szCs w:val="20"/>
          <w:lang w:val="es-ES_tradnl"/>
        </w:rPr>
        <w:t xml:space="preserve"> la presunta víctima refiere haber realizado denuncia policial de los hechos y que</w:t>
      </w:r>
      <w:r w:rsidR="000F125E" w:rsidRPr="00AE4262">
        <w:rPr>
          <w:rFonts w:ascii="Cambria" w:hAnsi="Cambria"/>
          <w:sz w:val="20"/>
          <w:szCs w:val="20"/>
          <w:lang w:val="es-ES_tradnl"/>
        </w:rPr>
        <w:t xml:space="preserve"> </w:t>
      </w:r>
      <w:r w:rsidR="00CA3412" w:rsidRPr="00AE4262">
        <w:rPr>
          <w:rFonts w:ascii="Cambria" w:hAnsi="Cambria"/>
          <w:sz w:val="20"/>
          <w:szCs w:val="20"/>
          <w:lang w:val="es-ES_tradnl"/>
        </w:rPr>
        <w:t>en vista del tratamiento reci</w:t>
      </w:r>
      <w:r w:rsidR="00074061" w:rsidRPr="00AE4262">
        <w:rPr>
          <w:rFonts w:ascii="Cambria" w:hAnsi="Cambria"/>
          <w:sz w:val="20"/>
          <w:szCs w:val="20"/>
          <w:lang w:val="es-ES_tradnl"/>
        </w:rPr>
        <w:t>bido en calidad de testigo y no de víctima</w:t>
      </w:r>
      <w:r w:rsidR="000F125E" w:rsidRPr="00AE4262">
        <w:rPr>
          <w:rFonts w:ascii="Cambria" w:hAnsi="Cambria"/>
          <w:sz w:val="20"/>
          <w:szCs w:val="20"/>
          <w:lang w:val="es-ES_tradnl"/>
        </w:rPr>
        <w:t xml:space="preserve"> de los hechos</w:t>
      </w:r>
      <w:r w:rsidR="00074061" w:rsidRPr="00AE4262">
        <w:rPr>
          <w:rFonts w:ascii="Cambria" w:hAnsi="Cambria"/>
          <w:sz w:val="20"/>
          <w:szCs w:val="20"/>
          <w:lang w:val="es-ES_tradnl"/>
        </w:rPr>
        <w:t>, present</w:t>
      </w:r>
      <w:r w:rsidR="00CA3412" w:rsidRPr="00AE4262">
        <w:rPr>
          <w:rFonts w:ascii="Cambria" w:hAnsi="Cambria"/>
          <w:sz w:val="20"/>
          <w:szCs w:val="20"/>
          <w:lang w:val="es-ES_tradnl"/>
        </w:rPr>
        <w:t>ó</w:t>
      </w:r>
      <w:r w:rsidR="00074061" w:rsidRPr="00AE4262">
        <w:rPr>
          <w:rFonts w:ascii="Cambria" w:hAnsi="Cambria"/>
          <w:sz w:val="20"/>
          <w:szCs w:val="20"/>
          <w:lang w:val="es-ES_tradnl"/>
        </w:rPr>
        <w:t xml:space="preserve"> una querella criminal contra el presunto responsable de las amenazas.</w:t>
      </w:r>
      <w:r w:rsidR="00CA3412" w:rsidRPr="00AE4262">
        <w:rPr>
          <w:rFonts w:ascii="Cambria" w:hAnsi="Cambria"/>
          <w:sz w:val="20"/>
          <w:szCs w:val="20"/>
          <w:lang w:val="es-ES_tradnl"/>
        </w:rPr>
        <w:t xml:space="preserve"> La Comisión observa que la presunta víctima presentó </w:t>
      </w:r>
      <w:r w:rsidR="008D0884" w:rsidRPr="00AE4262">
        <w:rPr>
          <w:rFonts w:ascii="Cambria" w:hAnsi="Cambria"/>
          <w:sz w:val="20"/>
          <w:szCs w:val="20"/>
          <w:lang w:val="es-ES_tradnl"/>
        </w:rPr>
        <w:t>la</w:t>
      </w:r>
      <w:r w:rsidR="00CA3412" w:rsidRPr="00AE4262">
        <w:rPr>
          <w:rFonts w:ascii="Cambria" w:hAnsi="Cambria"/>
          <w:sz w:val="20"/>
          <w:szCs w:val="20"/>
          <w:lang w:val="es-ES_tradnl"/>
        </w:rPr>
        <w:t xml:space="preserve"> querella por amenazas el 23 de abril de 2007</w:t>
      </w:r>
      <w:r w:rsidR="008D0884" w:rsidRPr="00AE4262">
        <w:rPr>
          <w:rFonts w:ascii="Cambria" w:hAnsi="Cambria"/>
          <w:sz w:val="20"/>
          <w:szCs w:val="20"/>
          <w:lang w:val="es-ES_tradnl"/>
        </w:rPr>
        <w:t>,</w:t>
      </w:r>
      <w:r w:rsidR="00CA3412" w:rsidRPr="00AE4262">
        <w:rPr>
          <w:rFonts w:ascii="Cambria" w:hAnsi="Cambria"/>
          <w:sz w:val="20"/>
          <w:szCs w:val="20"/>
          <w:lang w:val="es-ES_tradnl"/>
        </w:rPr>
        <w:t xml:space="preserve"> y que el 25 de enero de 2008 el fiscal ejerció la facultad de “no perseverar”, por lo que el juez de garantía cerró la investigación.</w:t>
      </w:r>
      <w:r w:rsidR="008D0884" w:rsidRPr="00AE4262">
        <w:rPr>
          <w:rFonts w:ascii="Cambria" w:hAnsi="Cambria"/>
          <w:sz w:val="20"/>
          <w:szCs w:val="20"/>
          <w:lang w:val="es-ES_tradnl"/>
        </w:rPr>
        <w:t xml:space="preserve"> Conforme lo indicado por el Estado, la investigación puede reabrirse en caso de presentación de nuevos antecedentes, por lo que no se trata de un cierre definitivo. </w:t>
      </w:r>
      <w:r w:rsidR="000F125E" w:rsidRPr="00AE4262">
        <w:rPr>
          <w:rFonts w:ascii="Cambria" w:hAnsi="Cambria"/>
          <w:sz w:val="20"/>
          <w:szCs w:val="20"/>
          <w:lang w:val="es-ES_tradnl"/>
        </w:rPr>
        <w:t xml:space="preserve">En casos de alegadas amenazas a la </w:t>
      </w:r>
      <w:r w:rsidR="000F125E" w:rsidRPr="00AE4262">
        <w:rPr>
          <w:rFonts w:ascii="Cambria" w:hAnsi="Cambria"/>
          <w:sz w:val="20"/>
          <w:szCs w:val="20"/>
          <w:lang w:val="es-ES_tradnl"/>
        </w:rPr>
        <w:lastRenderedPageBreak/>
        <w:t>vida e integridad, el proceso penal constituye la vía idónea para esclarecer los hechos, juzgar a los responsables y establecer las sanciones penales correspondientes.</w:t>
      </w:r>
      <w:r w:rsidR="00074061" w:rsidRPr="00AE4262">
        <w:rPr>
          <w:rFonts w:ascii="Cambria" w:hAnsi="Cambria"/>
          <w:sz w:val="20"/>
          <w:szCs w:val="20"/>
          <w:lang w:val="es-ES_tradnl"/>
        </w:rPr>
        <w:t xml:space="preserve"> </w:t>
      </w:r>
      <w:r w:rsidR="00846BEF" w:rsidRPr="00AE4262">
        <w:rPr>
          <w:rFonts w:ascii="Cambria" w:hAnsi="Cambria"/>
          <w:sz w:val="20"/>
          <w:szCs w:val="20"/>
          <w:lang w:val="es-ES_tradnl"/>
        </w:rPr>
        <w:t xml:space="preserve">Atendido lo referido precedentemente, </w:t>
      </w:r>
      <w:r w:rsidR="008D0884" w:rsidRPr="00AE4262">
        <w:rPr>
          <w:rFonts w:ascii="Cambria" w:hAnsi="Cambria"/>
          <w:sz w:val="20"/>
          <w:szCs w:val="20"/>
          <w:lang w:val="es-ES_tradnl"/>
        </w:rPr>
        <w:t>y dado que han transcurrido once años desde los hechos denunciados, y que</w:t>
      </w:r>
      <w:r w:rsidR="000F125E" w:rsidRPr="00AE4262">
        <w:rPr>
          <w:rFonts w:ascii="Cambria" w:hAnsi="Cambria"/>
          <w:sz w:val="20"/>
          <w:szCs w:val="20"/>
          <w:lang w:val="es-ES_tradnl"/>
        </w:rPr>
        <w:t xml:space="preserve"> las</w:t>
      </w:r>
      <w:r w:rsidR="008D0884" w:rsidRPr="00AE4262">
        <w:rPr>
          <w:rFonts w:ascii="Cambria" w:hAnsi="Cambria"/>
          <w:sz w:val="20"/>
          <w:szCs w:val="20"/>
          <w:lang w:val="es-ES_tradnl"/>
        </w:rPr>
        <w:t xml:space="preserve"> alegadas deficiencias en la investigación habrían impedido </w:t>
      </w:r>
      <w:r w:rsidR="00030BAA" w:rsidRPr="00AE4262">
        <w:rPr>
          <w:rFonts w:ascii="Cambria" w:hAnsi="Cambria"/>
          <w:sz w:val="20"/>
          <w:szCs w:val="20"/>
          <w:lang w:val="es-ES_tradnl"/>
        </w:rPr>
        <w:t>un esclarecimiento pleno</w:t>
      </w:r>
      <w:r w:rsidR="008D0884" w:rsidRPr="00AE4262">
        <w:rPr>
          <w:rFonts w:ascii="Cambria" w:hAnsi="Cambria"/>
          <w:sz w:val="20"/>
          <w:szCs w:val="20"/>
          <w:lang w:val="es-ES_tradnl"/>
        </w:rPr>
        <w:t xml:space="preserve"> de los hechos y las posibles responsabilidades penales, la Comisión </w:t>
      </w:r>
      <w:r w:rsidR="008E59F9" w:rsidRPr="00AE4262">
        <w:rPr>
          <w:rFonts w:ascii="Cambria" w:hAnsi="Cambria"/>
          <w:sz w:val="20"/>
          <w:szCs w:val="20"/>
          <w:lang w:val="es-ES_tradnl"/>
        </w:rPr>
        <w:t xml:space="preserve">considera </w:t>
      </w:r>
      <w:r w:rsidR="008D0884" w:rsidRPr="00AE4262">
        <w:rPr>
          <w:rFonts w:ascii="Cambria" w:hAnsi="Cambria"/>
          <w:sz w:val="20"/>
          <w:szCs w:val="20"/>
          <w:lang w:val="es-ES_tradnl"/>
        </w:rPr>
        <w:t xml:space="preserve">que </w:t>
      </w:r>
      <w:r w:rsidR="008D0884" w:rsidRPr="00AE4262">
        <w:rPr>
          <w:rFonts w:ascii="Cambria" w:hAnsi="Cambria"/>
          <w:i/>
          <w:sz w:val="20"/>
          <w:szCs w:val="20"/>
          <w:lang w:val="es-ES_tradnl"/>
        </w:rPr>
        <w:t>prima facie</w:t>
      </w:r>
      <w:r w:rsidR="008D0884" w:rsidRPr="00AE4262">
        <w:rPr>
          <w:rFonts w:ascii="Cambria" w:hAnsi="Cambria"/>
          <w:sz w:val="20"/>
          <w:szCs w:val="20"/>
          <w:lang w:val="es-ES_tradnl"/>
        </w:rPr>
        <w:t xml:space="preserve"> sería procedente la excepción contemplada en el artículo 46.2.c de la Convención. La Comisión </w:t>
      </w:r>
      <w:r w:rsidR="000F125E" w:rsidRPr="00AE4262">
        <w:rPr>
          <w:rFonts w:ascii="Cambria" w:hAnsi="Cambria"/>
          <w:sz w:val="20"/>
          <w:szCs w:val="20"/>
          <w:lang w:val="es-ES_tradnl"/>
        </w:rPr>
        <w:t xml:space="preserve">estima pertinente </w:t>
      </w:r>
      <w:r w:rsidR="008D0884" w:rsidRPr="00AE4262">
        <w:rPr>
          <w:rFonts w:ascii="Cambria" w:hAnsi="Cambria"/>
          <w:sz w:val="20"/>
          <w:szCs w:val="20"/>
          <w:lang w:val="es-ES_tradnl"/>
        </w:rPr>
        <w:t>analizar</w:t>
      </w:r>
      <w:r w:rsidR="008D0884" w:rsidRPr="00AE4262">
        <w:rPr>
          <w:sz w:val="20"/>
          <w:szCs w:val="20"/>
          <w:lang w:val="es-ES_tradnl"/>
        </w:rPr>
        <w:t xml:space="preserve"> en el fondo la idoneidad y </w:t>
      </w:r>
      <w:r w:rsidR="008D0884" w:rsidRPr="00AE4262">
        <w:rPr>
          <w:rFonts w:ascii="Cambria" w:hAnsi="Cambria"/>
          <w:sz w:val="20"/>
          <w:szCs w:val="20"/>
          <w:lang w:val="es-ES_tradnl"/>
        </w:rPr>
        <w:t>eficacia de los recursos internos en el presente caso</w:t>
      </w:r>
      <w:r w:rsidR="000F125E" w:rsidRPr="00AE4262">
        <w:rPr>
          <w:rFonts w:ascii="Cambria" w:hAnsi="Cambria"/>
          <w:sz w:val="20"/>
          <w:szCs w:val="20"/>
          <w:lang w:val="es-ES_tradnl"/>
        </w:rPr>
        <w:t>,</w:t>
      </w:r>
      <w:r w:rsidR="008D0884" w:rsidRPr="00AE4262">
        <w:rPr>
          <w:rFonts w:ascii="Cambria" w:hAnsi="Cambria"/>
          <w:sz w:val="20"/>
          <w:szCs w:val="20"/>
          <w:lang w:val="es-ES_tradnl"/>
        </w:rPr>
        <w:t xml:space="preserve"> a fin de constatar si efectivamente </w:t>
      </w:r>
      <w:r w:rsidR="000F125E" w:rsidRPr="00AE4262">
        <w:rPr>
          <w:rFonts w:ascii="Cambria" w:hAnsi="Cambria"/>
          <w:sz w:val="20"/>
          <w:szCs w:val="20"/>
          <w:lang w:val="es-ES_tradnl"/>
        </w:rPr>
        <w:t xml:space="preserve">se </w:t>
      </w:r>
      <w:r w:rsidR="008D0884" w:rsidRPr="00AE4262">
        <w:rPr>
          <w:rFonts w:ascii="Cambria" w:hAnsi="Cambria"/>
          <w:sz w:val="20"/>
          <w:szCs w:val="20"/>
          <w:lang w:val="es-ES_tradnl"/>
        </w:rPr>
        <w:t>configuran violaciones a la Convención.</w:t>
      </w:r>
      <w:r w:rsidR="000F125E" w:rsidRPr="00AE4262">
        <w:rPr>
          <w:rFonts w:ascii="Cambria" w:hAnsi="Cambria"/>
          <w:sz w:val="20"/>
          <w:szCs w:val="20"/>
          <w:lang w:val="es-ES_tradnl"/>
        </w:rPr>
        <w:t xml:space="preserve"> </w:t>
      </w:r>
    </w:p>
    <w:p w:rsidR="008E59F9" w:rsidRPr="00AE4262" w:rsidRDefault="008E59F9"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Cambria" w:hAnsi="Cambria"/>
          <w:color w:val="FF0000"/>
          <w:sz w:val="20"/>
          <w:szCs w:val="20"/>
          <w:lang w:val="es-ES_tradnl"/>
        </w:rPr>
      </w:pPr>
      <w:r w:rsidRPr="00AE4262">
        <w:rPr>
          <w:rFonts w:ascii="Cambria" w:hAnsi="Cambria"/>
          <w:sz w:val="20"/>
          <w:szCs w:val="20"/>
          <w:lang w:val="es-ES"/>
        </w:rPr>
        <w:t xml:space="preserve">Por otra parte, la petición ante la Comisión fue recibida el </w:t>
      </w:r>
      <w:r w:rsidRPr="00AE4262">
        <w:rPr>
          <w:rFonts w:ascii="Cambria" w:hAnsi="Cambria"/>
          <w:bCs/>
          <w:sz w:val="20"/>
          <w:szCs w:val="20"/>
          <w:lang w:val="es-ES"/>
        </w:rPr>
        <w:t>24 de julio de 2008</w:t>
      </w:r>
      <w:r w:rsidRPr="00AE4262">
        <w:rPr>
          <w:rFonts w:ascii="Cambria" w:hAnsi="Cambria"/>
          <w:sz w:val="20"/>
          <w:szCs w:val="20"/>
          <w:lang w:val="es-ES"/>
        </w:rPr>
        <w:t xml:space="preserve">, los presuntos hechos materia del reclamo tuvieron lugar desde 2007, y </w:t>
      </w:r>
      <w:r w:rsidR="00397D53" w:rsidRPr="00AE4262">
        <w:rPr>
          <w:rFonts w:ascii="Cambria" w:hAnsi="Cambria"/>
          <w:sz w:val="20"/>
          <w:szCs w:val="20"/>
          <w:lang w:val="es-ES"/>
        </w:rPr>
        <w:t>la alegada denegación de justicia</w:t>
      </w:r>
      <w:r w:rsidRPr="00AE4262">
        <w:rPr>
          <w:rFonts w:ascii="Cambria" w:hAnsi="Cambria"/>
          <w:sz w:val="20"/>
          <w:szCs w:val="20"/>
          <w:lang w:val="es-ES"/>
        </w:rPr>
        <w:t xml:space="preserve"> se extenderían hasta el presente. Por lo tanto, en vista del contexto y las características del presente caso, y tomando en cuenta que </w:t>
      </w:r>
      <w:r w:rsidR="001349A4" w:rsidRPr="00AE4262">
        <w:rPr>
          <w:rFonts w:ascii="Cambria" w:hAnsi="Cambria"/>
          <w:sz w:val="20"/>
          <w:szCs w:val="20"/>
          <w:lang w:val="es-ES"/>
        </w:rPr>
        <w:t>el</w:t>
      </w:r>
      <w:r w:rsidRPr="00AE4262">
        <w:rPr>
          <w:rFonts w:ascii="Cambria" w:hAnsi="Cambria"/>
          <w:sz w:val="20"/>
          <w:szCs w:val="20"/>
          <w:lang w:val="es-ES"/>
        </w:rPr>
        <w:t xml:space="preserve"> proceso</w:t>
      </w:r>
      <w:r w:rsidR="001349A4" w:rsidRPr="00AE4262">
        <w:rPr>
          <w:rFonts w:ascii="Cambria" w:hAnsi="Cambria"/>
          <w:sz w:val="20"/>
          <w:szCs w:val="20"/>
          <w:lang w:val="es-ES"/>
        </w:rPr>
        <w:t xml:space="preserve"> iniciado a la fecha no tendría sentencia definitiva</w:t>
      </w:r>
      <w:r w:rsidRPr="00AE4262">
        <w:rPr>
          <w:rFonts w:ascii="Cambria" w:hAnsi="Cambria"/>
          <w:sz w:val="20"/>
          <w:szCs w:val="20"/>
          <w:lang w:val="es-US"/>
        </w:rPr>
        <w:t>,</w:t>
      </w:r>
      <w:r w:rsidRPr="00AE4262">
        <w:rPr>
          <w:rFonts w:ascii="Cambria" w:hAnsi="Cambria"/>
          <w:sz w:val="20"/>
          <w:szCs w:val="20"/>
          <w:lang w:val="es-ES"/>
        </w:rPr>
        <w:t xml:space="preserve"> la Comisión considera que la petición fue presentada dentro de un plazo razonable y que debe darse por satisfecho el requisito de admisibilidad referente al plazo de presentación.</w:t>
      </w:r>
    </w:p>
    <w:p w:rsidR="00AB7F84" w:rsidRPr="00AE4262" w:rsidRDefault="00AB7F84" w:rsidP="00AE426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ind w:firstLine="720"/>
        <w:jc w:val="both"/>
        <w:rPr>
          <w:rFonts w:asciiTheme="majorHAnsi" w:hAnsiTheme="majorHAnsi"/>
          <w:b/>
          <w:bCs/>
          <w:sz w:val="20"/>
          <w:szCs w:val="20"/>
          <w:lang w:val="es-UY"/>
        </w:rPr>
      </w:pPr>
      <w:r w:rsidRPr="00AE4262">
        <w:rPr>
          <w:rFonts w:asciiTheme="majorHAnsi" w:hAnsiTheme="majorHAnsi"/>
          <w:b/>
          <w:bCs/>
          <w:sz w:val="20"/>
          <w:szCs w:val="20"/>
          <w:lang w:val="es-ES"/>
        </w:rPr>
        <w:t>VII.</w:t>
      </w:r>
      <w:r w:rsidRPr="00AE4262">
        <w:rPr>
          <w:rFonts w:asciiTheme="majorHAnsi" w:hAnsiTheme="majorHAnsi"/>
          <w:b/>
          <w:bCs/>
          <w:sz w:val="20"/>
          <w:szCs w:val="20"/>
          <w:lang w:val="es-ES"/>
        </w:rPr>
        <w:tab/>
      </w:r>
      <w:r w:rsidRPr="00AE4262">
        <w:rPr>
          <w:rFonts w:asciiTheme="majorHAnsi" w:hAnsiTheme="majorHAnsi"/>
          <w:b/>
          <w:bCs/>
          <w:sz w:val="20"/>
          <w:szCs w:val="20"/>
          <w:lang w:val="es-ES_tradnl"/>
        </w:rPr>
        <w:t xml:space="preserve">ANÁLISIS DE </w:t>
      </w:r>
      <w:r w:rsidRPr="00AE4262">
        <w:rPr>
          <w:rFonts w:asciiTheme="majorHAnsi" w:hAnsiTheme="majorHAnsi"/>
          <w:b/>
          <w:bCs/>
          <w:sz w:val="20"/>
          <w:szCs w:val="20"/>
          <w:lang w:val="es-ES"/>
        </w:rPr>
        <w:t xml:space="preserve">CARACTERIZACIÓN </w:t>
      </w:r>
      <w:r w:rsidRPr="00AE4262">
        <w:rPr>
          <w:rFonts w:asciiTheme="majorHAnsi" w:hAnsiTheme="majorHAnsi"/>
          <w:b/>
          <w:bCs/>
          <w:sz w:val="20"/>
          <w:szCs w:val="20"/>
          <w:lang w:val="es-UY"/>
        </w:rPr>
        <w:t>DE LOS HECHOS ALEGADOS</w:t>
      </w:r>
    </w:p>
    <w:p w:rsidR="001428D5" w:rsidRPr="00AE4262" w:rsidRDefault="00DA5989"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 xml:space="preserve">En virtud de las obligaciones referidas en la </w:t>
      </w:r>
      <w:r w:rsidRPr="00AE4262">
        <w:rPr>
          <w:rFonts w:asciiTheme="majorHAnsi" w:hAnsiTheme="majorHAnsi"/>
          <w:sz w:val="20"/>
          <w:szCs w:val="20"/>
          <w:lang w:val="es-ES"/>
        </w:rPr>
        <w:t>Convención de Belém do Pará, los Estados tienen la obligación de prevenir, sancionar y erradicar todas las formas de violencia contra las mujeres, “tanto en el ámbito público como en el privado.” Tomando en cuenta que la peticionaria alega que la presunta víctima realizó diversos</w:t>
      </w:r>
      <w:r w:rsidR="00976657" w:rsidRPr="00AE4262">
        <w:rPr>
          <w:rFonts w:asciiTheme="majorHAnsi" w:hAnsiTheme="majorHAnsi"/>
          <w:sz w:val="20"/>
          <w:szCs w:val="20"/>
          <w:lang w:val="es-ES"/>
        </w:rPr>
        <w:t xml:space="preserve"> esfuerzos</w:t>
      </w:r>
      <w:r w:rsidRPr="00AE4262">
        <w:rPr>
          <w:rFonts w:asciiTheme="majorHAnsi" w:hAnsiTheme="majorHAnsi"/>
          <w:sz w:val="20"/>
          <w:szCs w:val="20"/>
          <w:lang w:val="es-ES"/>
        </w:rPr>
        <w:t xml:space="preserve"> para denunciar una alegada situación de agresión por parte de su expareja, que incluso afectó a su hija, sin encontrar una respuesta diligente o eficaz, la Comisión considera que la situación presentada requiere un análisis en la etapa de fondo. </w:t>
      </w:r>
    </w:p>
    <w:p w:rsidR="00AB7F84" w:rsidRPr="00AE4262" w:rsidRDefault="00336880"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Atendido lo anterior, y e</w:t>
      </w:r>
      <w:r w:rsidR="001349A4" w:rsidRPr="00AE4262">
        <w:rPr>
          <w:rFonts w:ascii="Cambria" w:hAnsi="Cambria"/>
          <w:sz w:val="20"/>
          <w:szCs w:val="20"/>
          <w:lang w:val="es-ES"/>
        </w:rPr>
        <w:t>n vista de los elementos de hecho y de derecho expuestos por las partes y la naturaleza del asunto puesto bajo su conocimiento, la Comisión considera que, de ser probados</w:t>
      </w:r>
      <w:r w:rsidR="00C76FE5" w:rsidRPr="00AE4262">
        <w:rPr>
          <w:rFonts w:ascii="Cambria" w:hAnsi="Cambria"/>
          <w:sz w:val="20"/>
          <w:szCs w:val="20"/>
          <w:lang w:val="es-ES"/>
        </w:rPr>
        <w:t>,</w:t>
      </w:r>
      <w:r w:rsidR="001349A4" w:rsidRPr="00AE4262">
        <w:rPr>
          <w:rFonts w:ascii="Cambria" w:hAnsi="Cambria"/>
          <w:sz w:val="20"/>
          <w:szCs w:val="20"/>
          <w:lang w:val="es-ES"/>
        </w:rPr>
        <w:t xml:space="preserve"> los alegatos relativos a </w:t>
      </w:r>
      <w:r w:rsidR="00C76FE5" w:rsidRPr="00AE4262">
        <w:rPr>
          <w:rFonts w:ascii="Cambria" w:hAnsi="Cambria"/>
          <w:sz w:val="20"/>
          <w:szCs w:val="20"/>
          <w:lang w:val="es-ES"/>
        </w:rPr>
        <w:t xml:space="preserve">la </w:t>
      </w:r>
      <w:r w:rsidR="00446D4F" w:rsidRPr="00AE4262">
        <w:rPr>
          <w:rFonts w:ascii="Cambria" w:hAnsi="Cambria"/>
          <w:sz w:val="20"/>
          <w:szCs w:val="20"/>
          <w:lang w:val="es-ES"/>
        </w:rPr>
        <w:t xml:space="preserve">falta de debida diligencia en la investigación </w:t>
      </w:r>
      <w:r w:rsidR="00C76FE5" w:rsidRPr="00AE4262">
        <w:rPr>
          <w:rFonts w:ascii="Cambria" w:hAnsi="Cambria"/>
          <w:sz w:val="20"/>
          <w:szCs w:val="20"/>
          <w:lang w:val="es-ES"/>
        </w:rPr>
        <w:t xml:space="preserve">y sanción del presunto responsable </w:t>
      </w:r>
      <w:r w:rsidR="00446D4F" w:rsidRPr="00AE4262">
        <w:rPr>
          <w:rFonts w:ascii="Cambria" w:hAnsi="Cambria"/>
          <w:sz w:val="20"/>
          <w:szCs w:val="20"/>
          <w:lang w:val="es-ES"/>
        </w:rPr>
        <w:t xml:space="preserve">de </w:t>
      </w:r>
      <w:r w:rsidR="001349A4" w:rsidRPr="00AE4262">
        <w:rPr>
          <w:rFonts w:ascii="Cambria" w:hAnsi="Cambria"/>
          <w:sz w:val="20"/>
          <w:szCs w:val="20"/>
          <w:lang w:val="es-ES"/>
        </w:rPr>
        <w:t xml:space="preserve">las </w:t>
      </w:r>
      <w:r w:rsidR="00C76FE5" w:rsidRPr="00AE4262">
        <w:rPr>
          <w:rFonts w:ascii="Cambria" w:hAnsi="Cambria"/>
          <w:sz w:val="20"/>
          <w:szCs w:val="20"/>
          <w:lang w:val="es-ES"/>
        </w:rPr>
        <w:t>alegadas</w:t>
      </w:r>
      <w:r w:rsidR="00446D4F" w:rsidRPr="00AE4262">
        <w:rPr>
          <w:rFonts w:ascii="Cambria" w:hAnsi="Cambria"/>
          <w:sz w:val="20"/>
          <w:szCs w:val="20"/>
          <w:lang w:val="es-ES"/>
        </w:rPr>
        <w:t xml:space="preserve"> </w:t>
      </w:r>
      <w:r w:rsidR="001349A4" w:rsidRPr="00AE4262">
        <w:rPr>
          <w:rFonts w:ascii="Cambria" w:hAnsi="Cambria"/>
          <w:sz w:val="20"/>
          <w:szCs w:val="20"/>
          <w:lang w:val="es-ES"/>
        </w:rPr>
        <w:t xml:space="preserve">amenazas, hostigamiento y persecución, </w:t>
      </w:r>
      <w:r w:rsidR="001349D5" w:rsidRPr="00AE4262">
        <w:rPr>
          <w:rFonts w:ascii="Cambria" w:hAnsi="Cambria"/>
          <w:sz w:val="20"/>
          <w:szCs w:val="20"/>
          <w:lang w:val="es-ES"/>
        </w:rPr>
        <w:t xml:space="preserve">así como el hecho de que los actos de violencia habrían sido presenciados por B.B.A.B. y el trato </w:t>
      </w:r>
      <w:r w:rsidR="00850448" w:rsidRPr="00AE4262">
        <w:rPr>
          <w:rFonts w:ascii="Cambria" w:hAnsi="Cambria"/>
          <w:sz w:val="20"/>
          <w:szCs w:val="20"/>
          <w:lang w:val="es-ES"/>
        </w:rPr>
        <w:t>que habría recibido esta última e</w:t>
      </w:r>
      <w:r w:rsidR="001349D5" w:rsidRPr="00AE4262">
        <w:rPr>
          <w:rFonts w:ascii="Cambria" w:hAnsi="Cambria"/>
          <w:sz w:val="20"/>
          <w:szCs w:val="20"/>
          <w:lang w:val="es-ES"/>
        </w:rPr>
        <w:t>n el marco del testimonio prestado en el proceso,</w:t>
      </w:r>
      <w:r w:rsidR="001349D5" w:rsidRPr="00AE4262">
        <w:rPr>
          <w:rFonts w:ascii="Cambria" w:hAnsi="Cambria"/>
          <w:bCs/>
          <w:sz w:val="20"/>
          <w:szCs w:val="20"/>
          <w:lang w:val="es-ES"/>
        </w:rPr>
        <w:t xml:space="preserve"> </w:t>
      </w:r>
      <w:r w:rsidR="001349A4" w:rsidRPr="00AE4262">
        <w:rPr>
          <w:rFonts w:ascii="Cambria" w:hAnsi="Cambria"/>
          <w:sz w:val="20"/>
          <w:szCs w:val="20"/>
          <w:lang w:val="es-ES"/>
        </w:rPr>
        <w:t xml:space="preserve">podrían caracterizar posibles violaciones de los artículos 5, </w:t>
      </w:r>
      <w:r w:rsidR="00E97F40" w:rsidRPr="00AE4262">
        <w:rPr>
          <w:rFonts w:ascii="Cambria" w:hAnsi="Cambria"/>
          <w:sz w:val="20"/>
          <w:szCs w:val="20"/>
          <w:lang w:val="es-ES"/>
        </w:rPr>
        <w:t xml:space="preserve">8 </w:t>
      </w:r>
      <w:r w:rsidR="001349A4" w:rsidRPr="00AE4262">
        <w:rPr>
          <w:rFonts w:ascii="Cambria" w:hAnsi="Cambria"/>
          <w:sz w:val="20"/>
          <w:szCs w:val="20"/>
          <w:lang w:val="es-ES"/>
        </w:rPr>
        <w:t>y 25 de la Convención Americana</w:t>
      </w:r>
      <w:r w:rsidR="001349A4" w:rsidRPr="00AE4262">
        <w:rPr>
          <w:rFonts w:eastAsia="Helvetica" w:cs="Helvetica"/>
          <w:sz w:val="20"/>
          <w:szCs w:val="20"/>
          <w:lang w:val="es-ES_tradnl"/>
        </w:rPr>
        <w:t xml:space="preserve"> </w:t>
      </w:r>
      <w:r w:rsidR="001349A4" w:rsidRPr="00AE4262">
        <w:rPr>
          <w:rFonts w:asciiTheme="majorHAnsi" w:eastAsia="Helvetica" w:hAnsiTheme="majorHAnsi" w:cs="Helvetica"/>
          <w:sz w:val="20"/>
          <w:szCs w:val="20"/>
          <w:lang w:val="es-ES_tradnl"/>
        </w:rPr>
        <w:t xml:space="preserve">en perjuicio de </w:t>
      </w:r>
      <w:r w:rsidR="001349A4" w:rsidRPr="00AE4262">
        <w:rPr>
          <w:rFonts w:ascii="Cambria" w:hAnsi="Cambria"/>
          <w:bCs/>
          <w:sz w:val="20"/>
          <w:szCs w:val="20"/>
          <w:lang w:val="es-ES"/>
        </w:rPr>
        <w:t>Tatiana Marisa Barría Mardones</w:t>
      </w:r>
      <w:r w:rsidR="001349A4" w:rsidRPr="00AE4262">
        <w:rPr>
          <w:rFonts w:asciiTheme="majorHAnsi" w:hAnsiTheme="majorHAnsi"/>
          <w:sz w:val="20"/>
          <w:szCs w:val="20"/>
          <w:lang w:val="es-ES_tradnl"/>
        </w:rPr>
        <w:t>, todos a la luz de los art</w:t>
      </w:r>
      <w:r w:rsidR="001349A4" w:rsidRPr="00AE4262">
        <w:rPr>
          <w:rFonts w:asciiTheme="majorHAnsi" w:eastAsia="Helvetica" w:hAnsiTheme="majorHAnsi" w:cs="Helvetica"/>
          <w:sz w:val="20"/>
          <w:szCs w:val="20"/>
          <w:lang w:val="es-ES_tradnl"/>
        </w:rPr>
        <w:t>ículos 1.1 y</w:t>
      </w:r>
      <w:r w:rsidR="001349A4" w:rsidRPr="00AE4262">
        <w:rPr>
          <w:rFonts w:asciiTheme="majorHAnsi" w:hAnsiTheme="majorHAnsi"/>
          <w:sz w:val="20"/>
          <w:szCs w:val="20"/>
          <w:lang w:val="es-ES_tradnl"/>
        </w:rPr>
        <w:t xml:space="preserve"> 2 de dicho instrumento</w:t>
      </w:r>
      <w:r w:rsidR="001349D5" w:rsidRPr="00AE4262">
        <w:rPr>
          <w:rFonts w:asciiTheme="majorHAnsi" w:hAnsiTheme="majorHAnsi"/>
          <w:sz w:val="20"/>
          <w:szCs w:val="20"/>
          <w:lang w:val="es-ES_tradnl"/>
        </w:rPr>
        <w:t xml:space="preserve">, </w:t>
      </w:r>
      <w:r w:rsidR="001349D5" w:rsidRPr="00AE4262">
        <w:rPr>
          <w:rFonts w:ascii="Cambria" w:hAnsi="Cambria"/>
          <w:sz w:val="20"/>
          <w:szCs w:val="20"/>
          <w:lang w:val="es-ES"/>
        </w:rPr>
        <w:t>y violaciones al artículo 7 de la Convención de Belém do Pará, así como del artículo 24 de la Convención Americana.</w:t>
      </w:r>
      <w:r w:rsidR="001349A4" w:rsidRPr="00AE4262">
        <w:rPr>
          <w:sz w:val="20"/>
          <w:szCs w:val="20"/>
          <w:lang w:val="es-ES_tradnl"/>
        </w:rPr>
        <w:t xml:space="preserve"> </w:t>
      </w:r>
      <w:r w:rsidR="001349A4" w:rsidRPr="00AE4262">
        <w:rPr>
          <w:rFonts w:ascii="Cambria" w:hAnsi="Cambria"/>
          <w:sz w:val="20"/>
          <w:szCs w:val="20"/>
          <w:lang w:val="es-ES"/>
        </w:rPr>
        <w:t xml:space="preserve">Adicionalmente, en cuanto a los alegatos relativos </w:t>
      </w:r>
      <w:r w:rsidRPr="00AE4262">
        <w:rPr>
          <w:rFonts w:ascii="Cambria" w:hAnsi="Cambria"/>
          <w:sz w:val="20"/>
          <w:szCs w:val="20"/>
          <w:lang w:val="es-ES"/>
        </w:rPr>
        <w:t>a</w:t>
      </w:r>
      <w:r w:rsidR="001349A4" w:rsidRPr="00AE4262">
        <w:rPr>
          <w:rFonts w:ascii="Cambria" w:hAnsi="Cambria"/>
          <w:sz w:val="20"/>
          <w:szCs w:val="20"/>
          <w:lang w:val="es-ES"/>
        </w:rPr>
        <w:t xml:space="preserve"> B.B.A.B., los hechos podrían caracteriza</w:t>
      </w:r>
      <w:r w:rsidR="00E97F40" w:rsidRPr="00AE4262">
        <w:rPr>
          <w:rFonts w:ascii="Cambria" w:hAnsi="Cambria"/>
          <w:sz w:val="20"/>
          <w:szCs w:val="20"/>
          <w:lang w:val="es-ES"/>
        </w:rPr>
        <w:t>r pos</w:t>
      </w:r>
      <w:r w:rsidR="001349D5" w:rsidRPr="00AE4262">
        <w:rPr>
          <w:rFonts w:ascii="Cambria" w:hAnsi="Cambria"/>
          <w:sz w:val="20"/>
          <w:szCs w:val="20"/>
          <w:lang w:val="es-ES"/>
        </w:rPr>
        <w:t>ibles violaciones al artículo 19 de la Convención</w:t>
      </w:r>
      <w:r w:rsidR="00E97F40" w:rsidRPr="00AE4262">
        <w:rPr>
          <w:rFonts w:ascii="Cambria" w:hAnsi="Cambria"/>
          <w:sz w:val="20"/>
          <w:szCs w:val="20"/>
          <w:lang w:val="es-ES"/>
        </w:rPr>
        <w:t xml:space="preserve">. </w:t>
      </w:r>
    </w:p>
    <w:p w:rsidR="00E97F40" w:rsidRPr="00AE4262" w:rsidRDefault="00E97F40" w:rsidP="00AE4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Cambria" w:hAnsi="Cambria"/>
          <w:sz w:val="20"/>
          <w:szCs w:val="20"/>
          <w:lang w:val="es-ES"/>
        </w:rPr>
        <w:t>Adicionalmente, en cuanto al reclamo sobre la presunta violación del artículo 11 de la Convención Americana, la Comisión observa que la parte peticionaria no ofrece alegatos o sustento para su presunta violación por lo que no corresponde declarar dicha pretensión admisible.</w:t>
      </w:r>
    </w:p>
    <w:p w:rsidR="003239B8" w:rsidRPr="00AE4262" w:rsidRDefault="003239B8" w:rsidP="00AE4262">
      <w:pPr>
        <w:pStyle w:val="ListParagraph"/>
        <w:spacing w:before="240" w:after="240"/>
        <w:jc w:val="both"/>
        <w:rPr>
          <w:b/>
          <w:bCs/>
          <w:sz w:val="20"/>
          <w:szCs w:val="20"/>
          <w:lang w:val="es-ES"/>
        </w:rPr>
      </w:pPr>
      <w:r w:rsidRPr="00AE4262">
        <w:rPr>
          <w:b/>
          <w:bCs/>
          <w:sz w:val="20"/>
          <w:szCs w:val="20"/>
          <w:lang w:val="es-ES"/>
        </w:rPr>
        <w:t xml:space="preserve">VIII. </w:t>
      </w:r>
      <w:r w:rsidRPr="00AE4262">
        <w:rPr>
          <w:b/>
          <w:bCs/>
          <w:sz w:val="20"/>
          <w:szCs w:val="20"/>
          <w:lang w:val="es-ES"/>
        </w:rPr>
        <w:tab/>
        <w:t>DECISIÓN</w:t>
      </w:r>
    </w:p>
    <w:p w:rsidR="00E97F40" w:rsidRPr="00AE4262" w:rsidRDefault="00E97F40" w:rsidP="00AE42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E4262">
        <w:rPr>
          <w:rFonts w:asciiTheme="majorHAnsi" w:hAnsiTheme="majorHAnsi"/>
          <w:sz w:val="20"/>
          <w:szCs w:val="20"/>
          <w:lang w:val="es-ES"/>
        </w:rPr>
        <w:t xml:space="preserve">Declarar admisible la presente petición en relación con los artículos 5, 8, 19, 24 y 25 de la Convención Americana en concordancia con los artículos 1.1 y 2 de dicho tratado; y el artículo 7 de la Convención de Belém do Pará; </w:t>
      </w:r>
    </w:p>
    <w:p w:rsidR="00E97F40" w:rsidRPr="00AE4262" w:rsidRDefault="00E97F40" w:rsidP="00AE42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E4262">
        <w:rPr>
          <w:rFonts w:asciiTheme="majorHAnsi" w:hAnsiTheme="majorHAnsi"/>
          <w:sz w:val="20"/>
          <w:szCs w:val="20"/>
          <w:lang w:val="es-ES"/>
        </w:rPr>
        <w:t xml:space="preserve">Declarar inadmisible la presente petición en relación con el artículo </w:t>
      </w:r>
      <w:r w:rsidR="006B74A5" w:rsidRPr="00AE4262">
        <w:rPr>
          <w:rFonts w:asciiTheme="majorHAnsi" w:hAnsiTheme="majorHAnsi"/>
          <w:sz w:val="20"/>
          <w:szCs w:val="20"/>
          <w:lang w:val="es-ES"/>
        </w:rPr>
        <w:t>11</w:t>
      </w:r>
      <w:r w:rsidRPr="00AE4262">
        <w:rPr>
          <w:rFonts w:asciiTheme="majorHAnsi" w:hAnsiTheme="majorHAnsi"/>
          <w:sz w:val="20"/>
          <w:szCs w:val="20"/>
          <w:lang w:val="es-ES"/>
        </w:rPr>
        <w:t xml:space="preserve"> de la Convención Americana; y</w:t>
      </w:r>
    </w:p>
    <w:p w:rsidR="00FB58FE" w:rsidRPr="00AE4262" w:rsidRDefault="00E97F40" w:rsidP="00AE42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E4262">
        <w:rPr>
          <w:rFonts w:asciiTheme="majorHAnsi" w:hAnsiTheme="majorHAnsi"/>
          <w:sz w:val="20"/>
          <w:szCs w:val="20"/>
          <w:lang w:val="es-ES"/>
        </w:rPr>
        <w:t xml:space="preserve"> </w:t>
      </w:r>
      <w:r w:rsidR="00FB58FE" w:rsidRPr="00AE4262">
        <w:rPr>
          <w:rFonts w:asciiTheme="majorHAnsi" w:hAnsiTheme="majorHAnsi"/>
          <w:sz w:val="20"/>
          <w:szCs w:val="20"/>
          <w:lang w:val="es-ES"/>
        </w:rPr>
        <w:t xml:space="preserve">Notificar a las partes la presente decisión; </w:t>
      </w:r>
      <w:r w:rsidR="000C486D" w:rsidRPr="00AE4262">
        <w:rPr>
          <w:rFonts w:asciiTheme="majorHAnsi" w:hAnsiTheme="majorHAnsi"/>
          <w:sz w:val="20"/>
          <w:szCs w:val="20"/>
          <w:lang w:val="es-ES"/>
        </w:rPr>
        <w:t>p</w:t>
      </w:r>
      <w:r w:rsidR="00FB58FE" w:rsidRPr="00AE4262">
        <w:rPr>
          <w:rFonts w:asciiTheme="majorHAnsi" w:hAnsiTheme="majorHAnsi"/>
          <w:sz w:val="20"/>
          <w:szCs w:val="20"/>
          <w:lang w:val="es-ES"/>
        </w:rPr>
        <w:t>ublicar esta decisión e incluirla en su Informe Anual a la Asamblea General de la Organización de los Estados Americanos.</w:t>
      </w:r>
    </w:p>
    <w:p w:rsidR="00722C9F" w:rsidRPr="004D75FF" w:rsidRDefault="00F961E2" w:rsidP="004D75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pt-BR"/>
        </w:rPr>
      </w:pPr>
      <w:r>
        <w:rPr>
          <w:rFonts w:asciiTheme="majorHAnsi" w:eastAsia="Arial Unicode MS" w:hAnsiTheme="majorHAnsi"/>
          <w:sz w:val="20"/>
          <w:szCs w:val="20"/>
          <w:lang w:val="es-ES"/>
        </w:rPr>
        <w:tab/>
      </w:r>
      <w:r w:rsidRPr="00F961E2">
        <w:rPr>
          <w:rFonts w:asciiTheme="majorHAnsi" w:eastAsia="Arial Unicode MS" w:hAnsiTheme="majorHAnsi"/>
          <w:sz w:val="20"/>
          <w:szCs w:val="20"/>
          <w:lang w:val="es-ES"/>
        </w:rPr>
        <w:t xml:space="preserve">Aprobado por la Comisión Interamericana de Derechos Humanos en la ciudad de </w:t>
      </w:r>
      <w:r w:rsidRPr="00F961E2">
        <w:rPr>
          <w:rFonts w:asciiTheme="majorHAnsi" w:eastAsia="Arial Unicode MS" w:hAnsiTheme="majorHAnsi" w:cs="Arial"/>
          <w:noProof/>
          <w:spacing w:val="-2"/>
          <w:sz w:val="20"/>
          <w:szCs w:val="20"/>
          <w:lang w:val="es-CL"/>
        </w:rPr>
        <w:t>Santo Domingo</w:t>
      </w:r>
      <w:r w:rsidRPr="00F961E2">
        <w:rPr>
          <w:rFonts w:asciiTheme="majorHAnsi" w:eastAsia="Arial Unicode MS" w:hAnsiTheme="majorHAnsi"/>
          <w:sz w:val="20"/>
          <w:szCs w:val="20"/>
          <w:lang w:val="es-ES"/>
        </w:rPr>
        <w:t xml:space="preserve">, </w:t>
      </w:r>
      <w:r w:rsidRPr="00F961E2">
        <w:rPr>
          <w:rFonts w:asciiTheme="majorHAnsi" w:eastAsia="Arial Unicode MS" w:hAnsiTheme="majorHAnsi" w:cs="Arial"/>
          <w:noProof/>
          <w:spacing w:val="-2"/>
          <w:sz w:val="20"/>
          <w:szCs w:val="20"/>
          <w:lang w:val="es-CL"/>
        </w:rPr>
        <w:t>Rep</w:t>
      </w:r>
      <w:r w:rsidRPr="00F961E2">
        <w:rPr>
          <w:rFonts w:asciiTheme="majorHAnsi" w:eastAsia="Arial Unicode MS" w:hAnsiTheme="majorHAnsi" w:cs="Arial"/>
          <w:noProof/>
          <w:spacing w:val="-2"/>
          <w:sz w:val="20"/>
          <w:szCs w:val="20"/>
          <w:lang w:val="es-ES"/>
        </w:rPr>
        <w:t>ública Dominicana</w:t>
      </w:r>
      <w:r w:rsidRPr="00F961E2">
        <w:rPr>
          <w:rFonts w:asciiTheme="majorHAnsi" w:eastAsia="Arial Unicode MS" w:hAnsiTheme="majorHAnsi"/>
          <w:sz w:val="20"/>
          <w:szCs w:val="20"/>
          <w:lang w:val="es-ES"/>
        </w:rPr>
        <w:t xml:space="preserve">, a los </w:t>
      </w:r>
      <w:r>
        <w:rPr>
          <w:rFonts w:asciiTheme="majorHAnsi" w:eastAsia="Arial Unicode MS" w:hAnsiTheme="majorHAnsi" w:cs="Arial"/>
          <w:noProof/>
          <w:spacing w:val="-2"/>
          <w:sz w:val="20"/>
          <w:szCs w:val="20"/>
          <w:lang w:val="es-CL"/>
        </w:rPr>
        <w:t>5</w:t>
      </w:r>
      <w:r w:rsidRPr="00F961E2">
        <w:rPr>
          <w:rFonts w:asciiTheme="majorHAnsi" w:eastAsia="Arial Unicode MS" w:hAnsiTheme="majorHAnsi"/>
          <w:sz w:val="20"/>
          <w:szCs w:val="20"/>
          <w:lang w:val="es-ES"/>
        </w:rPr>
        <w:t xml:space="preserve"> días del mes de </w:t>
      </w:r>
      <w:r w:rsidRPr="00F961E2">
        <w:rPr>
          <w:rFonts w:asciiTheme="majorHAnsi" w:eastAsia="Arial Unicode MS" w:hAnsiTheme="majorHAnsi" w:cs="Arial"/>
          <w:noProof/>
          <w:spacing w:val="-2"/>
          <w:sz w:val="20"/>
          <w:szCs w:val="20"/>
          <w:lang w:val="es-CL"/>
        </w:rPr>
        <w:t>mayo</w:t>
      </w:r>
      <w:r w:rsidRPr="00F961E2">
        <w:rPr>
          <w:rFonts w:asciiTheme="majorHAnsi" w:eastAsia="Arial Unicode MS" w:hAnsiTheme="majorHAnsi"/>
          <w:sz w:val="20"/>
          <w:szCs w:val="20"/>
          <w:lang w:val="es-ES"/>
        </w:rPr>
        <w:t xml:space="preserve"> de 2018.  (Firmado): Margarette May Macaulay, Presidenta; Esmeralda E. Arosemena Bernal de Troitiño, Primera Vicepresidenta; Luis Ernesto Vargas Silva, </w:t>
      </w:r>
      <w:r w:rsidRPr="00F961E2">
        <w:rPr>
          <w:rFonts w:asciiTheme="majorHAnsi" w:eastAsia="Arial Unicode MS" w:hAnsiTheme="majorHAnsi"/>
          <w:sz w:val="20"/>
          <w:szCs w:val="20"/>
          <w:lang w:val="es-ES"/>
        </w:rPr>
        <w:lastRenderedPageBreak/>
        <w:t>Segundo Vicepresidente; Francisco José Eguiguren Praeli, Joel Hernández García, y Flávia Piovesan, Miembros de la Comisión.</w:t>
      </w:r>
    </w:p>
    <w:sectPr w:rsidR="00722C9F" w:rsidRPr="004D75F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50" w:rsidRDefault="00506050">
      <w:r>
        <w:separator/>
      </w:r>
    </w:p>
  </w:endnote>
  <w:endnote w:type="continuationSeparator" w:id="0">
    <w:p w:rsidR="00506050" w:rsidRDefault="0050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2F" w:rsidRDefault="00542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69027B" w:rsidRPr="00934A2C" w:rsidRDefault="0069027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4202F">
          <w:rPr>
            <w:noProof/>
            <w:sz w:val="16"/>
            <w:szCs w:val="22"/>
          </w:rPr>
          <w:t>5</w:t>
        </w:r>
        <w:r w:rsidRPr="00934A2C">
          <w:rPr>
            <w:noProof/>
            <w:sz w:val="16"/>
            <w:szCs w:val="22"/>
          </w:rPr>
          <w:fldChar w:fldCharType="end"/>
        </w:r>
      </w:p>
    </w:sdtContent>
  </w:sdt>
  <w:p w:rsidR="0069027B" w:rsidRDefault="00690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7B" w:rsidRPr="00934A2C" w:rsidRDefault="0069027B">
    <w:pPr>
      <w:pStyle w:val="Footer"/>
      <w:jc w:val="center"/>
      <w:rPr>
        <w:sz w:val="16"/>
        <w:szCs w:val="22"/>
      </w:rPr>
    </w:pPr>
  </w:p>
  <w:p w:rsidR="0069027B" w:rsidRDefault="00690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50" w:rsidRPr="000F35ED" w:rsidRDefault="0050605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06050" w:rsidRPr="000F35ED" w:rsidRDefault="00506050" w:rsidP="000F35ED">
      <w:pPr>
        <w:rPr>
          <w:rFonts w:asciiTheme="majorHAnsi" w:hAnsiTheme="majorHAnsi"/>
          <w:sz w:val="16"/>
          <w:szCs w:val="16"/>
        </w:rPr>
      </w:pPr>
      <w:r w:rsidRPr="000F35ED">
        <w:rPr>
          <w:rFonts w:asciiTheme="majorHAnsi" w:hAnsiTheme="majorHAnsi"/>
          <w:sz w:val="16"/>
          <w:szCs w:val="16"/>
        </w:rPr>
        <w:separator/>
      </w:r>
    </w:p>
    <w:p w:rsidR="00506050" w:rsidRPr="000F35ED" w:rsidRDefault="0050605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506050" w:rsidRPr="000F35ED" w:rsidRDefault="0050605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69027B" w:rsidRPr="00030BAA" w:rsidRDefault="0069027B" w:rsidP="00AF2BEB">
      <w:pPr>
        <w:pStyle w:val="FootnoteText"/>
        <w:ind w:firstLine="720"/>
        <w:jc w:val="both"/>
        <w:rPr>
          <w:rFonts w:asciiTheme="majorHAnsi" w:hAnsiTheme="majorHAnsi"/>
          <w:sz w:val="16"/>
          <w:szCs w:val="16"/>
          <w:lang w:val="es-ES"/>
        </w:rPr>
      </w:pPr>
      <w:r w:rsidRPr="00030BAA">
        <w:rPr>
          <w:rStyle w:val="FootnoteReference"/>
          <w:rFonts w:asciiTheme="majorHAnsi" w:hAnsiTheme="majorHAnsi"/>
          <w:sz w:val="16"/>
          <w:szCs w:val="16"/>
          <w:lang w:val="es-ES"/>
        </w:rPr>
        <w:footnoteRef/>
      </w:r>
      <w:r w:rsidRPr="00030BAA">
        <w:rPr>
          <w:rStyle w:val="FootnoteReference"/>
          <w:rFonts w:asciiTheme="majorHAnsi" w:hAnsiTheme="majorHAnsi"/>
          <w:sz w:val="16"/>
          <w:szCs w:val="16"/>
          <w:lang w:val="es-ES"/>
        </w:rPr>
        <w:t xml:space="preserve"> </w:t>
      </w:r>
      <w:r w:rsidRPr="00030BAA">
        <w:rPr>
          <w:rFonts w:asciiTheme="majorHAnsi" w:hAnsiTheme="majorHAnsi"/>
          <w:sz w:val="16"/>
          <w:szCs w:val="16"/>
          <w:lang w:val="es-ES"/>
        </w:rPr>
        <w:t xml:space="preserve">La peticionaria solicita restricción de identidad por ser la presunta víctima una niña al momento de la presentación de la petición. </w:t>
      </w:r>
    </w:p>
  </w:footnote>
  <w:footnote w:id="3">
    <w:p w:rsidR="009E719A" w:rsidRPr="00030BAA" w:rsidRDefault="009E719A" w:rsidP="00AF2BEB">
      <w:pPr>
        <w:pStyle w:val="FootnoteText"/>
        <w:ind w:firstLine="720"/>
        <w:jc w:val="both"/>
        <w:rPr>
          <w:rFonts w:asciiTheme="majorHAnsi" w:hAnsiTheme="majorHAnsi"/>
          <w:sz w:val="16"/>
          <w:szCs w:val="16"/>
          <w:lang w:val="es-ES"/>
        </w:rPr>
      </w:pPr>
      <w:r w:rsidRPr="00030BAA">
        <w:rPr>
          <w:rStyle w:val="FootnoteReference"/>
          <w:rFonts w:asciiTheme="majorHAnsi" w:hAnsiTheme="majorHAnsi"/>
          <w:sz w:val="16"/>
          <w:szCs w:val="16"/>
        </w:rPr>
        <w:footnoteRef/>
      </w:r>
      <w:r w:rsidRPr="00030BAA">
        <w:rPr>
          <w:rFonts w:asciiTheme="majorHAnsi" w:hAnsiTheme="majorHAnsi"/>
          <w:sz w:val="16"/>
          <w:szCs w:val="16"/>
          <w:lang w:val="es-ES"/>
        </w:rPr>
        <w:t xml:space="preserve"> Conforme a lo dispuesto en el artículo 17.2.a del Reglamento de la Comisión, la Comisionada Antonia </w:t>
      </w:r>
      <w:proofErr w:type="spellStart"/>
      <w:r w:rsidRPr="00030BAA">
        <w:rPr>
          <w:rFonts w:asciiTheme="majorHAnsi" w:hAnsiTheme="majorHAnsi"/>
          <w:sz w:val="16"/>
          <w:szCs w:val="16"/>
          <w:lang w:val="es-ES"/>
        </w:rPr>
        <w:t>Urrejola</w:t>
      </w:r>
      <w:proofErr w:type="spellEnd"/>
      <w:r w:rsidRPr="00030BAA">
        <w:rPr>
          <w:rFonts w:asciiTheme="majorHAnsi" w:hAnsiTheme="majorHAnsi"/>
          <w:sz w:val="16"/>
          <w:szCs w:val="16"/>
          <w:lang w:val="es-ES"/>
        </w:rPr>
        <w:t>, de nacionalidad chilena, no participó en el debate ni en la decisión del presente asunto.</w:t>
      </w:r>
    </w:p>
  </w:footnote>
  <w:footnote w:id="4">
    <w:p w:rsidR="0069027B" w:rsidRPr="00030BAA" w:rsidRDefault="0069027B" w:rsidP="00AF2BEB">
      <w:pPr>
        <w:pStyle w:val="FootnoteText"/>
        <w:ind w:firstLine="720"/>
        <w:jc w:val="both"/>
        <w:rPr>
          <w:rFonts w:asciiTheme="majorHAnsi" w:hAnsiTheme="majorHAnsi"/>
          <w:sz w:val="16"/>
          <w:szCs w:val="16"/>
          <w:lang w:val="es-ES"/>
        </w:rPr>
      </w:pPr>
      <w:r w:rsidRPr="00030BAA">
        <w:rPr>
          <w:rStyle w:val="FootnoteReference"/>
          <w:rFonts w:asciiTheme="majorHAnsi" w:hAnsiTheme="majorHAnsi"/>
          <w:sz w:val="16"/>
          <w:szCs w:val="16"/>
          <w:lang w:val="es-ES"/>
        </w:rPr>
        <w:footnoteRef/>
      </w:r>
      <w:r w:rsidRPr="00030BAA">
        <w:rPr>
          <w:rFonts w:asciiTheme="majorHAnsi" w:hAnsiTheme="majorHAnsi"/>
          <w:sz w:val="16"/>
          <w:szCs w:val="16"/>
          <w:lang w:val="es-ES"/>
        </w:rPr>
        <w:t xml:space="preserve"> En adelante, “Convención Americana” o “Convención”. </w:t>
      </w:r>
    </w:p>
  </w:footnote>
  <w:footnote w:id="5">
    <w:p w:rsidR="0069027B" w:rsidRPr="00AF2BEB" w:rsidRDefault="0069027B" w:rsidP="00AF2BEB">
      <w:pPr>
        <w:pStyle w:val="FootnoteText"/>
        <w:ind w:firstLine="720"/>
        <w:jc w:val="both"/>
        <w:rPr>
          <w:rFonts w:asciiTheme="majorHAnsi" w:hAnsiTheme="majorHAnsi"/>
          <w:sz w:val="16"/>
          <w:szCs w:val="16"/>
          <w:lang w:val="es-ES"/>
        </w:rPr>
      </w:pPr>
      <w:r w:rsidRPr="00030BAA">
        <w:rPr>
          <w:rStyle w:val="FootnoteReference"/>
          <w:rFonts w:asciiTheme="majorHAnsi" w:hAnsiTheme="majorHAnsi"/>
          <w:sz w:val="16"/>
          <w:szCs w:val="16"/>
          <w:lang w:val="es-ES"/>
        </w:rPr>
        <w:footnoteRef/>
      </w:r>
      <w:r w:rsidRPr="00030BAA">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7B" w:rsidRDefault="0069027B" w:rsidP="00B671A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9027B" w:rsidRDefault="00690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7B" w:rsidRDefault="0069027B" w:rsidP="00A50FCF">
    <w:pPr>
      <w:pStyle w:val="Header"/>
      <w:tabs>
        <w:tab w:val="clear" w:pos="4320"/>
        <w:tab w:val="clear" w:pos="8640"/>
      </w:tabs>
      <w:jc w:val="center"/>
      <w:rPr>
        <w:sz w:val="22"/>
        <w:szCs w:val="22"/>
      </w:rPr>
    </w:pPr>
    <w:r>
      <w:rPr>
        <w:noProof/>
        <w:sz w:val="22"/>
        <w:szCs w:val="22"/>
      </w:rPr>
      <w:drawing>
        <wp:inline distT="0" distB="0" distL="0" distR="0" wp14:anchorId="593631B4" wp14:editId="0F1DB2E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9027B" w:rsidRPr="00EC7D62" w:rsidRDefault="00506050"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2F" w:rsidRDefault="00542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3DC0BA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391"/>
    <w:rsid w:val="000036E6"/>
    <w:rsid w:val="000060E7"/>
    <w:rsid w:val="00006E1F"/>
    <w:rsid w:val="000070D7"/>
    <w:rsid w:val="00007409"/>
    <w:rsid w:val="0001292E"/>
    <w:rsid w:val="00014F65"/>
    <w:rsid w:val="000161ED"/>
    <w:rsid w:val="0001788C"/>
    <w:rsid w:val="00023881"/>
    <w:rsid w:val="000239D9"/>
    <w:rsid w:val="00030BAA"/>
    <w:rsid w:val="000337EF"/>
    <w:rsid w:val="00037747"/>
    <w:rsid w:val="00040C3A"/>
    <w:rsid w:val="000419AD"/>
    <w:rsid w:val="00041A5D"/>
    <w:rsid w:val="00041CF8"/>
    <w:rsid w:val="000420A3"/>
    <w:rsid w:val="00046C8D"/>
    <w:rsid w:val="000716C5"/>
    <w:rsid w:val="00074061"/>
    <w:rsid w:val="00075E23"/>
    <w:rsid w:val="00080F7E"/>
    <w:rsid w:val="00087BAB"/>
    <w:rsid w:val="00092673"/>
    <w:rsid w:val="0009344A"/>
    <w:rsid w:val="000A2C9E"/>
    <w:rsid w:val="000A392E"/>
    <w:rsid w:val="000A3A2F"/>
    <w:rsid w:val="000A4B9C"/>
    <w:rsid w:val="000A575F"/>
    <w:rsid w:val="000B0D16"/>
    <w:rsid w:val="000B5E2C"/>
    <w:rsid w:val="000C486D"/>
    <w:rsid w:val="000C5F80"/>
    <w:rsid w:val="000D10DB"/>
    <w:rsid w:val="000E0768"/>
    <w:rsid w:val="000E5EB5"/>
    <w:rsid w:val="000F125E"/>
    <w:rsid w:val="000F35ED"/>
    <w:rsid w:val="000F5B56"/>
    <w:rsid w:val="0010421E"/>
    <w:rsid w:val="00104836"/>
    <w:rsid w:val="001056E4"/>
    <w:rsid w:val="00107131"/>
    <w:rsid w:val="0010736F"/>
    <w:rsid w:val="00113DEE"/>
    <w:rsid w:val="00113F73"/>
    <w:rsid w:val="00117161"/>
    <w:rsid w:val="00117ABC"/>
    <w:rsid w:val="00121CC2"/>
    <w:rsid w:val="00124F4B"/>
    <w:rsid w:val="0012752F"/>
    <w:rsid w:val="001329CA"/>
    <w:rsid w:val="00133EE5"/>
    <w:rsid w:val="00134593"/>
    <w:rsid w:val="001349A4"/>
    <w:rsid w:val="001349D5"/>
    <w:rsid w:val="00140AE6"/>
    <w:rsid w:val="001428D5"/>
    <w:rsid w:val="001507BF"/>
    <w:rsid w:val="00152630"/>
    <w:rsid w:val="00155DB2"/>
    <w:rsid w:val="00167511"/>
    <w:rsid w:val="00167A34"/>
    <w:rsid w:val="00173CF4"/>
    <w:rsid w:val="00177D75"/>
    <w:rsid w:val="0018255E"/>
    <w:rsid w:val="00186BE4"/>
    <w:rsid w:val="00187BA8"/>
    <w:rsid w:val="0019380B"/>
    <w:rsid w:val="00197260"/>
    <w:rsid w:val="001A7870"/>
    <w:rsid w:val="001B3A00"/>
    <w:rsid w:val="001C1B41"/>
    <w:rsid w:val="001C2BB6"/>
    <w:rsid w:val="001C7395"/>
    <w:rsid w:val="001D0D37"/>
    <w:rsid w:val="001D1344"/>
    <w:rsid w:val="001D65EF"/>
    <w:rsid w:val="001E49E7"/>
    <w:rsid w:val="001E4AC1"/>
    <w:rsid w:val="001F56B0"/>
    <w:rsid w:val="001F7201"/>
    <w:rsid w:val="00201056"/>
    <w:rsid w:val="00220148"/>
    <w:rsid w:val="00223A29"/>
    <w:rsid w:val="002250A3"/>
    <w:rsid w:val="00225651"/>
    <w:rsid w:val="00233616"/>
    <w:rsid w:val="00235217"/>
    <w:rsid w:val="00236C9A"/>
    <w:rsid w:val="002416DD"/>
    <w:rsid w:val="002427B1"/>
    <w:rsid w:val="00246C62"/>
    <w:rsid w:val="00246D1F"/>
    <w:rsid w:val="00247403"/>
    <w:rsid w:val="00247542"/>
    <w:rsid w:val="00247ECA"/>
    <w:rsid w:val="0026369B"/>
    <w:rsid w:val="0026571B"/>
    <w:rsid w:val="00266B61"/>
    <w:rsid w:val="0026712A"/>
    <w:rsid w:val="002704DB"/>
    <w:rsid w:val="00284CAD"/>
    <w:rsid w:val="002906E3"/>
    <w:rsid w:val="00292A0E"/>
    <w:rsid w:val="0029344E"/>
    <w:rsid w:val="00293B3D"/>
    <w:rsid w:val="002A0AAE"/>
    <w:rsid w:val="002A485E"/>
    <w:rsid w:val="002A5820"/>
    <w:rsid w:val="002B23A4"/>
    <w:rsid w:val="002C06A0"/>
    <w:rsid w:val="002C3912"/>
    <w:rsid w:val="002D2B26"/>
    <w:rsid w:val="002D7EA2"/>
    <w:rsid w:val="002E0B32"/>
    <w:rsid w:val="002E187C"/>
    <w:rsid w:val="002F0B4C"/>
    <w:rsid w:val="00302733"/>
    <w:rsid w:val="00314078"/>
    <w:rsid w:val="0031535D"/>
    <w:rsid w:val="00316C02"/>
    <w:rsid w:val="00317C3E"/>
    <w:rsid w:val="003239B8"/>
    <w:rsid w:val="00327586"/>
    <w:rsid w:val="0033169F"/>
    <w:rsid w:val="0033390B"/>
    <w:rsid w:val="00336880"/>
    <w:rsid w:val="00344977"/>
    <w:rsid w:val="00346C95"/>
    <w:rsid w:val="00356185"/>
    <w:rsid w:val="00360380"/>
    <w:rsid w:val="00361928"/>
    <w:rsid w:val="00363A2B"/>
    <w:rsid w:val="003640ED"/>
    <w:rsid w:val="0037519E"/>
    <w:rsid w:val="00385E91"/>
    <w:rsid w:val="00386CF0"/>
    <w:rsid w:val="003912E8"/>
    <w:rsid w:val="00393D10"/>
    <w:rsid w:val="003960FB"/>
    <w:rsid w:val="00397D53"/>
    <w:rsid w:val="003A1B60"/>
    <w:rsid w:val="003A57FC"/>
    <w:rsid w:val="003A6B50"/>
    <w:rsid w:val="003B2674"/>
    <w:rsid w:val="003B70FB"/>
    <w:rsid w:val="003C504E"/>
    <w:rsid w:val="003C5198"/>
    <w:rsid w:val="003C676B"/>
    <w:rsid w:val="003D083A"/>
    <w:rsid w:val="003D23EF"/>
    <w:rsid w:val="003D3BC2"/>
    <w:rsid w:val="003D7F76"/>
    <w:rsid w:val="003E085B"/>
    <w:rsid w:val="003E380C"/>
    <w:rsid w:val="003E6CA1"/>
    <w:rsid w:val="003F2EF8"/>
    <w:rsid w:val="003F34EF"/>
    <w:rsid w:val="003F51E1"/>
    <w:rsid w:val="00407837"/>
    <w:rsid w:val="004165C2"/>
    <w:rsid w:val="0042048E"/>
    <w:rsid w:val="00421645"/>
    <w:rsid w:val="00426395"/>
    <w:rsid w:val="00434D40"/>
    <w:rsid w:val="00441ECB"/>
    <w:rsid w:val="0044342A"/>
    <w:rsid w:val="00445193"/>
    <w:rsid w:val="00445DA2"/>
    <w:rsid w:val="00446D4F"/>
    <w:rsid w:val="00452BD3"/>
    <w:rsid w:val="00456953"/>
    <w:rsid w:val="00462C1B"/>
    <w:rsid w:val="00467B7E"/>
    <w:rsid w:val="00470472"/>
    <w:rsid w:val="00471AD6"/>
    <w:rsid w:val="00473BB4"/>
    <w:rsid w:val="00476A3A"/>
    <w:rsid w:val="00477592"/>
    <w:rsid w:val="00482AE9"/>
    <w:rsid w:val="00486F1C"/>
    <w:rsid w:val="0049419D"/>
    <w:rsid w:val="0049487A"/>
    <w:rsid w:val="004964FA"/>
    <w:rsid w:val="004A2061"/>
    <w:rsid w:val="004A4B64"/>
    <w:rsid w:val="004A704F"/>
    <w:rsid w:val="004A7F77"/>
    <w:rsid w:val="004B2683"/>
    <w:rsid w:val="004C20D2"/>
    <w:rsid w:val="004C2312"/>
    <w:rsid w:val="004C2CF0"/>
    <w:rsid w:val="004C30E9"/>
    <w:rsid w:val="004C4B62"/>
    <w:rsid w:val="004C54C9"/>
    <w:rsid w:val="004D4ABA"/>
    <w:rsid w:val="004D6025"/>
    <w:rsid w:val="004D75FF"/>
    <w:rsid w:val="004E2649"/>
    <w:rsid w:val="004E3307"/>
    <w:rsid w:val="004E500B"/>
    <w:rsid w:val="004E611E"/>
    <w:rsid w:val="004F1924"/>
    <w:rsid w:val="004F6B37"/>
    <w:rsid w:val="004F7523"/>
    <w:rsid w:val="00501399"/>
    <w:rsid w:val="00506050"/>
    <w:rsid w:val="0050633D"/>
    <w:rsid w:val="00507BC4"/>
    <w:rsid w:val="005128E4"/>
    <w:rsid w:val="005133DB"/>
    <w:rsid w:val="00513F7A"/>
    <w:rsid w:val="00514EC2"/>
    <w:rsid w:val="00523D44"/>
    <w:rsid w:val="00524B7E"/>
    <w:rsid w:val="00525560"/>
    <w:rsid w:val="005272F3"/>
    <w:rsid w:val="0053543C"/>
    <w:rsid w:val="005357B8"/>
    <w:rsid w:val="0054103C"/>
    <w:rsid w:val="0054202F"/>
    <w:rsid w:val="00542223"/>
    <w:rsid w:val="005434BF"/>
    <w:rsid w:val="00544C49"/>
    <w:rsid w:val="00546154"/>
    <w:rsid w:val="005516A1"/>
    <w:rsid w:val="00553AD7"/>
    <w:rsid w:val="00554280"/>
    <w:rsid w:val="005558C3"/>
    <w:rsid w:val="00563557"/>
    <w:rsid w:val="00567370"/>
    <w:rsid w:val="0057402A"/>
    <w:rsid w:val="00575594"/>
    <w:rsid w:val="005771D0"/>
    <w:rsid w:val="0059191A"/>
    <w:rsid w:val="005921FF"/>
    <w:rsid w:val="00596F81"/>
    <w:rsid w:val="005A24ED"/>
    <w:rsid w:val="005A3144"/>
    <w:rsid w:val="005A6D0E"/>
    <w:rsid w:val="005A72A1"/>
    <w:rsid w:val="005B2139"/>
    <w:rsid w:val="005B2ED2"/>
    <w:rsid w:val="005B49B8"/>
    <w:rsid w:val="005B52B0"/>
    <w:rsid w:val="005B5595"/>
    <w:rsid w:val="005B6806"/>
    <w:rsid w:val="005B6E95"/>
    <w:rsid w:val="005C1B2B"/>
    <w:rsid w:val="005C4225"/>
    <w:rsid w:val="005C47C1"/>
    <w:rsid w:val="005C64C9"/>
    <w:rsid w:val="005D51FE"/>
    <w:rsid w:val="005E0B89"/>
    <w:rsid w:val="005F074B"/>
    <w:rsid w:val="005F0DAD"/>
    <w:rsid w:val="005F0F33"/>
    <w:rsid w:val="005F634C"/>
    <w:rsid w:val="00600DEB"/>
    <w:rsid w:val="00604C67"/>
    <w:rsid w:val="00627C9F"/>
    <w:rsid w:val="006311E9"/>
    <w:rsid w:val="00632354"/>
    <w:rsid w:val="0063384E"/>
    <w:rsid w:val="0063417C"/>
    <w:rsid w:val="0063659C"/>
    <w:rsid w:val="00637F00"/>
    <w:rsid w:val="0064014B"/>
    <w:rsid w:val="00642753"/>
    <w:rsid w:val="00642810"/>
    <w:rsid w:val="006448D6"/>
    <w:rsid w:val="00652333"/>
    <w:rsid w:val="00653981"/>
    <w:rsid w:val="0066236A"/>
    <w:rsid w:val="006623C1"/>
    <w:rsid w:val="00662A14"/>
    <w:rsid w:val="00667F33"/>
    <w:rsid w:val="006706CB"/>
    <w:rsid w:val="006747C4"/>
    <w:rsid w:val="00677F0D"/>
    <w:rsid w:val="0068009E"/>
    <w:rsid w:val="00680A2E"/>
    <w:rsid w:val="006871C1"/>
    <w:rsid w:val="0069027B"/>
    <w:rsid w:val="00692219"/>
    <w:rsid w:val="00694A89"/>
    <w:rsid w:val="00695635"/>
    <w:rsid w:val="006A17D2"/>
    <w:rsid w:val="006A1894"/>
    <w:rsid w:val="006A7187"/>
    <w:rsid w:val="006A73E6"/>
    <w:rsid w:val="006B0008"/>
    <w:rsid w:val="006B1409"/>
    <w:rsid w:val="006B2D5C"/>
    <w:rsid w:val="006B3BE1"/>
    <w:rsid w:val="006B74A5"/>
    <w:rsid w:val="006B7BDD"/>
    <w:rsid w:val="006C01B5"/>
    <w:rsid w:val="006C11EE"/>
    <w:rsid w:val="006C216D"/>
    <w:rsid w:val="006C2776"/>
    <w:rsid w:val="006C2DB0"/>
    <w:rsid w:val="006C4EB1"/>
    <w:rsid w:val="006C502C"/>
    <w:rsid w:val="006D1437"/>
    <w:rsid w:val="006D2F6B"/>
    <w:rsid w:val="006D31D0"/>
    <w:rsid w:val="006E0166"/>
    <w:rsid w:val="006E1178"/>
    <w:rsid w:val="006E2A2A"/>
    <w:rsid w:val="006E6167"/>
    <w:rsid w:val="006E67E7"/>
    <w:rsid w:val="006E7B34"/>
    <w:rsid w:val="006F7C75"/>
    <w:rsid w:val="0070697F"/>
    <w:rsid w:val="00713BF9"/>
    <w:rsid w:val="00720F70"/>
    <w:rsid w:val="0072199C"/>
    <w:rsid w:val="00722C9F"/>
    <w:rsid w:val="007253B8"/>
    <w:rsid w:val="00731EF3"/>
    <w:rsid w:val="00736F1B"/>
    <w:rsid w:val="0073741F"/>
    <w:rsid w:val="00740D49"/>
    <w:rsid w:val="007477B6"/>
    <w:rsid w:val="00747966"/>
    <w:rsid w:val="007525B7"/>
    <w:rsid w:val="00756FEB"/>
    <w:rsid w:val="007602F6"/>
    <w:rsid w:val="00765A10"/>
    <w:rsid w:val="0076643F"/>
    <w:rsid w:val="00777F63"/>
    <w:rsid w:val="00783AC8"/>
    <w:rsid w:val="00784953"/>
    <w:rsid w:val="00785E94"/>
    <w:rsid w:val="00795B58"/>
    <w:rsid w:val="007A5817"/>
    <w:rsid w:val="007A77F2"/>
    <w:rsid w:val="007B05C4"/>
    <w:rsid w:val="007B1A32"/>
    <w:rsid w:val="007B60E9"/>
    <w:rsid w:val="007B6108"/>
    <w:rsid w:val="007B6CC3"/>
    <w:rsid w:val="007C3334"/>
    <w:rsid w:val="007D2B98"/>
    <w:rsid w:val="007D2F46"/>
    <w:rsid w:val="007D7F22"/>
    <w:rsid w:val="007E21BC"/>
    <w:rsid w:val="007E2EFF"/>
    <w:rsid w:val="007E6A37"/>
    <w:rsid w:val="007F2E3F"/>
    <w:rsid w:val="00803F1C"/>
    <w:rsid w:val="0080600E"/>
    <w:rsid w:val="0080696E"/>
    <w:rsid w:val="00814CE0"/>
    <w:rsid w:val="00817612"/>
    <w:rsid w:val="00817B60"/>
    <w:rsid w:val="00827A34"/>
    <w:rsid w:val="008338A4"/>
    <w:rsid w:val="00834BF3"/>
    <w:rsid w:val="00837C45"/>
    <w:rsid w:val="00840B9A"/>
    <w:rsid w:val="008434C9"/>
    <w:rsid w:val="00844555"/>
    <w:rsid w:val="00844730"/>
    <w:rsid w:val="008457C2"/>
    <w:rsid w:val="0084587B"/>
    <w:rsid w:val="00846217"/>
    <w:rsid w:val="00846BEF"/>
    <w:rsid w:val="00850448"/>
    <w:rsid w:val="00853771"/>
    <w:rsid w:val="00853F80"/>
    <w:rsid w:val="00857A82"/>
    <w:rsid w:val="00862F1B"/>
    <w:rsid w:val="00866271"/>
    <w:rsid w:val="00873836"/>
    <w:rsid w:val="00885737"/>
    <w:rsid w:val="00890650"/>
    <w:rsid w:val="008911D2"/>
    <w:rsid w:val="008935C6"/>
    <w:rsid w:val="00893FE8"/>
    <w:rsid w:val="00894131"/>
    <w:rsid w:val="00896228"/>
    <w:rsid w:val="0089665E"/>
    <w:rsid w:val="00897E12"/>
    <w:rsid w:val="008A7E0F"/>
    <w:rsid w:val="008B03E4"/>
    <w:rsid w:val="008B12F5"/>
    <w:rsid w:val="008B65B7"/>
    <w:rsid w:val="008B7B8C"/>
    <w:rsid w:val="008C295C"/>
    <w:rsid w:val="008C33E5"/>
    <w:rsid w:val="008D0884"/>
    <w:rsid w:val="008D5B5F"/>
    <w:rsid w:val="008D768D"/>
    <w:rsid w:val="008E0635"/>
    <w:rsid w:val="008E3759"/>
    <w:rsid w:val="008E3BFE"/>
    <w:rsid w:val="008E59F9"/>
    <w:rsid w:val="008F17F3"/>
    <w:rsid w:val="008F1912"/>
    <w:rsid w:val="008F7787"/>
    <w:rsid w:val="0090270B"/>
    <w:rsid w:val="009035DD"/>
    <w:rsid w:val="009041DC"/>
    <w:rsid w:val="0090713A"/>
    <w:rsid w:val="00907EF9"/>
    <w:rsid w:val="00916408"/>
    <w:rsid w:val="00917B5A"/>
    <w:rsid w:val="00920A58"/>
    <w:rsid w:val="00920A8C"/>
    <w:rsid w:val="00921FEB"/>
    <w:rsid w:val="0092477E"/>
    <w:rsid w:val="00934A2C"/>
    <w:rsid w:val="0093677D"/>
    <w:rsid w:val="00936B9F"/>
    <w:rsid w:val="00937EBA"/>
    <w:rsid w:val="009451BE"/>
    <w:rsid w:val="0095160B"/>
    <w:rsid w:val="0095539D"/>
    <w:rsid w:val="00960E1A"/>
    <w:rsid w:val="0096706E"/>
    <w:rsid w:val="00974491"/>
    <w:rsid w:val="00975C4E"/>
    <w:rsid w:val="00976657"/>
    <w:rsid w:val="00976939"/>
    <w:rsid w:val="00981FBA"/>
    <w:rsid w:val="00991EB1"/>
    <w:rsid w:val="009936D7"/>
    <w:rsid w:val="00997BC5"/>
    <w:rsid w:val="009A3C40"/>
    <w:rsid w:val="009A4F41"/>
    <w:rsid w:val="009B381B"/>
    <w:rsid w:val="009B46CD"/>
    <w:rsid w:val="009B544B"/>
    <w:rsid w:val="009B75B6"/>
    <w:rsid w:val="009B7C3B"/>
    <w:rsid w:val="009C289F"/>
    <w:rsid w:val="009C47A2"/>
    <w:rsid w:val="009C73E8"/>
    <w:rsid w:val="009D1097"/>
    <w:rsid w:val="009D1753"/>
    <w:rsid w:val="009D1998"/>
    <w:rsid w:val="009D2B79"/>
    <w:rsid w:val="009D36E9"/>
    <w:rsid w:val="009D7611"/>
    <w:rsid w:val="009E0B61"/>
    <w:rsid w:val="009E1CA9"/>
    <w:rsid w:val="009E53DE"/>
    <w:rsid w:val="009E67C8"/>
    <w:rsid w:val="009E719A"/>
    <w:rsid w:val="009F1457"/>
    <w:rsid w:val="009F4685"/>
    <w:rsid w:val="00A0325A"/>
    <w:rsid w:val="00A04210"/>
    <w:rsid w:val="00A06BF6"/>
    <w:rsid w:val="00A11E44"/>
    <w:rsid w:val="00A141F5"/>
    <w:rsid w:val="00A15AE8"/>
    <w:rsid w:val="00A20B60"/>
    <w:rsid w:val="00A26FB0"/>
    <w:rsid w:val="00A328B3"/>
    <w:rsid w:val="00A350B7"/>
    <w:rsid w:val="00A419DC"/>
    <w:rsid w:val="00A41F80"/>
    <w:rsid w:val="00A45839"/>
    <w:rsid w:val="00A4681E"/>
    <w:rsid w:val="00A50FCF"/>
    <w:rsid w:val="00A528D1"/>
    <w:rsid w:val="00A610CD"/>
    <w:rsid w:val="00A63EAA"/>
    <w:rsid w:val="00A758AA"/>
    <w:rsid w:val="00A83259"/>
    <w:rsid w:val="00A8482B"/>
    <w:rsid w:val="00A905F9"/>
    <w:rsid w:val="00A922DD"/>
    <w:rsid w:val="00AA09A2"/>
    <w:rsid w:val="00AA15FC"/>
    <w:rsid w:val="00AA2272"/>
    <w:rsid w:val="00AA3157"/>
    <w:rsid w:val="00AA7996"/>
    <w:rsid w:val="00AB7E5E"/>
    <w:rsid w:val="00AB7F84"/>
    <w:rsid w:val="00AC19CB"/>
    <w:rsid w:val="00AC1C60"/>
    <w:rsid w:val="00AC4E68"/>
    <w:rsid w:val="00AE0F4C"/>
    <w:rsid w:val="00AE1553"/>
    <w:rsid w:val="00AE2D27"/>
    <w:rsid w:val="00AE4098"/>
    <w:rsid w:val="00AE4262"/>
    <w:rsid w:val="00AE45C6"/>
    <w:rsid w:val="00AE4B22"/>
    <w:rsid w:val="00AE5488"/>
    <w:rsid w:val="00AE6F91"/>
    <w:rsid w:val="00AF0888"/>
    <w:rsid w:val="00AF2BEB"/>
    <w:rsid w:val="00AF5571"/>
    <w:rsid w:val="00B07341"/>
    <w:rsid w:val="00B121FB"/>
    <w:rsid w:val="00B149DB"/>
    <w:rsid w:val="00B17E21"/>
    <w:rsid w:val="00B17FA0"/>
    <w:rsid w:val="00B23CBA"/>
    <w:rsid w:val="00B30539"/>
    <w:rsid w:val="00B314DB"/>
    <w:rsid w:val="00B335C6"/>
    <w:rsid w:val="00B340FE"/>
    <w:rsid w:val="00B361F2"/>
    <w:rsid w:val="00B37167"/>
    <w:rsid w:val="00B3718B"/>
    <w:rsid w:val="00B4632A"/>
    <w:rsid w:val="00B46DBB"/>
    <w:rsid w:val="00B511E7"/>
    <w:rsid w:val="00B52A0F"/>
    <w:rsid w:val="00B530F1"/>
    <w:rsid w:val="00B55104"/>
    <w:rsid w:val="00B671A8"/>
    <w:rsid w:val="00B7029A"/>
    <w:rsid w:val="00B73A18"/>
    <w:rsid w:val="00B91177"/>
    <w:rsid w:val="00BA1C45"/>
    <w:rsid w:val="00BA276C"/>
    <w:rsid w:val="00BA61F4"/>
    <w:rsid w:val="00BB05C2"/>
    <w:rsid w:val="00BB0D69"/>
    <w:rsid w:val="00BB1A0B"/>
    <w:rsid w:val="00BB306F"/>
    <w:rsid w:val="00BB3366"/>
    <w:rsid w:val="00BC2FAF"/>
    <w:rsid w:val="00BC35E4"/>
    <w:rsid w:val="00BD3D23"/>
    <w:rsid w:val="00BD4B89"/>
    <w:rsid w:val="00BD5177"/>
    <w:rsid w:val="00BD5922"/>
    <w:rsid w:val="00BE5ED2"/>
    <w:rsid w:val="00BE764D"/>
    <w:rsid w:val="00BF02CB"/>
    <w:rsid w:val="00BF396B"/>
    <w:rsid w:val="00BF4E6D"/>
    <w:rsid w:val="00BF63BB"/>
    <w:rsid w:val="00BF6FD8"/>
    <w:rsid w:val="00C02E6F"/>
    <w:rsid w:val="00C03680"/>
    <w:rsid w:val="00C054DF"/>
    <w:rsid w:val="00C077E1"/>
    <w:rsid w:val="00C1706E"/>
    <w:rsid w:val="00C213E6"/>
    <w:rsid w:val="00C21762"/>
    <w:rsid w:val="00C21FEF"/>
    <w:rsid w:val="00C24543"/>
    <w:rsid w:val="00C24CD7"/>
    <w:rsid w:val="00C256A2"/>
    <w:rsid w:val="00C26865"/>
    <w:rsid w:val="00C3299D"/>
    <w:rsid w:val="00C442D9"/>
    <w:rsid w:val="00C47E3F"/>
    <w:rsid w:val="00C51515"/>
    <w:rsid w:val="00C51608"/>
    <w:rsid w:val="00C51D8F"/>
    <w:rsid w:val="00C51F79"/>
    <w:rsid w:val="00C52236"/>
    <w:rsid w:val="00C5660B"/>
    <w:rsid w:val="00C56811"/>
    <w:rsid w:val="00C64CEB"/>
    <w:rsid w:val="00C651B3"/>
    <w:rsid w:val="00C66B72"/>
    <w:rsid w:val="00C67035"/>
    <w:rsid w:val="00C67C5D"/>
    <w:rsid w:val="00C72021"/>
    <w:rsid w:val="00C76FE5"/>
    <w:rsid w:val="00C87AC4"/>
    <w:rsid w:val="00C90104"/>
    <w:rsid w:val="00C9567A"/>
    <w:rsid w:val="00CA0383"/>
    <w:rsid w:val="00CA3412"/>
    <w:rsid w:val="00CA741E"/>
    <w:rsid w:val="00CB212D"/>
    <w:rsid w:val="00CB2622"/>
    <w:rsid w:val="00CB2660"/>
    <w:rsid w:val="00CC5E90"/>
    <w:rsid w:val="00CD046C"/>
    <w:rsid w:val="00CD7082"/>
    <w:rsid w:val="00CE076C"/>
    <w:rsid w:val="00CE0A31"/>
    <w:rsid w:val="00CE2CC6"/>
    <w:rsid w:val="00CE5199"/>
    <w:rsid w:val="00CE5B3C"/>
    <w:rsid w:val="00CE66D5"/>
    <w:rsid w:val="00CE6C3A"/>
    <w:rsid w:val="00CE7F58"/>
    <w:rsid w:val="00CF637A"/>
    <w:rsid w:val="00D02118"/>
    <w:rsid w:val="00D023E0"/>
    <w:rsid w:val="00D039FE"/>
    <w:rsid w:val="00D059DE"/>
    <w:rsid w:val="00D05ABD"/>
    <w:rsid w:val="00D13A59"/>
    <w:rsid w:val="00D13FCE"/>
    <w:rsid w:val="00D1596C"/>
    <w:rsid w:val="00D20621"/>
    <w:rsid w:val="00D2100B"/>
    <w:rsid w:val="00D247AC"/>
    <w:rsid w:val="00D306D1"/>
    <w:rsid w:val="00D30800"/>
    <w:rsid w:val="00D34786"/>
    <w:rsid w:val="00D36FBB"/>
    <w:rsid w:val="00D37BFC"/>
    <w:rsid w:val="00D400BD"/>
    <w:rsid w:val="00D40716"/>
    <w:rsid w:val="00D44B36"/>
    <w:rsid w:val="00D456DB"/>
    <w:rsid w:val="00D47A8E"/>
    <w:rsid w:val="00D502BA"/>
    <w:rsid w:val="00D51F47"/>
    <w:rsid w:val="00D52211"/>
    <w:rsid w:val="00D52D14"/>
    <w:rsid w:val="00D65A1F"/>
    <w:rsid w:val="00D676FA"/>
    <w:rsid w:val="00D712D3"/>
    <w:rsid w:val="00D71422"/>
    <w:rsid w:val="00D72DC6"/>
    <w:rsid w:val="00D7558D"/>
    <w:rsid w:val="00D81D92"/>
    <w:rsid w:val="00D82C13"/>
    <w:rsid w:val="00D84E05"/>
    <w:rsid w:val="00D9403F"/>
    <w:rsid w:val="00DA4C03"/>
    <w:rsid w:val="00DA5989"/>
    <w:rsid w:val="00DA7B5F"/>
    <w:rsid w:val="00DC11E7"/>
    <w:rsid w:val="00DC7023"/>
    <w:rsid w:val="00DC769A"/>
    <w:rsid w:val="00DD0661"/>
    <w:rsid w:val="00DD3D86"/>
    <w:rsid w:val="00DE15F2"/>
    <w:rsid w:val="00DE583B"/>
    <w:rsid w:val="00DF1EC4"/>
    <w:rsid w:val="00DF42B0"/>
    <w:rsid w:val="00E0340B"/>
    <w:rsid w:val="00E04A90"/>
    <w:rsid w:val="00E0551F"/>
    <w:rsid w:val="00E1078A"/>
    <w:rsid w:val="00E16AD5"/>
    <w:rsid w:val="00E219C7"/>
    <w:rsid w:val="00E27158"/>
    <w:rsid w:val="00E271A7"/>
    <w:rsid w:val="00E4118C"/>
    <w:rsid w:val="00E43157"/>
    <w:rsid w:val="00E461CE"/>
    <w:rsid w:val="00E509C6"/>
    <w:rsid w:val="00E57E53"/>
    <w:rsid w:val="00E61493"/>
    <w:rsid w:val="00E6705C"/>
    <w:rsid w:val="00E720CA"/>
    <w:rsid w:val="00E84EB5"/>
    <w:rsid w:val="00E85662"/>
    <w:rsid w:val="00E8789F"/>
    <w:rsid w:val="00E92FEE"/>
    <w:rsid w:val="00E93FF7"/>
    <w:rsid w:val="00E97B71"/>
    <w:rsid w:val="00E97F40"/>
    <w:rsid w:val="00EA0BF3"/>
    <w:rsid w:val="00EA3D34"/>
    <w:rsid w:val="00EB4339"/>
    <w:rsid w:val="00EB454D"/>
    <w:rsid w:val="00EB7883"/>
    <w:rsid w:val="00EC2512"/>
    <w:rsid w:val="00EC6C63"/>
    <w:rsid w:val="00ED2F0D"/>
    <w:rsid w:val="00ED549D"/>
    <w:rsid w:val="00ED76BE"/>
    <w:rsid w:val="00EE00E9"/>
    <w:rsid w:val="00EE0204"/>
    <w:rsid w:val="00EF0E8C"/>
    <w:rsid w:val="00EF619B"/>
    <w:rsid w:val="00EF6C17"/>
    <w:rsid w:val="00F00B55"/>
    <w:rsid w:val="00F02941"/>
    <w:rsid w:val="00F02A30"/>
    <w:rsid w:val="00F02AD1"/>
    <w:rsid w:val="00F03663"/>
    <w:rsid w:val="00F04A25"/>
    <w:rsid w:val="00F07300"/>
    <w:rsid w:val="00F13AC2"/>
    <w:rsid w:val="00F17166"/>
    <w:rsid w:val="00F22CCD"/>
    <w:rsid w:val="00F253CC"/>
    <w:rsid w:val="00F37106"/>
    <w:rsid w:val="00F45931"/>
    <w:rsid w:val="00F519CF"/>
    <w:rsid w:val="00F53DD2"/>
    <w:rsid w:val="00F5577C"/>
    <w:rsid w:val="00F56BA5"/>
    <w:rsid w:val="00F60E22"/>
    <w:rsid w:val="00F616E5"/>
    <w:rsid w:val="00F67367"/>
    <w:rsid w:val="00F77D1F"/>
    <w:rsid w:val="00F81395"/>
    <w:rsid w:val="00F81BB8"/>
    <w:rsid w:val="00F84ABE"/>
    <w:rsid w:val="00F917D1"/>
    <w:rsid w:val="00F93C6F"/>
    <w:rsid w:val="00F961E2"/>
    <w:rsid w:val="00F9653B"/>
    <w:rsid w:val="00FA3209"/>
    <w:rsid w:val="00FA7226"/>
    <w:rsid w:val="00FB58FE"/>
    <w:rsid w:val="00FB62CF"/>
    <w:rsid w:val="00FB7760"/>
    <w:rsid w:val="00FC43A0"/>
    <w:rsid w:val="00FC4686"/>
    <w:rsid w:val="00FC5A64"/>
    <w:rsid w:val="00FD3C3B"/>
    <w:rsid w:val="00FE07DD"/>
    <w:rsid w:val="00FE19A5"/>
    <w:rsid w:val="00FE372A"/>
    <w:rsid w:val="00FE6B45"/>
    <w:rsid w:val="00FF0EDD"/>
    <w:rsid w:val="00FF221A"/>
    <w:rsid w:val="00FF2B5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5177"/>
    <w:rPr>
      <w:b/>
      <w:bCs/>
    </w:rPr>
  </w:style>
  <w:style w:type="character" w:styleId="CommentReference">
    <w:name w:val="annotation reference"/>
    <w:basedOn w:val="DefaultParagraphFont"/>
    <w:uiPriority w:val="99"/>
    <w:semiHidden/>
    <w:unhideWhenUsed/>
    <w:rsid w:val="00C72021"/>
    <w:rPr>
      <w:sz w:val="16"/>
      <w:szCs w:val="16"/>
    </w:rPr>
  </w:style>
  <w:style w:type="paragraph" w:styleId="CommentText">
    <w:name w:val="annotation text"/>
    <w:basedOn w:val="Normal"/>
    <w:link w:val="CommentTextChar"/>
    <w:uiPriority w:val="99"/>
    <w:semiHidden/>
    <w:unhideWhenUsed/>
    <w:rsid w:val="00C72021"/>
    <w:rPr>
      <w:sz w:val="20"/>
      <w:szCs w:val="20"/>
    </w:rPr>
  </w:style>
  <w:style w:type="character" w:customStyle="1" w:styleId="CommentTextChar">
    <w:name w:val="Comment Text Char"/>
    <w:basedOn w:val="DefaultParagraphFont"/>
    <w:link w:val="CommentText"/>
    <w:uiPriority w:val="99"/>
    <w:semiHidden/>
    <w:rsid w:val="00C72021"/>
    <w:rPr>
      <w:lang w:val="en-US" w:eastAsia="en-US"/>
    </w:rPr>
  </w:style>
  <w:style w:type="paragraph" w:styleId="CommentSubject">
    <w:name w:val="annotation subject"/>
    <w:basedOn w:val="CommentText"/>
    <w:next w:val="CommentText"/>
    <w:link w:val="CommentSubjectChar"/>
    <w:uiPriority w:val="99"/>
    <w:semiHidden/>
    <w:unhideWhenUsed/>
    <w:rsid w:val="00D02118"/>
    <w:rPr>
      <w:b/>
      <w:bCs/>
    </w:rPr>
  </w:style>
  <w:style w:type="character" w:customStyle="1" w:styleId="CommentSubjectChar">
    <w:name w:val="Comment Subject Char"/>
    <w:basedOn w:val="CommentTextChar"/>
    <w:link w:val="CommentSubject"/>
    <w:uiPriority w:val="99"/>
    <w:semiHidden/>
    <w:rsid w:val="00D02118"/>
    <w:rPr>
      <w:b/>
      <w:bCs/>
      <w:lang w:val="en-US" w:eastAsia="en-US"/>
    </w:rPr>
  </w:style>
  <w:style w:type="paragraph" w:customStyle="1" w:styleId="Char2">
    <w:name w:val="Char2"/>
    <w:basedOn w:val="Normal"/>
    <w:link w:val="FootnoteReference"/>
    <w:rsid w:val="001349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2856">
      <w:bodyDiv w:val="1"/>
      <w:marLeft w:val="0"/>
      <w:marRight w:val="0"/>
      <w:marTop w:val="0"/>
      <w:marBottom w:val="0"/>
      <w:divBdr>
        <w:top w:val="none" w:sz="0" w:space="0" w:color="auto"/>
        <w:left w:val="none" w:sz="0" w:space="0" w:color="auto"/>
        <w:bottom w:val="none" w:sz="0" w:space="0" w:color="auto"/>
        <w:right w:val="none" w:sz="0" w:space="0" w:color="auto"/>
      </w:divBdr>
    </w:div>
    <w:div w:id="185410785">
      <w:bodyDiv w:val="1"/>
      <w:marLeft w:val="0"/>
      <w:marRight w:val="0"/>
      <w:marTop w:val="0"/>
      <w:marBottom w:val="0"/>
      <w:divBdr>
        <w:top w:val="none" w:sz="0" w:space="0" w:color="auto"/>
        <w:left w:val="none" w:sz="0" w:space="0" w:color="auto"/>
        <w:bottom w:val="none" w:sz="0" w:space="0" w:color="auto"/>
        <w:right w:val="none" w:sz="0" w:space="0" w:color="auto"/>
      </w:divBdr>
    </w:div>
    <w:div w:id="884566402">
      <w:bodyDiv w:val="1"/>
      <w:marLeft w:val="0"/>
      <w:marRight w:val="0"/>
      <w:marTop w:val="0"/>
      <w:marBottom w:val="0"/>
      <w:divBdr>
        <w:top w:val="none" w:sz="0" w:space="0" w:color="auto"/>
        <w:left w:val="none" w:sz="0" w:space="0" w:color="auto"/>
        <w:bottom w:val="none" w:sz="0" w:space="0" w:color="auto"/>
        <w:right w:val="none" w:sz="0" w:space="0" w:color="auto"/>
      </w:divBdr>
    </w:div>
    <w:div w:id="1164467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0430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03BC"/>
    <w:rsid w:val="00026E65"/>
    <w:rsid w:val="00202BE7"/>
    <w:rsid w:val="00214F33"/>
    <w:rsid w:val="00220FED"/>
    <w:rsid w:val="00234A89"/>
    <w:rsid w:val="00320D9E"/>
    <w:rsid w:val="00394049"/>
    <w:rsid w:val="004524C2"/>
    <w:rsid w:val="00486E4F"/>
    <w:rsid w:val="004C0CC0"/>
    <w:rsid w:val="004F2DF8"/>
    <w:rsid w:val="00537BCC"/>
    <w:rsid w:val="006360CF"/>
    <w:rsid w:val="00666E7D"/>
    <w:rsid w:val="00737509"/>
    <w:rsid w:val="00906CE6"/>
    <w:rsid w:val="00972A1A"/>
    <w:rsid w:val="00994E4C"/>
    <w:rsid w:val="009A261B"/>
    <w:rsid w:val="009C3642"/>
    <w:rsid w:val="00AC15A4"/>
    <w:rsid w:val="00AE4399"/>
    <w:rsid w:val="00B0336C"/>
    <w:rsid w:val="00B676C3"/>
    <w:rsid w:val="00B81FD5"/>
    <w:rsid w:val="00BD1E7A"/>
    <w:rsid w:val="00C01908"/>
    <w:rsid w:val="00D73FBE"/>
    <w:rsid w:val="00DA40E9"/>
    <w:rsid w:val="00DD133E"/>
    <w:rsid w:val="00DE4462"/>
    <w:rsid w:val="00E02078"/>
    <w:rsid w:val="00F00D2F"/>
    <w:rsid w:val="00F42DDD"/>
    <w:rsid w:val="00FA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089C-7CD8-44B2-97EA-1D955CD3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13682</Characters>
  <Application>Microsoft Office Word</Application>
  <DocSecurity>0</DocSecurity>
  <Lines>114</Lines>
  <Paragraphs>32</Paragraphs>
  <ScaleCrop>false</ScaleCrop>
  <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59/18</dc:title>
  <dc:creator/>
  <cp:lastModifiedBy/>
  <cp:revision>1</cp:revision>
  <dcterms:created xsi:type="dcterms:W3CDTF">2018-07-11T16:16:00Z</dcterms:created>
  <dcterms:modified xsi:type="dcterms:W3CDTF">2018-07-11T16:16:00Z</dcterms:modified>
</cp:coreProperties>
</file>