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5036C5" w:rsidRDefault="00D306D1" w:rsidP="00627C9F">
      <w:pPr>
        <w:jc w:val="both"/>
        <w:rPr>
          <w:rFonts w:asciiTheme="majorHAnsi" w:hAnsiTheme="majorHAnsi" w:cs="Univers"/>
          <w:b/>
          <w:bCs/>
          <w:sz w:val="22"/>
          <w:szCs w:val="22"/>
          <w:lang w:val="es-ES_tradnl"/>
        </w:rPr>
      </w:pPr>
      <w:r w:rsidRPr="005036C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CB194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5036C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F63CAE" w:rsidRDefault="00F63CA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F63CAE" w:rsidRDefault="00F63CAE"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5036C5"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5036C5"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5036C5"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5036C5"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5036C5"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5036C5"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5036C5"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5036C5"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5036C5"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5036C5"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5036C5" w:rsidRDefault="003D3BC2" w:rsidP="00040C3A">
      <w:pPr>
        <w:tabs>
          <w:tab w:val="center" w:pos="5400"/>
        </w:tabs>
        <w:suppressAutoHyphens/>
        <w:jc w:val="center"/>
        <w:rPr>
          <w:rFonts w:asciiTheme="majorHAnsi" w:hAnsiTheme="majorHAnsi"/>
          <w:sz w:val="22"/>
          <w:szCs w:val="22"/>
          <w:lang w:val="es-ES_tradnl"/>
        </w:rPr>
      </w:pPr>
      <w:r w:rsidRPr="005036C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21B674C" w:rsidR="00F63CAE" w:rsidRPr="004E2649" w:rsidRDefault="00F63CA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72597">
                              <w:rPr>
                                <w:rFonts w:asciiTheme="majorHAnsi" w:hAnsiTheme="majorHAnsi" w:cs="Arial"/>
                                <w:b/>
                                <w:bCs/>
                                <w:color w:val="0D0D0D" w:themeColor="text1" w:themeTint="F2"/>
                                <w:sz w:val="36"/>
                                <w:szCs w:val="22"/>
                                <w:lang w:val="es-ES_tradnl"/>
                              </w:rPr>
                              <w:t>151</w:t>
                            </w:r>
                            <w:r>
                              <w:rPr>
                                <w:rFonts w:asciiTheme="majorHAnsi" w:hAnsiTheme="majorHAnsi" w:cs="Arial"/>
                                <w:b/>
                                <w:bCs/>
                                <w:color w:val="0D0D0D" w:themeColor="text1" w:themeTint="F2"/>
                                <w:sz w:val="36"/>
                                <w:szCs w:val="22"/>
                                <w:lang w:val="es-ES_tradnl"/>
                              </w:rPr>
                              <w:t>/</w:t>
                            </w:r>
                            <w:r w:rsidRPr="0001629A">
                              <w:rPr>
                                <w:rFonts w:asciiTheme="majorHAnsi" w:hAnsiTheme="majorHAnsi" w:cs="Arial"/>
                                <w:b/>
                                <w:bCs/>
                                <w:sz w:val="36"/>
                                <w:szCs w:val="22"/>
                                <w:lang w:val="es-ES_tradnl"/>
                              </w:rPr>
                              <w:t>1</w:t>
                            </w:r>
                            <w:r>
                              <w:rPr>
                                <w:rFonts w:asciiTheme="majorHAnsi" w:hAnsiTheme="majorHAnsi" w:cs="Arial"/>
                                <w:b/>
                                <w:bCs/>
                                <w:sz w:val="36"/>
                                <w:szCs w:val="22"/>
                                <w:lang w:val="es-ES_tradnl"/>
                              </w:rPr>
                              <w:t>7</w:t>
                            </w:r>
                          </w:p>
                          <w:p w14:paraId="09C54AB3" w14:textId="418C40B9" w:rsidR="00F63CAE" w:rsidRDefault="00F63CA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1474-07</w:t>
                            </w:r>
                            <w:r w:rsidRPr="004E2649">
                              <w:rPr>
                                <w:rFonts w:asciiTheme="majorHAnsi" w:hAnsiTheme="majorHAnsi" w:cs="Arial"/>
                                <w:b/>
                                <w:color w:val="0D0D0D" w:themeColor="text1" w:themeTint="F2"/>
                                <w:sz w:val="36"/>
                                <w:szCs w:val="22"/>
                                <w:lang w:val="es-ES_tradnl"/>
                              </w:rPr>
                              <w:t xml:space="preserve"> </w:t>
                            </w:r>
                          </w:p>
                          <w:p w14:paraId="70CF6833" w14:textId="27660249" w:rsidR="00F63CAE" w:rsidRPr="0010736F" w:rsidRDefault="00F63CA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F63CAE" w:rsidRPr="0010736F" w:rsidRDefault="00F63CAE"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F726E09" w14:textId="77777777" w:rsidR="00F63CAE" w:rsidRPr="0010736F" w:rsidRDefault="00F63CAE" w:rsidP="00DC6E2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FELICIDAD FLORES SOLÓRZANO</w:t>
                            </w:r>
                          </w:p>
                          <w:p w14:paraId="35068D0D" w14:textId="4F122C0E" w:rsidR="00F63CAE" w:rsidRPr="0010736F" w:rsidRDefault="00F63CA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F63CAE" w:rsidRPr="00AE5488" w:rsidRDefault="00F63CA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21B674C" w:rsidR="00F63CAE" w:rsidRPr="004E2649" w:rsidRDefault="00F63CA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472597">
                        <w:rPr>
                          <w:rFonts w:asciiTheme="majorHAnsi" w:hAnsiTheme="majorHAnsi" w:cs="Arial"/>
                          <w:b/>
                          <w:bCs/>
                          <w:color w:val="0D0D0D" w:themeColor="text1" w:themeTint="F2"/>
                          <w:sz w:val="36"/>
                          <w:szCs w:val="22"/>
                          <w:lang w:val="es-ES_tradnl"/>
                        </w:rPr>
                        <w:t>151</w:t>
                      </w:r>
                      <w:r>
                        <w:rPr>
                          <w:rFonts w:asciiTheme="majorHAnsi" w:hAnsiTheme="majorHAnsi" w:cs="Arial"/>
                          <w:b/>
                          <w:bCs/>
                          <w:color w:val="0D0D0D" w:themeColor="text1" w:themeTint="F2"/>
                          <w:sz w:val="36"/>
                          <w:szCs w:val="22"/>
                          <w:lang w:val="es-ES_tradnl"/>
                        </w:rPr>
                        <w:t>/</w:t>
                      </w:r>
                      <w:r w:rsidRPr="0001629A">
                        <w:rPr>
                          <w:rFonts w:asciiTheme="majorHAnsi" w:hAnsiTheme="majorHAnsi" w:cs="Arial"/>
                          <w:b/>
                          <w:bCs/>
                          <w:sz w:val="36"/>
                          <w:szCs w:val="22"/>
                          <w:lang w:val="es-ES_tradnl"/>
                        </w:rPr>
                        <w:t>1</w:t>
                      </w:r>
                      <w:r>
                        <w:rPr>
                          <w:rFonts w:asciiTheme="majorHAnsi" w:hAnsiTheme="majorHAnsi" w:cs="Arial"/>
                          <w:b/>
                          <w:bCs/>
                          <w:sz w:val="36"/>
                          <w:szCs w:val="22"/>
                          <w:lang w:val="es-ES_tradnl"/>
                        </w:rPr>
                        <w:t>7</w:t>
                      </w:r>
                    </w:p>
                    <w:p w14:paraId="09C54AB3" w14:textId="418C40B9" w:rsidR="00F63CAE" w:rsidRDefault="00F63CA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1474-07</w:t>
                      </w:r>
                      <w:r w:rsidRPr="004E2649">
                        <w:rPr>
                          <w:rFonts w:asciiTheme="majorHAnsi" w:hAnsiTheme="majorHAnsi" w:cs="Arial"/>
                          <w:b/>
                          <w:color w:val="0D0D0D" w:themeColor="text1" w:themeTint="F2"/>
                          <w:sz w:val="36"/>
                          <w:szCs w:val="22"/>
                          <w:lang w:val="es-ES_tradnl"/>
                        </w:rPr>
                        <w:t xml:space="preserve"> </w:t>
                      </w:r>
                    </w:p>
                    <w:p w14:paraId="70CF6833" w14:textId="27660249" w:rsidR="00F63CAE" w:rsidRPr="0010736F" w:rsidRDefault="00F63CA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5FDD6F0D" w14:textId="77777777" w:rsidR="00F63CAE" w:rsidRPr="0010736F" w:rsidRDefault="00F63CAE"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F726E09" w14:textId="77777777" w:rsidR="00F63CAE" w:rsidRPr="0010736F" w:rsidRDefault="00F63CAE" w:rsidP="00DC6E23">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FELICIDAD FLORES SOLÓRZANO</w:t>
                      </w:r>
                    </w:p>
                    <w:p w14:paraId="35068D0D" w14:textId="4F122C0E" w:rsidR="00F63CAE" w:rsidRPr="0010736F" w:rsidRDefault="00F63CA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F63CAE" w:rsidRPr="00AE5488" w:rsidRDefault="00F63CAE" w:rsidP="007A5817">
                      <w:pPr>
                        <w:rPr>
                          <w:color w:val="0D0D0D" w:themeColor="text1" w:themeTint="F2"/>
                          <w:lang w:val="es-ES_tradnl"/>
                        </w:rPr>
                      </w:pPr>
                    </w:p>
                  </w:txbxContent>
                </v:textbox>
              </v:shape>
            </w:pict>
          </mc:Fallback>
        </mc:AlternateContent>
      </w:r>
      <w:r w:rsidR="004E2649" w:rsidRPr="005036C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97A0E" w14:textId="353BA24C" w:rsidR="00F63CAE" w:rsidRPr="00DC6E23" w:rsidRDefault="00F63CAE" w:rsidP="007A5817">
                            <w:pPr>
                              <w:spacing w:line="276" w:lineRule="auto"/>
                              <w:jc w:val="right"/>
                              <w:rPr>
                                <w:rFonts w:asciiTheme="minorHAnsi" w:hAnsiTheme="minorHAnsi"/>
                                <w:color w:val="FFFFFF" w:themeColor="background1"/>
                                <w:sz w:val="22"/>
                                <w:lang w:val="pt-BR"/>
                              </w:rPr>
                            </w:pPr>
                            <w:r w:rsidRPr="00DC6E23">
                              <w:rPr>
                                <w:rFonts w:asciiTheme="minorHAnsi" w:hAnsiTheme="minorHAnsi"/>
                                <w:color w:val="FFFFFF" w:themeColor="background1"/>
                                <w:sz w:val="22"/>
                                <w:lang w:val="pt-BR"/>
                              </w:rPr>
                              <w:t>OEA/Ser.L/V/II</w:t>
                            </w:r>
                            <w:r w:rsidRPr="0001629A">
                              <w:rPr>
                                <w:rFonts w:asciiTheme="minorHAnsi" w:hAnsiTheme="minorHAnsi"/>
                                <w:color w:val="FFFFFF" w:themeColor="background1"/>
                                <w:sz w:val="22"/>
                                <w:lang w:val="pt-BR"/>
                              </w:rPr>
                              <w:t>.1</w:t>
                            </w:r>
                            <w:r w:rsidR="00472597">
                              <w:rPr>
                                <w:rFonts w:asciiTheme="minorHAnsi" w:hAnsiTheme="minorHAnsi"/>
                                <w:color w:val="FFFFFF" w:themeColor="background1"/>
                                <w:sz w:val="22"/>
                                <w:lang w:val="pt-BR"/>
                              </w:rPr>
                              <w:t>65</w:t>
                            </w:r>
                          </w:p>
                          <w:p w14:paraId="704C2E5E" w14:textId="6354267E" w:rsidR="00F63CAE" w:rsidRPr="00DC6E23" w:rsidRDefault="00F63CAE" w:rsidP="007A5817">
                            <w:pPr>
                              <w:spacing w:line="276" w:lineRule="auto"/>
                              <w:jc w:val="right"/>
                              <w:rPr>
                                <w:rFonts w:asciiTheme="minorHAnsi" w:hAnsiTheme="minorHAnsi"/>
                                <w:color w:val="FFFFFF" w:themeColor="background1"/>
                                <w:sz w:val="22"/>
                                <w:lang w:val="pt-BR"/>
                              </w:rPr>
                            </w:pPr>
                            <w:r w:rsidRPr="00DC6E23">
                              <w:rPr>
                                <w:rFonts w:asciiTheme="minorHAnsi" w:hAnsiTheme="minorHAnsi"/>
                                <w:color w:val="FFFFFF" w:themeColor="background1"/>
                                <w:sz w:val="22"/>
                                <w:lang w:val="pt-BR"/>
                              </w:rPr>
                              <w:t xml:space="preserve">Doc. </w:t>
                            </w:r>
                            <w:r w:rsidR="00472597">
                              <w:rPr>
                                <w:rFonts w:asciiTheme="minorHAnsi" w:hAnsiTheme="minorHAnsi"/>
                                <w:color w:val="FFFFFF" w:themeColor="background1"/>
                                <w:sz w:val="22"/>
                                <w:lang w:val="pt-BR"/>
                              </w:rPr>
                              <w:t>177</w:t>
                            </w:r>
                          </w:p>
                          <w:p w14:paraId="359BD0B3" w14:textId="14C69BBE" w:rsidR="00F63CAE" w:rsidRPr="0056111A" w:rsidRDefault="0047259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F63CAE" w:rsidRPr="0056111A">
                              <w:rPr>
                                <w:rFonts w:asciiTheme="minorHAnsi" w:hAnsiTheme="minorHAnsi"/>
                                <w:color w:val="FFFFFF" w:themeColor="background1"/>
                                <w:sz w:val="22"/>
                                <w:lang w:val="es-ES"/>
                              </w:rPr>
                              <w:t xml:space="preserve"> </w:t>
                            </w:r>
                            <w:r w:rsidR="00F63CAE">
                              <w:rPr>
                                <w:rFonts w:asciiTheme="minorHAnsi" w:hAnsiTheme="minorHAnsi"/>
                                <w:color w:val="FFFFFF" w:themeColor="background1"/>
                                <w:sz w:val="22"/>
                                <w:lang w:val="es-ES"/>
                              </w:rPr>
                              <w:t>20</w:t>
                            </w:r>
                            <w:r w:rsidR="00F63CAE" w:rsidRPr="0001629A">
                              <w:rPr>
                                <w:rFonts w:asciiTheme="minorHAnsi" w:hAnsiTheme="minorHAnsi"/>
                                <w:color w:val="FFFFFF" w:themeColor="background1"/>
                                <w:sz w:val="22"/>
                                <w:lang w:val="es-ES"/>
                              </w:rPr>
                              <w:t>1</w:t>
                            </w:r>
                            <w:r w:rsidR="00F63CAE">
                              <w:rPr>
                                <w:rFonts w:asciiTheme="minorHAnsi" w:hAnsiTheme="minorHAnsi"/>
                                <w:color w:val="FFFFFF" w:themeColor="background1"/>
                                <w:sz w:val="22"/>
                                <w:lang w:val="es-ES"/>
                              </w:rPr>
                              <w:t>7</w:t>
                            </w:r>
                          </w:p>
                          <w:p w14:paraId="35A222F1" w14:textId="77777777" w:rsidR="00F63CAE" w:rsidRPr="004E2649" w:rsidRDefault="00F63CA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p w14:paraId="28234F12" w14:textId="77777777" w:rsidR="00F63CAE" w:rsidRDefault="00F63C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5797A0E" w14:textId="353BA24C" w:rsidR="00F63CAE" w:rsidRPr="00DC6E23" w:rsidRDefault="00F63CAE" w:rsidP="007A5817">
                      <w:pPr>
                        <w:spacing w:line="276" w:lineRule="auto"/>
                        <w:jc w:val="right"/>
                        <w:rPr>
                          <w:rFonts w:asciiTheme="minorHAnsi" w:hAnsiTheme="minorHAnsi"/>
                          <w:color w:val="FFFFFF" w:themeColor="background1"/>
                          <w:sz w:val="22"/>
                          <w:lang w:val="pt-BR"/>
                        </w:rPr>
                      </w:pPr>
                      <w:r w:rsidRPr="00DC6E23">
                        <w:rPr>
                          <w:rFonts w:asciiTheme="minorHAnsi" w:hAnsiTheme="minorHAnsi"/>
                          <w:color w:val="FFFFFF" w:themeColor="background1"/>
                          <w:sz w:val="22"/>
                          <w:lang w:val="pt-BR"/>
                        </w:rPr>
                        <w:t>OEA/Ser.L/V/II</w:t>
                      </w:r>
                      <w:r w:rsidRPr="0001629A">
                        <w:rPr>
                          <w:rFonts w:asciiTheme="minorHAnsi" w:hAnsiTheme="minorHAnsi"/>
                          <w:color w:val="FFFFFF" w:themeColor="background1"/>
                          <w:sz w:val="22"/>
                          <w:lang w:val="pt-BR"/>
                        </w:rPr>
                        <w:t>.1</w:t>
                      </w:r>
                      <w:r w:rsidR="00472597">
                        <w:rPr>
                          <w:rFonts w:asciiTheme="minorHAnsi" w:hAnsiTheme="minorHAnsi"/>
                          <w:color w:val="FFFFFF" w:themeColor="background1"/>
                          <w:sz w:val="22"/>
                          <w:lang w:val="pt-BR"/>
                        </w:rPr>
                        <w:t>65</w:t>
                      </w:r>
                    </w:p>
                    <w:p w14:paraId="704C2E5E" w14:textId="6354267E" w:rsidR="00F63CAE" w:rsidRPr="00DC6E23" w:rsidRDefault="00F63CAE" w:rsidP="007A5817">
                      <w:pPr>
                        <w:spacing w:line="276" w:lineRule="auto"/>
                        <w:jc w:val="right"/>
                        <w:rPr>
                          <w:rFonts w:asciiTheme="minorHAnsi" w:hAnsiTheme="minorHAnsi"/>
                          <w:color w:val="FFFFFF" w:themeColor="background1"/>
                          <w:sz w:val="22"/>
                          <w:lang w:val="pt-BR"/>
                        </w:rPr>
                      </w:pPr>
                      <w:r w:rsidRPr="00DC6E23">
                        <w:rPr>
                          <w:rFonts w:asciiTheme="minorHAnsi" w:hAnsiTheme="minorHAnsi"/>
                          <w:color w:val="FFFFFF" w:themeColor="background1"/>
                          <w:sz w:val="22"/>
                          <w:lang w:val="pt-BR"/>
                        </w:rPr>
                        <w:t xml:space="preserve">Doc. </w:t>
                      </w:r>
                      <w:r w:rsidR="00472597">
                        <w:rPr>
                          <w:rFonts w:asciiTheme="minorHAnsi" w:hAnsiTheme="minorHAnsi"/>
                          <w:color w:val="FFFFFF" w:themeColor="background1"/>
                          <w:sz w:val="22"/>
                          <w:lang w:val="pt-BR"/>
                        </w:rPr>
                        <w:t>177</w:t>
                      </w:r>
                    </w:p>
                    <w:p w14:paraId="359BD0B3" w14:textId="14C69BBE" w:rsidR="00F63CAE" w:rsidRPr="0056111A" w:rsidRDefault="00472597"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26 octubre</w:t>
                      </w:r>
                      <w:r w:rsidR="00F63CAE" w:rsidRPr="0056111A">
                        <w:rPr>
                          <w:rFonts w:asciiTheme="minorHAnsi" w:hAnsiTheme="minorHAnsi"/>
                          <w:color w:val="FFFFFF" w:themeColor="background1"/>
                          <w:sz w:val="22"/>
                          <w:lang w:val="es-ES"/>
                        </w:rPr>
                        <w:t xml:space="preserve"> </w:t>
                      </w:r>
                      <w:r w:rsidR="00F63CAE">
                        <w:rPr>
                          <w:rFonts w:asciiTheme="minorHAnsi" w:hAnsiTheme="minorHAnsi"/>
                          <w:color w:val="FFFFFF" w:themeColor="background1"/>
                          <w:sz w:val="22"/>
                          <w:lang w:val="es-ES"/>
                        </w:rPr>
                        <w:t>20</w:t>
                      </w:r>
                      <w:r w:rsidR="00F63CAE" w:rsidRPr="0001629A">
                        <w:rPr>
                          <w:rFonts w:asciiTheme="minorHAnsi" w:hAnsiTheme="minorHAnsi"/>
                          <w:color w:val="FFFFFF" w:themeColor="background1"/>
                          <w:sz w:val="22"/>
                          <w:lang w:val="es-ES"/>
                        </w:rPr>
                        <w:t>1</w:t>
                      </w:r>
                      <w:r w:rsidR="00F63CAE">
                        <w:rPr>
                          <w:rFonts w:asciiTheme="minorHAnsi" w:hAnsiTheme="minorHAnsi"/>
                          <w:color w:val="FFFFFF" w:themeColor="background1"/>
                          <w:sz w:val="22"/>
                          <w:lang w:val="es-ES"/>
                        </w:rPr>
                        <w:t>7</w:t>
                      </w:r>
                    </w:p>
                    <w:p w14:paraId="35A222F1" w14:textId="77777777" w:rsidR="00F63CAE" w:rsidRPr="004E2649" w:rsidRDefault="00F63CAE"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p w14:paraId="28234F12" w14:textId="77777777" w:rsidR="00F63CAE" w:rsidRDefault="00F63CAE"/>
                  </w:txbxContent>
                </v:textbox>
              </v:shape>
            </w:pict>
          </mc:Fallback>
        </mc:AlternateContent>
      </w:r>
    </w:p>
    <w:p w14:paraId="155B0536"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5036C5"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5036C5"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5036C5"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5036C5"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5036C5"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5036C5"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5036C5" w:rsidRDefault="0090270B" w:rsidP="00040C3A">
      <w:pPr>
        <w:tabs>
          <w:tab w:val="center" w:pos="5400"/>
        </w:tabs>
        <w:suppressAutoHyphens/>
        <w:jc w:val="center"/>
        <w:rPr>
          <w:rFonts w:asciiTheme="majorHAnsi" w:hAnsiTheme="majorHAnsi"/>
          <w:sz w:val="18"/>
          <w:szCs w:val="22"/>
          <w:lang w:val="es-ES_tradnl"/>
        </w:rPr>
      </w:pPr>
      <w:r w:rsidRPr="005036C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49FF" w14:textId="6FC828D2" w:rsidR="00F63CAE" w:rsidRPr="00890650" w:rsidRDefault="00F63CAE" w:rsidP="00DC6E2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sesión </w:t>
                            </w:r>
                            <w:r w:rsidRPr="00357364">
                              <w:rPr>
                                <w:rFonts w:asciiTheme="majorHAnsi" w:hAnsiTheme="majorHAnsi"/>
                                <w:sz w:val="18"/>
                                <w:szCs w:val="20"/>
                                <w:lang w:val="es-ES"/>
                              </w:rPr>
                              <w:t xml:space="preserve">No. </w:t>
                            </w:r>
                            <w:r w:rsidR="00472597" w:rsidRPr="00357364">
                              <w:rPr>
                                <w:rFonts w:asciiTheme="majorHAnsi" w:hAnsiTheme="majorHAnsi"/>
                                <w:sz w:val="18"/>
                                <w:szCs w:val="20"/>
                                <w:lang w:val="es-ES"/>
                              </w:rPr>
                              <w:t>2104</w:t>
                            </w:r>
                            <w:r w:rsidRPr="00357364">
                              <w:rPr>
                                <w:rFonts w:asciiTheme="majorHAnsi" w:hAnsiTheme="majorHAnsi"/>
                                <w:sz w:val="18"/>
                                <w:szCs w:val="20"/>
                                <w:lang w:val="es-ES"/>
                              </w:rPr>
                              <w:t xml:space="preserve"> celebrada el </w:t>
                            </w:r>
                            <w:r w:rsidR="00472597" w:rsidRPr="00357364">
                              <w:rPr>
                                <w:rFonts w:asciiTheme="majorHAnsi" w:hAnsiTheme="majorHAnsi"/>
                                <w:sz w:val="18"/>
                                <w:szCs w:val="20"/>
                                <w:lang w:val="es-ES"/>
                              </w:rPr>
                              <w:t>octubre de 26</w:t>
                            </w:r>
                            <w:r w:rsidRPr="00357364">
                              <w:rPr>
                                <w:rFonts w:asciiTheme="majorHAnsi" w:hAnsiTheme="majorHAnsi"/>
                                <w:sz w:val="18"/>
                                <w:szCs w:val="20"/>
                                <w:lang w:val="es-ES"/>
                              </w:rPr>
                              <w:t xml:space="preserve"> de 2017</w:t>
                            </w:r>
                            <w:r w:rsidRPr="00357364">
                              <w:rPr>
                                <w:rFonts w:asciiTheme="majorHAnsi" w:hAnsiTheme="majorHAnsi"/>
                                <w:sz w:val="18"/>
                                <w:szCs w:val="20"/>
                                <w:lang w:val="es-ES"/>
                              </w:rPr>
                              <w:br/>
                            </w:r>
                            <w:r>
                              <w:rPr>
                                <w:rFonts w:asciiTheme="majorHAnsi" w:hAnsiTheme="majorHAnsi" w:cs="Univers"/>
                                <w:color w:val="0D0D0D" w:themeColor="text1" w:themeTint="F2"/>
                                <w:sz w:val="18"/>
                                <w:szCs w:val="20"/>
                                <w:lang w:val="es-ES_tradnl"/>
                              </w:rPr>
                              <w:t>16</w:t>
                            </w:r>
                            <w:r w:rsidR="00472597">
                              <w:rPr>
                                <w:rFonts w:asciiTheme="majorHAnsi" w:hAnsiTheme="majorHAnsi" w:cs="Univers"/>
                                <w:color w:val="0D0D0D" w:themeColor="text1" w:themeTint="F2"/>
                                <w:sz w:val="18"/>
                                <w:szCs w:val="20"/>
                                <w:lang w:val="es-ES_tradnl"/>
                              </w:rPr>
                              <w:t>5</w:t>
                            </w:r>
                            <w:r w:rsidRPr="00890650">
                              <w:rPr>
                                <w:rFonts w:asciiTheme="majorHAnsi" w:hAnsiTheme="majorHAnsi" w:cs="Univers"/>
                                <w:color w:val="0D0D0D" w:themeColor="text1" w:themeTint="F2"/>
                                <w:sz w:val="18"/>
                                <w:szCs w:val="20"/>
                                <w:lang w:val="es-ES_tradnl"/>
                              </w:rPr>
                              <w:t xml:space="preserve"> período ordinario de sesiones</w:t>
                            </w:r>
                          </w:p>
                          <w:p w14:paraId="4BDF3581" w14:textId="77777777" w:rsidR="00F63CAE" w:rsidRPr="007A5817" w:rsidRDefault="00F63CA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63CAE" w:rsidRPr="00167A34" w:rsidRDefault="00F63CAE"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6E849FF" w14:textId="6FC828D2" w:rsidR="00F63CAE" w:rsidRPr="00890650" w:rsidRDefault="00F63CAE" w:rsidP="00DC6E2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por la Comisión en su sesión </w:t>
                      </w:r>
                      <w:r w:rsidRPr="00357364">
                        <w:rPr>
                          <w:rFonts w:asciiTheme="majorHAnsi" w:hAnsiTheme="majorHAnsi"/>
                          <w:sz w:val="18"/>
                          <w:szCs w:val="20"/>
                          <w:lang w:val="es-ES"/>
                        </w:rPr>
                        <w:t xml:space="preserve">No. </w:t>
                      </w:r>
                      <w:r w:rsidR="00472597" w:rsidRPr="00357364">
                        <w:rPr>
                          <w:rFonts w:asciiTheme="majorHAnsi" w:hAnsiTheme="majorHAnsi"/>
                          <w:sz w:val="18"/>
                          <w:szCs w:val="20"/>
                          <w:lang w:val="es-ES"/>
                        </w:rPr>
                        <w:t>2104</w:t>
                      </w:r>
                      <w:r w:rsidRPr="00357364">
                        <w:rPr>
                          <w:rFonts w:asciiTheme="majorHAnsi" w:hAnsiTheme="majorHAnsi"/>
                          <w:sz w:val="18"/>
                          <w:szCs w:val="20"/>
                          <w:lang w:val="es-ES"/>
                        </w:rPr>
                        <w:t xml:space="preserve"> celebrada el </w:t>
                      </w:r>
                      <w:r w:rsidR="00472597" w:rsidRPr="00357364">
                        <w:rPr>
                          <w:rFonts w:asciiTheme="majorHAnsi" w:hAnsiTheme="majorHAnsi"/>
                          <w:sz w:val="18"/>
                          <w:szCs w:val="20"/>
                          <w:lang w:val="es-ES"/>
                        </w:rPr>
                        <w:t>octubre de 26</w:t>
                      </w:r>
                      <w:r w:rsidRPr="00357364">
                        <w:rPr>
                          <w:rFonts w:asciiTheme="majorHAnsi" w:hAnsiTheme="majorHAnsi"/>
                          <w:sz w:val="18"/>
                          <w:szCs w:val="20"/>
                          <w:lang w:val="es-ES"/>
                        </w:rPr>
                        <w:t xml:space="preserve"> de 2017</w:t>
                      </w:r>
                      <w:r w:rsidRPr="00357364">
                        <w:rPr>
                          <w:rFonts w:asciiTheme="majorHAnsi" w:hAnsiTheme="majorHAnsi"/>
                          <w:sz w:val="18"/>
                          <w:szCs w:val="20"/>
                          <w:lang w:val="es-ES"/>
                        </w:rPr>
                        <w:br/>
                      </w:r>
                      <w:r>
                        <w:rPr>
                          <w:rFonts w:asciiTheme="majorHAnsi" w:hAnsiTheme="majorHAnsi" w:cs="Univers"/>
                          <w:color w:val="0D0D0D" w:themeColor="text1" w:themeTint="F2"/>
                          <w:sz w:val="18"/>
                          <w:szCs w:val="20"/>
                          <w:lang w:val="es-ES_tradnl"/>
                        </w:rPr>
                        <w:t>16</w:t>
                      </w:r>
                      <w:r w:rsidR="00472597">
                        <w:rPr>
                          <w:rFonts w:asciiTheme="majorHAnsi" w:hAnsiTheme="majorHAnsi" w:cs="Univers"/>
                          <w:color w:val="0D0D0D" w:themeColor="text1" w:themeTint="F2"/>
                          <w:sz w:val="18"/>
                          <w:szCs w:val="20"/>
                          <w:lang w:val="es-ES_tradnl"/>
                        </w:rPr>
                        <w:t>5</w:t>
                      </w:r>
                      <w:r w:rsidRPr="00890650">
                        <w:rPr>
                          <w:rFonts w:asciiTheme="majorHAnsi" w:hAnsiTheme="majorHAnsi" w:cs="Univers"/>
                          <w:color w:val="0D0D0D" w:themeColor="text1" w:themeTint="F2"/>
                          <w:sz w:val="18"/>
                          <w:szCs w:val="20"/>
                          <w:lang w:val="es-ES_tradnl"/>
                        </w:rPr>
                        <w:t xml:space="preserve"> período ordinario de sesiones</w:t>
                      </w:r>
                    </w:p>
                    <w:p w14:paraId="4BDF3581" w14:textId="77777777" w:rsidR="00F63CAE" w:rsidRPr="007A5817" w:rsidRDefault="00F63CAE"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F63CAE" w:rsidRPr="00167A34" w:rsidRDefault="00F63CAE"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5036C5" w:rsidRDefault="0090270B" w:rsidP="00040C3A">
      <w:pPr>
        <w:tabs>
          <w:tab w:val="center" w:pos="5400"/>
        </w:tabs>
        <w:suppressAutoHyphens/>
        <w:jc w:val="center"/>
        <w:rPr>
          <w:rFonts w:asciiTheme="majorHAnsi" w:hAnsiTheme="majorHAnsi"/>
          <w:sz w:val="18"/>
          <w:szCs w:val="22"/>
          <w:lang w:val="es-ES_tradnl"/>
        </w:rPr>
      </w:pPr>
      <w:r w:rsidRPr="005036C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3559A" w14:textId="77777777" w:rsidR="00472597" w:rsidRDefault="00F63CA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2597" w:rsidRPr="00472597">
                              <w:rPr>
                                <w:rFonts w:asciiTheme="majorHAnsi" w:hAnsiTheme="majorHAnsi"/>
                                <w:color w:val="595959" w:themeColor="text1" w:themeTint="A6"/>
                                <w:sz w:val="18"/>
                                <w:szCs w:val="18"/>
                                <w:lang w:val="pt-BR"/>
                              </w:rPr>
                              <w:t>151</w:t>
                            </w:r>
                            <w:r w:rsidRPr="00472597">
                              <w:rPr>
                                <w:rFonts w:asciiTheme="majorHAnsi" w:hAnsiTheme="majorHAnsi"/>
                                <w:color w:val="595959" w:themeColor="text1" w:themeTint="A6"/>
                                <w:sz w:val="18"/>
                                <w:szCs w:val="18"/>
                                <w:lang w:val="pt-BR"/>
                              </w:rPr>
                              <w:t>/</w:t>
                            </w:r>
                            <w:r w:rsidR="00ED546E" w:rsidRPr="00472597">
                              <w:rPr>
                                <w:rFonts w:asciiTheme="majorHAnsi" w:hAnsiTheme="majorHAnsi"/>
                                <w:color w:val="595959" w:themeColor="text1" w:themeTint="A6"/>
                                <w:sz w:val="18"/>
                                <w:szCs w:val="18"/>
                                <w:lang w:val="pt-BR"/>
                              </w:rPr>
                              <w:t>17</w:t>
                            </w:r>
                            <w:r w:rsidRPr="0047259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Felicidad Flores Solórzano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2447F081" w:rsidR="00F63CAE" w:rsidRPr="007B05C4" w:rsidRDefault="0047259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F63CAE"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993559A" w14:textId="77777777" w:rsidR="00472597" w:rsidRDefault="00F63CA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472597" w:rsidRPr="00472597">
                        <w:rPr>
                          <w:rFonts w:asciiTheme="majorHAnsi" w:hAnsiTheme="majorHAnsi"/>
                          <w:color w:val="595959" w:themeColor="text1" w:themeTint="A6"/>
                          <w:sz w:val="18"/>
                          <w:szCs w:val="18"/>
                          <w:lang w:val="pt-BR"/>
                        </w:rPr>
                        <w:t>151</w:t>
                      </w:r>
                      <w:r w:rsidRPr="00472597">
                        <w:rPr>
                          <w:rFonts w:asciiTheme="majorHAnsi" w:hAnsiTheme="majorHAnsi"/>
                          <w:color w:val="595959" w:themeColor="text1" w:themeTint="A6"/>
                          <w:sz w:val="18"/>
                          <w:szCs w:val="18"/>
                          <w:lang w:val="pt-BR"/>
                        </w:rPr>
                        <w:t>/</w:t>
                      </w:r>
                      <w:r w:rsidR="00ED546E" w:rsidRPr="00472597">
                        <w:rPr>
                          <w:rFonts w:asciiTheme="majorHAnsi" w:hAnsiTheme="majorHAnsi"/>
                          <w:color w:val="595959" w:themeColor="text1" w:themeTint="A6"/>
                          <w:sz w:val="18"/>
                          <w:szCs w:val="18"/>
                          <w:lang w:val="pt-BR"/>
                        </w:rPr>
                        <w:t>17</w:t>
                      </w:r>
                      <w:r w:rsidRPr="00472597">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Pr>
                          <w:rFonts w:asciiTheme="majorHAnsi" w:hAnsiTheme="majorHAnsi"/>
                          <w:color w:val="595959" w:themeColor="text1" w:themeTint="A6"/>
                          <w:sz w:val="18"/>
                          <w:szCs w:val="18"/>
                          <w:lang w:val="es-ES_tradnl"/>
                        </w:rPr>
                        <w:t>Felicidad Flores Solórzano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p>
                    <w:p w14:paraId="0D1B22CF" w14:textId="2447F081" w:rsidR="00F63CAE" w:rsidRPr="007B05C4" w:rsidRDefault="00472597"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
                        </w:rPr>
                        <w:t>26 de octubre de 2017</w:t>
                      </w:r>
                      <w:r w:rsidR="00F63CAE" w:rsidRPr="0063685A">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5036C5"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5036C5" w:rsidRDefault="00D306D1" w:rsidP="005516A1">
      <w:pPr>
        <w:tabs>
          <w:tab w:val="center" w:pos="5400"/>
        </w:tabs>
        <w:suppressAutoHyphens/>
        <w:jc w:val="center"/>
        <w:rPr>
          <w:rFonts w:asciiTheme="majorHAnsi" w:hAnsiTheme="majorHAnsi"/>
          <w:b/>
          <w:sz w:val="20"/>
          <w:lang w:val="es-ES_tradnl"/>
        </w:rPr>
      </w:pPr>
      <w:r w:rsidRPr="005036C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F63CAE" w:rsidRPr="00D72DC6" w:rsidRDefault="00F63CA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F63CAE" w:rsidRPr="00D72DC6" w:rsidRDefault="00F63CA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5036C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F63CAE" w:rsidRPr="004B7EB6" w:rsidRDefault="00F63CA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F63CAE" w:rsidRPr="004B7EB6" w:rsidRDefault="00F63CA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5036C5" w:rsidRDefault="0070697F" w:rsidP="005516A1">
      <w:pPr>
        <w:tabs>
          <w:tab w:val="center" w:pos="5400"/>
        </w:tabs>
        <w:suppressAutoHyphens/>
        <w:jc w:val="center"/>
        <w:rPr>
          <w:rFonts w:asciiTheme="majorHAnsi" w:hAnsiTheme="majorHAnsi"/>
          <w:b/>
          <w:sz w:val="20"/>
          <w:lang w:val="es-ES_tradnl"/>
        </w:rPr>
        <w:sectPr w:rsidR="0070697F" w:rsidRPr="005036C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62CDE40B" w:rsidR="00722C9F" w:rsidRPr="005036C5" w:rsidRDefault="00722C9F" w:rsidP="00722C9F">
      <w:pPr>
        <w:tabs>
          <w:tab w:val="center" w:pos="5400"/>
        </w:tabs>
        <w:suppressAutoHyphens/>
        <w:spacing w:line="276" w:lineRule="auto"/>
        <w:jc w:val="center"/>
        <w:rPr>
          <w:rFonts w:asciiTheme="majorHAnsi" w:hAnsiTheme="majorHAnsi"/>
          <w:b/>
          <w:sz w:val="18"/>
          <w:szCs w:val="20"/>
          <w:lang w:val="es-ES_tradnl"/>
        </w:rPr>
      </w:pPr>
      <w:r w:rsidRPr="005036C5">
        <w:rPr>
          <w:rFonts w:asciiTheme="majorHAnsi" w:hAnsiTheme="majorHAnsi"/>
          <w:b/>
          <w:sz w:val="18"/>
          <w:szCs w:val="20"/>
          <w:lang w:val="es-ES_tradnl"/>
        </w:rPr>
        <w:lastRenderedPageBreak/>
        <w:t xml:space="preserve">INFORME No. </w:t>
      </w:r>
      <w:r w:rsidR="00472597">
        <w:rPr>
          <w:rFonts w:asciiTheme="majorHAnsi" w:hAnsiTheme="majorHAnsi"/>
          <w:b/>
          <w:sz w:val="18"/>
          <w:szCs w:val="20"/>
          <w:lang w:val="es-ES_tradnl"/>
        </w:rPr>
        <w:t>151</w:t>
      </w:r>
      <w:r w:rsidRPr="005036C5">
        <w:rPr>
          <w:rFonts w:asciiTheme="majorHAnsi" w:hAnsiTheme="majorHAnsi"/>
          <w:b/>
          <w:sz w:val="18"/>
          <w:szCs w:val="20"/>
          <w:lang w:val="es-ES_tradnl"/>
        </w:rPr>
        <w:t>/1</w:t>
      </w:r>
      <w:r w:rsidR="00684D15" w:rsidRPr="005036C5">
        <w:rPr>
          <w:rFonts w:asciiTheme="majorHAnsi" w:hAnsiTheme="majorHAnsi"/>
          <w:b/>
          <w:sz w:val="18"/>
          <w:szCs w:val="20"/>
          <w:lang w:val="es-ES_tradnl"/>
        </w:rPr>
        <w:t>7</w:t>
      </w:r>
      <w:r w:rsidR="000337EF" w:rsidRPr="005036C5">
        <w:rPr>
          <w:rStyle w:val="FootnoteReference"/>
          <w:rFonts w:asciiTheme="majorHAnsi" w:hAnsiTheme="majorHAnsi"/>
          <w:b/>
          <w:sz w:val="18"/>
          <w:szCs w:val="20"/>
          <w:lang w:val="es-ES_tradnl"/>
        </w:rPr>
        <w:footnoteReference w:id="2"/>
      </w:r>
    </w:p>
    <w:p w14:paraId="3AB78A5E" w14:textId="7C41D022" w:rsidR="00722C9F" w:rsidRPr="005036C5" w:rsidRDefault="00722C9F" w:rsidP="00722C9F">
      <w:pPr>
        <w:tabs>
          <w:tab w:val="center" w:pos="5400"/>
        </w:tabs>
        <w:suppressAutoHyphens/>
        <w:spacing w:line="276" w:lineRule="auto"/>
        <w:jc w:val="center"/>
        <w:rPr>
          <w:rFonts w:asciiTheme="majorHAnsi" w:hAnsiTheme="majorHAnsi"/>
          <w:b/>
          <w:sz w:val="18"/>
          <w:szCs w:val="20"/>
          <w:lang w:val="es-ES_tradnl"/>
        </w:rPr>
      </w:pPr>
      <w:r w:rsidRPr="005036C5">
        <w:rPr>
          <w:rFonts w:asciiTheme="majorHAnsi" w:hAnsiTheme="majorHAnsi"/>
          <w:b/>
          <w:sz w:val="18"/>
          <w:szCs w:val="20"/>
          <w:lang w:val="es-ES_tradnl"/>
        </w:rPr>
        <w:t xml:space="preserve">PETICIÓN </w:t>
      </w:r>
      <w:r w:rsidR="00DC6E23" w:rsidRPr="005036C5">
        <w:rPr>
          <w:rFonts w:asciiTheme="majorHAnsi" w:hAnsiTheme="majorHAnsi"/>
          <w:b/>
          <w:sz w:val="18"/>
          <w:szCs w:val="20"/>
          <w:lang w:val="es-ES_tradnl"/>
        </w:rPr>
        <w:t>1474-07</w:t>
      </w:r>
      <w:r w:rsidRPr="005036C5">
        <w:rPr>
          <w:rFonts w:asciiTheme="majorHAnsi" w:hAnsiTheme="majorHAnsi"/>
          <w:b/>
          <w:sz w:val="18"/>
          <w:szCs w:val="20"/>
          <w:lang w:val="es-ES_tradnl"/>
        </w:rPr>
        <w:t xml:space="preserve"> </w:t>
      </w:r>
    </w:p>
    <w:p w14:paraId="2E441882" w14:textId="03DAB55F" w:rsidR="00722C9F" w:rsidRPr="005036C5" w:rsidRDefault="00722C9F" w:rsidP="00722C9F">
      <w:pPr>
        <w:tabs>
          <w:tab w:val="center" w:pos="5400"/>
        </w:tabs>
        <w:suppressAutoHyphens/>
        <w:spacing w:line="276" w:lineRule="auto"/>
        <w:jc w:val="center"/>
        <w:rPr>
          <w:rFonts w:asciiTheme="majorHAnsi" w:hAnsiTheme="majorHAnsi"/>
          <w:sz w:val="18"/>
          <w:szCs w:val="20"/>
          <w:lang w:val="es-ES_tradnl"/>
        </w:rPr>
      </w:pPr>
      <w:r w:rsidRPr="005036C5">
        <w:rPr>
          <w:rFonts w:asciiTheme="majorHAnsi" w:hAnsiTheme="majorHAnsi"/>
          <w:sz w:val="18"/>
          <w:szCs w:val="20"/>
          <w:lang w:val="es-ES_tradnl"/>
        </w:rPr>
        <w:t xml:space="preserve">INFORME DE </w:t>
      </w:r>
      <w:r w:rsidR="005A24ED" w:rsidRPr="005036C5">
        <w:rPr>
          <w:rFonts w:asciiTheme="majorHAnsi" w:hAnsiTheme="majorHAnsi"/>
          <w:sz w:val="18"/>
          <w:szCs w:val="20"/>
          <w:lang w:val="es-ES_tradnl"/>
        </w:rPr>
        <w:t xml:space="preserve">INADMISIBILIDAD </w:t>
      </w:r>
    </w:p>
    <w:p w14:paraId="67365BDB" w14:textId="77777777" w:rsidR="00DC6E23" w:rsidRPr="005036C5" w:rsidRDefault="00DC6E23" w:rsidP="00DC6E23">
      <w:pPr>
        <w:tabs>
          <w:tab w:val="center" w:pos="5400"/>
        </w:tabs>
        <w:suppressAutoHyphens/>
        <w:spacing w:line="276" w:lineRule="auto"/>
        <w:jc w:val="center"/>
        <w:rPr>
          <w:rFonts w:asciiTheme="majorHAnsi" w:hAnsiTheme="majorHAnsi"/>
          <w:sz w:val="18"/>
          <w:szCs w:val="20"/>
          <w:lang w:val="es-ES_tradnl"/>
        </w:rPr>
      </w:pPr>
      <w:r w:rsidRPr="005036C5">
        <w:rPr>
          <w:rFonts w:asciiTheme="majorHAnsi" w:hAnsiTheme="majorHAnsi"/>
          <w:sz w:val="18"/>
          <w:szCs w:val="20"/>
          <w:lang w:val="es-ES_tradnl"/>
        </w:rPr>
        <w:t>FELICIDAD FLORES SOLÓRZANO</w:t>
      </w:r>
    </w:p>
    <w:p w14:paraId="2B6EC8A3" w14:textId="77777777" w:rsidR="00DC6E23" w:rsidRPr="005036C5" w:rsidRDefault="00DC6E23" w:rsidP="00DC6E23">
      <w:pPr>
        <w:tabs>
          <w:tab w:val="center" w:pos="5400"/>
        </w:tabs>
        <w:suppressAutoHyphens/>
        <w:spacing w:line="276" w:lineRule="auto"/>
        <w:jc w:val="center"/>
        <w:rPr>
          <w:rFonts w:asciiTheme="majorHAnsi" w:hAnsiTheme="majorHAnsi"/>
          <w:sz w:val="18"/>
          <w:szCs w:val="20"/>
          <w:lang w:val="es-ES"/>
        </w:rPr>
      </w:pPr>
      <w:r w:rsidRPr="005036C5">
        <w:rPr>
          <w:rFonts w:asciiTheme="majorHAnsi" w:hAnsiTheme="majorHAnsi"/>
          <w:sz w:val="18"/>
          <w:szCs w:val="20"/>
          <w:lang w:val="es-ES"/>
        </w:rPr>
        <w:t>MÉXICO</w:t>
      </w:r>
    </w:p>
    <w:p w14:paraId="5413D427" w14:textId="7EC6E271" w:rsidR="00DC6E23" w:rsidRPr="00357364" w:rsidRDefault="00472597" w:rsidP="00DC6E23">
      <w:pPr>
        <w:tabs>
          <w:tab w:val="center" w:pos="5400"/>
        </w:tabs>
        <w:suppressAutoHyphens/>
        <w:spacing w:line="276" w:lineRule="auto"/>
        <w:jc w:val="center"/>
        <w:rPr>
          <w:rFonts w:asciiTheme="majorHAnsi" w:hAnsiTheme="majorHAnsi"/>
          <w:sz w:val="18"/>
          <w:szCs w:val="20"/>
          <w:lang w:val="es-ES"/>
        </w:rPr>
      </w:pPr>
      <w:r w:rsidRPr="00357364">
        <w:rPr>
          <w:rFonts w:asciiTheme="majorHAnsi" w:hAnsiTheme="majorHAnsi"/>
          <w:sz w:val="18"/>
          <w:szCs w:val="20"/>
          <w:lang w:val="es-ES"/>
        </w:rPr>
        <w:t>26 DE OCTUBRE DE 2017</w:t>
      </w:r>
    </w:p>
    <w:p w14:paraId="7888E95F" w14:textId="77777777" w:rsidR="0070697F" w:rsidRPr="005036C5"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5036C5" w:rsidRDefault="003239B8" w:rsidP="003239B8">
      <w:pPr>
        <w:spacing w:after="240"/>
        <w:ind w:firstLine="720"/>
        <w:jc w:val="both"/>
        <w:rPr>
          <w:rFonts w:asciiTheme="majorHAnsi" w:hAnsiTheme="majorHAnsi"/>
          <w:b/>
          <w:bCs/>
          <w:sz w:val="20"/>
          <w:szCs w:val="20"/>
          <w:lang w:val="es-ES"/>
        </w:rPr>
      </w:pPr>
      <w:r w:rsidRPr="005036C5">
        <w:rPr>
          <w:rFonts w:asciiTheme="majorHAnsi" w:hAnsiTheme="majorHAnsi"/>
          <w:b/>
          <w:bCs/>
          <w:sz w:val="20"/>
          <w:szCs w:val="20"/>
          <w:lang w:val="es-ES"/>
        </w:rPr>
        <w:t>I.</w:t>
      </w:r>
      <w:r w:rsidRPr="005036C5">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C2425" w14:paraId="5A79D1F7" w14:textId="77777777" w:rsidTr="000A6082">
        <w:tc>
          <w:tcPr>
            <w:tcW w:w="4680" w:type="dxa"/>
            <w:tcBorders>
              <w:top w:val="single" w:sz="4" w:space="0" w:color="auto"/>
              <w:bottom w:val="single" w:sz="6" w:space="0" w:color="auto"/>
            </w:tcBorders>
            <w:shd w:val="clear" w:color="auto" w:fill="386294"/>
            <w:vAlign w:val="center"/>
          </w:tcPr>
          <w:p w14:paraId="0CB2A43B" w14:textId="77777777" w:rsidR="003239B8" w:rsidRPr="005036C5" w:rsidRDefault="003239B8" w:rsidP="000A6082">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Parte peticionaria:</w:t>
            </w:r>
          </w:p>
        </w:tc>
        <w:tc>
          <w:tcPr>
            <w:tcW w:w="4680" w:type="dxa"/>
            <w:vAlign w:val="center"/>
          </w:tcPr>
          <w:p w14:paraId="3C5315D8" w14:textId="2F722757" w:rsidR="003239B8" w:rsidRPr="005036C5" w:rsidRDefault="00DC6E23" w:rsidP="000A6082">
            <w:pPr>
              <w:jc w:val="both"/>
              <w:rPr>
                <w:rFonts w:asciiTheme="majorHAnsi" w:hAnsiTheme="majorHAnsi"/>
                <w:bCs/>
                <w:sz w:val="20"/>
                <w:szCs w:val="20"/>
                <w:lang w:val="es-ES"/>
              </w:rPr>
            </w:pPr>
            <w:r w:rsidRPr="005036C5">
              <w:rPr>
                <w:rFonts w:asciiTheme="majorHAnsi" w:hAnsiTheme="majorHAnsi" w:cs="GillSansMT"/>
                <w:sz w:val="20"/>
                <w:szCs w:val="20"/>
                <w:lang w:val="es-ES" w:eastAsia="es-ES"/>
              </w:rPr>
              <w:t>Centro de Derechos Humanos Fray Jacobo Daciano y otros</w:t>
            </w:r>
            <w:r w:rsidR="00843744" w:rsidRPr="005036C5">
              <w:rPr>
                <w:rStyle w:val="FootnoteReference"/>
                <w:rFonts w:asciiTheme="majorHAnsi" w:hAnsiTheme="majorHAnsi" w:cs="GillSansMT"/>
                <w:sz w:val="20"/>
                <w:szCs w:val="20"/>
                <w:lang w:val="es-ES" w:eastAsia="es-ES"/>
              </w:rPr>
              <w:footnoteReference w:id="3"/>
            </w:r>
          </w:p>
        </w:tc>
      </w:tr>
      <w:tr w:rsidR="003239B8" w:rsidRPr="005036C5" w14:paraId="593A7E45" w14:textId="77777777" w:rsidTr="000A6082">
        <w:tc>
          <w:tcPr>
            <w:tcW w:w="4680" w:type="dxa"/>
            <w:tcBorders>
              <w:top w:val="single" w:sz="6" w:space="0" w:color="auto"/>
              <w:bottom w:val="single" w:sz="6" w:space="0" w:color="auto"/>
            </w:tcBorders>
            <w:shd w:val="clear" w:color="auto" w:fill="386294"/>
            <w:vAlign w:val="center"/>
          </w:tcPr>
          <w:p w14:paraId="0E78CA0C" w14:textId="77777777" w:rsidR="003239B8" w:rsidRPr="005036C5" w:rsidRDefault="001421C0" w:rsidP="000A608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036C5">
                  <w:rPr>
                    <w:rFonts w:ascii="Cambria" w:hAnsi="Cambria"/>
                    <w:b/>
                    <w:bCs/>
                    <w:color w:val="FFFFFF" w:themeColor="background1"/>
                    <w:sz w:val="20"/>
                    <w:szCs w:val="20"/>
                  </w:rPr>
                  <w:t>Presunta víctima</w:t>
                </w:r>
              </w:sdtContent>
            </w:sdt>
            <w:r w:rsidR="003239B8" w:rsidRPr="005036C5">
              <w:rPr>
                <w:rFonts w:ascii="Cambria" w:hAnsi="Cambria"/>
                <w:b/>
                <w:bCs/>
                <w:color w:val="FFFFFF" w:themeColor="background1"/>
                <w:sz w:val="20"/>
                <w:szCs w:val="20"/>
              </w:rPr>
              <w:t>:</w:t>
            </w:r>
          </w:p>
        </w:tc>
        <w:tc>
          <w:tcPr>
            <w:tcW w:w="4680" w:type="dxa"/>
            <w:vAlign w:val="center"/>
          </w:tcPr>
          <w:p w14:paraId="4AEBF59E" w14:textId="1DD95E15" w:rsidR="003239B8" w:rsidRPr="005036C5" w:rsidRDefault="00DC6E23" w:rsidP="000A6082">
            <w:pPr>
              <w:jc w:val="both"/>
              <w:rPr>
                <w:rFonts w:ascii="Cambria" w:hAnsi="Cambria"/>
                <w:bCs/>
                <w:sz w:val="20"/>
                <w:szCs w:val="20"/>
                <w:lang w:val="es-ES"/>
              </w:rPr>
            </w:pPr>
            <w:r w:rsidRPr="005036C5">
              <w:rPr>
                <w:rFonts w:asciiTheme="majorHAnsi" w:hAnsiTheme="majorHAnsi"/>
                <w:sz w:val="20"/>
                <w:szCs w:val="20"/>
                <w:lang w:val="es-ES"/>
              </w:rPr>
              <w:t>Felicidad Flores Solórzano</w:t>
            </w:r>
          </w:p>
        </w:tc>
      </w:tr>
      <w:tr w:rsidR="003239B8" w:rsidRPr="005036C5" w14:paraId="3E62E1D3" w14:textId="77777777" w:rsidTr="000A6082">
        <w:tc>
          <w:tcPr>
            <w:tcW w:w="4680" w:type="dxa"/>
            <w:tcBorders>
              <w:top w:val="single" w:sz="6" w:space="0" w:color="auto"/>
              <w:bottom w:val="single" w:sz="6" w:space="0" w:color="auto"/>
            </w:tcBorders>
            <w:shd w:val="clear" w:color="auto" w:fill="386294"/>
            <w:vAlign w:val="center"/>
          </w:tcPr>
          <w:p w14:paraId="340B0F09" w14:textId="77777777" w:rsidR="003239B8" w:rsidRPr="005036C5" w:rsidRDefault="003239B8" w:rsidP="000A6082">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Estado denunciado:</w:t>
            </w:r>
          </w:p>
        </w:tc>
        <w:tc>
          <w:tcPr>
            <w:tcW w:w="4680" w:type="dxa"/>
            <w:vAlign w:val="center"/>
          </w:tcPr>
          <w:p w14:paraId="274C8A50" w14:textId="597AB98D" w:rsidR="003239B8" w:rsidRPr="005036C5" w:rsidRDefault="00DC6E23" w:rsidP="000A6082">
            <w:pPr>
              <w:jc w:val="both"/>
              <w:rPr>
                <w:rFonts w:ascii="Cambria" w:hAnsi="Cambria"/>
                <w:bCs/>
                <w:sz w:val="20"/>
                <w:szCs w:val="20"/>
              </w:rPr>
            </w:pPr>
            <w:r w:rsidRPr="005036C5">
              <w:rPr>
                <w:rFonts w:ascii="Cambria" w:hAnsi="Cambria"/>
                <w:bCs/>
                <w:sz w:val="20"/>
                <w:szCs w:val="20"/>
              </w:rPr>
              <w:t>México</w:t>
            </w:r>
          </w:p>
        </w:tc>
      </w:tr>
      <w:tr w:rsidR="00223A29" w:rsidRPr="007C2425" w14:paraId="632511BC" w14:textId="77777777" w:rsidTr="000A6082">
        <w:tc>
          <w:tcPr>
            <w:tcW w:w="4680" w:type="dxa"/>
            <w:tcBorders>
              <w:top w:val="single" w:sz="6" w:space="0" w:color="auto"/>
              <w:bottom w:val="single" w:sz="6" w:space="0" w:color="auto"/>
            </w:tcBorders>
            <w:shd w:val="clear" w:color="auto" w:fill="386294"/>
            <w:vAlign w:val="center"/>
          </w:tcPr>
          <w:p w14:paraId="727E2F6B" w14:textId="60AEE329" w:rsidR="00223A29" w:rsidRPr="005036C5" w:rsidRDefault="001B3A00" w:rsidP="00E4118C">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 xml:space="preserve">Derechos </w:t>
            </w:r>
            <w:r w:rsidR="00E4118C" w:rsidRPr="005036C5">
              <w:rPr>
                <w:rFonts w:ascii="Cambria" w:hAnsi="Cambria"/>
                <w:b/>
                <w:bCs/>
                <w:color w:val="FFFFFF" w:themeColor="background1"/>
                <w:sz w:val="20"/>
                <w:szCs w:val="20"/>
              </w:rPr>
              <w:t>invocados</w:t>
            </w:r>
            <w:r w:rsidRPr="005036C5">
              <w:rPr>
                <w:rFonts w:ascii="Cambria" w:hAnsi="Cambria"/>
                <w:b/>
                <w:bCs/>
                <w:color w:val="FFFFFF" w:themeColor="background1"/>
                <w:sz w:val="20"/>
                <w:szCs w:val="20"/>
              </w:rPr>
              <w:t>:</w:t>
            </w:r>
          </w:p>
        </w:tc>
        <w:tc>
          <w:tcPr>
            <w:tcW w:w="4680" w:type="dxa"/>
            <w:vAlign w:val="center"/>
          </w:tcPr>
          <w:p w14:paraId="6DEE1EEB" w14:textId="383860DE" w:rsidR="00223A29" w:rsidRPr="005036C5" w:rsidRDefault="006C22C6" w:rsidP="00B27BF3">
            <w:pPr>
              <w:jc w:val="both"/>
              <w:rPr>
                <w:rFonts w:asciiTheme="majorHAnsi" w:hAnsiTheme="majorHAnsi"/>
                <w:bCs/>
                <w:sz w:val="20"/>
                <w:szCs w:val="20"/>
                <w:lang w:val="es-ES"/>
              </w:rPr>
            </w:pPr>
            <w:r w:rsidRPr="005036C5">
              <w:rPr>
                <w:rFonts w:asciiTheme="majorHAnsi" w:hAnsiTheme="majorHAnsi" w:cs="Arial"/>
                <w:sz w:val="20"/>
                <w:szCs w:val="20"/>
                <w:lang w:val="es-ES"/>
              </w:rPr>
              <w:t>A</w:t>
            </w:r>
            <w:r w:rsidR="00843744" w:rsidRPr="005036C5">
              <w:rPr>
                <w:rFonts w:asciiTheme="majorHAnsi" w:hAnsiTheme="majorHAnsi" w:cs="Arial"/>
                <w:sz w:val="20"/>
                <w:szCs w:val="20"/>
                <w:lang w:val="es-ES"/>
              </w:rPr>
              <w:t>rtículos 1.1</w:t>
            </w:r>
            <w:r w:rsidR="009D7E3C" w:rsidRPr="005036C5">
              <w:rPr>
                <w:rFonts w:asciiTheme="majorHAnsi" w:hAnsiTheme="majorHAnsi" w:cs="Arial"/>
                <w:sz w:val="20"/>
                <w:szCs w:val="20"/>
                <w:lang w:val="es-ES"/>
              </w:rPr>
              <w:t xml:space="preserve"> (obligación de respetar los derechos)</w:t>
            </w:r>
            <w:r w:rsidR="00843744" w:rsidRPr="005036C5">
              <w:rPr>
                <w:rFonts w:asciiTheme="majorHAnsi" w:hAnsiTheme="majorHAnsi" w:cs="Arial"/>
                <w:sz w:val="20"/>
                <w:szCs w:val="20"/>
                <w:lang w:val="es-ES"/>
              </w:rPr>
              <w:t>, 2</w:t>
            </w:r>
            <w:r w:rsidR="009D7E3C" w:rsidRPr="005036C5">
              <w:rPr>
                <w:rFonts w:asciiTheme="majorHAnsi" w:hAnsiTheme="majorHAnsi" w:cs="Arial"/>
                <w:sz w:val="20"/>
                <w:szCs w:val="20"/>
                <w:lang w:val="es-ES"/>
              </w:rPr>
              <w:t xml:space="preserve"> (</w:t>
            </w:r>
            <w:r w:rsidR="001902BB" w:rsidRPr="005036C5">
              <w:rPr>
                <w:rFonts w:asciiTheme="majorHAnsi" w:hAnsiTheme="majorHAnsi" w:cs="Tahoma"/>
                <w:bCs/>
                <w:sz w:val="20"/>
                <w:szCs w:val="20"/>
                <w:lang w:val="es-ES"/>
              </w:rPr>
              <w:t>d</w:t>
            </w:r>
            <w:r w:rsidR="009D7E3C" w:rsidRPr="005036C5">
              <w:rPr>
                <w:rFonts w:asciiTheme="majorHAnsi" w:hAnsiTheme="majorHAnsi" w:cs="Tahoma"/>
                <w:bCs/>
                <w:sz w:val="20"/>
                <w:szCs w:val="20"/>
                <w:lang w:val="es-ES"/>
              </w:rPr>
              <w:t xml:space="preserve">eber de </w:t>
            </w:r>
            <w:r w:rsidR="001902BB" w:rsidRPr="005036C5">
              <w:rPr>
                <w:rFonts w:asciiTheme="majorHAnsi" w:hAnsiTheme="majorHAnsi" w:cs="Tahoma"/>
                <w:bCs/>
                <w:sz w:val="20"/>
                <w:szCs w:val="20"/>
                <w:lang w:val="es-ES"/>
              </w:rPr>
              <w:t>adoptar d</w:t>
            </w:r>
            <w:r w:rsidR="009D7E3C" w:rsidRPr="005036C5">
              <w:rPr>
                <w:rFonts w:asciiTheme="majorHAnsi" w:hAnsiTheme="majorHAnsi" w:cs="Tahoma"/>
                <w:bCs/>
                <w:sz w:val="20"/>
                <w:szCs w:val="20"/>
                <w:lang w:val="es-ES"/>
              </w:rPr>
              <w:t xml:space="preserve">isposiciones de </w:t>
            </w:r>
            <w:r w:rsidR="001902BB" w:rsidRPr="005036C5">
              <w:rPr>
                <w:rFonts w:asciiTheme="majorHAnsi" w:hAnsiTheme="majorHAnsi" w:cs="Tahoma"/>
                <w:bCs/>
                <w:sz w:val="20"/>
                <w:szCs w:val="20"/>
                <w:lang w:val="es-ES"/>
              </w:rPr>
              <w:t>derecho i</w:t>
            </w:r>
            <w:r w:rsidR="009D7E3C" w:rsidRPr="005036C5">
              <w:rPr>
                <w:rFonts w:asciiTheme="majorHAnsi" w:hAnsiTheme="majorHAnsi" w:cs="Tahoma"/>
                <w:bCs/>
                <w:sz w:val="20"/>
                <w:szCs w:val="20"/>
                <w:lang w:val="es-ES"/>
              </w:rPr>
              <w:t>nterno)</w:t>
            </w:r>
            <w:r w:rsidR="00843744" w:rsidRPr="005036C5">
              <w:rPr>
                <w:rFonts w:asciiTheme="majorHAnsi" w:hAnsiTheme="majorHAnsi" w:cs="Arial"/>
                <w:sz w:val="20"/>
                <w:szCs w:val="20"/>
                <w:lang w:val="es-ES"/>
              </w:rPr>
              <w:t>, 8</w:t>
            </w:r>
            <w:r w:rsidR="009D7E3C" w:rsidRPr="005036C5">
              <w:rPr>
                <w:rFonts w:asciiTheme="majorHAnsi" w:hAnsiTheme="majorHAnsi" w:cs="Arial"/>
                <w:sz w:val="20"/>
                <w:szCs w:val="20"/>
                <w:lang w:val="es-ES"/>
              </w:rPr>
              <w:t xml:space="preserve"> (</w:t>
            </w:r>
            <w:r w:rsidR="001902BB" w:rsidRPr="005036C5">
              <w:rPr>
                <w:rFonts w:asciiTheme="majorHAnsi" w:hAnsiTheme="majorHAnsi" w:cs="Tahoma"/>
                <w:bCs/>
                <w:sz w:val="20"/>
                <w:szCs w:val="20"/>
                <w:lang w:val="es-ES"/>
              </w:rPr>
              <w:t>g</w:t>
            </w:r>
            <w:r w:rsidR="009D7E3C" w:rsidRPr="005036C5">
              <w:rPr>
                <w:rFonts w:asciiTheme="majorHAnsi" w:hAnsiTheme="majorHAnsi" w:cs="Tahoma"/>
                <w:bCs/>
                <w:sz w:val="20"/>
                <w:szCs w:val="20"/>
                <w:lang w:val="es-ES"/>
              </w:rPr>
              <w:t xml:space="preserve">arantías </w:t>
            </w:r>
            <w:r w:rsidR="001902BB" w:rsidRPr="005036C5">
              <w:rPr>
                <w:rFonts w:asciiTheme="majorHAnsi" w:hAnsiTheme="majorHAnsi" w:cs="Tahoma"/>
                <w:bCs/>
                <w:sz w:val="20"/>
                <w:szCs w:val="20"/>
                <w:lang w:val="es-ES"/>
              </w:rPr>
              <w:t>j</w:t>
            </w:r>
            <w:r w:rsidR="009D7E3C" w:rsidRPr="005036C5">
              <w:rPr>
                <w:rFonts w:asciiTheme="majorHAnsi" w:hAnsiTheme="majorHAnsi" w:cs="Tahoma"/>
                <w:bCs/>
                <w:sz w:val="20"/>
                <w:szCs w:val="20"/>
                <w:lang w:val="es-ES"/>
              </w:rPr>
              <w:t>udiciales)</w:t>
            </w:r>
            <w:r w:rsidR="00843744" w:rsidRPr="005036C5">
              <w:rPr>
                <w:rFonts w:asciiTheme="majorHAnsi" w:hAnsiTheme="majorHAnsi" w:cs="Arial"/>
                <w:sz w:val="20"/>
                <w:szCs w:val="20"/>
                <w:lang w:val="es-ES"/>
              </w:rPr>
              <w:t>, 16</w:t>
            </w:r>
            <w:r w:rsidR="009D7E3C" w:rsidRPr="005036C5">
              <w:rPr>
                <w:rFonts w:asciiTheme="majorHAnsi" w:hAnsiTheme="majorHAnsi" w:cs="Arial"/>
                <w:sz w:val="20"/>
                <w:szCs w:val="20"/>
                <w:lang w:val="es-ES"/>
              </w:rPr>
              <w:t xml:space="preserve"> (</w:t>
            </w:r>
            <w:r w:rsidR="001902BB" w:rsidRPr="005036C5">
              <w:rPr>
                <w:rFonts w:asciiTheme="majorHAnsi" w:hAnsiTheme="majorHAnsi" w:cs="Arial"/>
                <w:sz w:val="20"/>
                <w:szCs w:val="20"/>
                <w:lang w:val="es-ES"/>
              </w:rPr>
              <w:t>l</w:t>
            </w:r>
            <w:r w:rsidR="009D7E3C" w:rsidRPr="005036C5">
              <w:rPr>
                <w:rFonts w:asciiTheme="majorHAnsi" w:hAnsiTheme="majorHAnsi" w:cs="Tahoma"/>
                <w:bCs/>
                <w:sz w:val="20"/>
                <w:szCs w:val="20"/>
                <w:lang w:val="es-ES"/>
              </w:rPr>
              <w:t xml:space="preserve">ibertad de </w:t>
            </w:r>
            <w:r w:rsidR="001902BB" w:rsidRPr="005036C5">
              <w:rPr>
                <w:rFonts w:asciiTheme="majorHAnsi" w:hAnsiTheme="majorHAnsi" w:cs="Tahoma"/>
                <w:bCs/>
                <w:sz w:val="20"/>
                <w:szCs w:val="20"/>
                <w:lang w:val="es-ES"/>
              </w:rPr>
              <w:t>a</w:t>
            </w:r>
            <w:r w:rsidR="009D7E3C" w:rsidRPr="005036C5">
              <w:rPr>
                <w:rFonts w:asciiTheme="majorHAnsi" w:hAnsiTheme="majorHAnsi" w:cs="Tahoma"/>
                <w:bCs/>
                <w:sz w:val="20"/>
                <w:szCs w:val="20"/>
                <w:lang w:val="es-ES"/>
              </w:rPr>
              <w:t>sociación)</w:t>
            </w:r>
            <w:r w:rsidR="00843744" w:rsidRPr="005036C5">
              <w:rPr>
                <w:rFonts w:asciiTheme="majorHAnsi" w:hAnsiTheme="majorHAnsi" w:cs="Arial"/>
                <w:sz w:val="20"/>
                <w:szCs w:val="20"/>
                <w:lang w:val="es-ES"/>
              </w:rPr>
              <w:t>, 24</w:t>
            </w:r>
            <w:r w:rsidR="009D7E3C" w:rsidRPr="005036C5">
              <w:rPr>
                <w:rFonts w:asciiTheme="majorHAnsi" w:hAnsiTheme="majorHAnsi" w:cs="Arial"/>
                <w:sz w:val="20"/>
                <w:szCs w:val="20"/>
                <w:lang w:val="es-ES"/>
              </w:rPr>
              <w:t xml:space="preserve"> (</w:t>
            </w:r>
            <w:r w:rsidR="001902BB" w:rsidRPr="005036C5">
              <w:rPr>
                <w:rFonts w:asciiTheme="majorHAnsi" w:hAnsiTheme="majorHAnsi" w:cs="Arial"/>
                <w:sz w:val="20"/>
                <w:szCs w:val="20"/>
                <w:lang w:val="es-ES"/>
              </w:rPr>
              <w:t>i</w:t>
            </w:r>
            <w:r w:rsidR="001902BB" w:rsidRPr="005036C5">
              <w:rPr>
                <w:rFonts w:asciiTheme="majorHAnsi" w:hAnsiTheme="majorHAnsi" w:cs="Tahoma"/>
                <w:bCs/>
                <w:sz w:val="20"/>
                <w:szCs w:val="20"/>
                <w:lang w:val="es-ES"/>
              </w:rPr>
              <w:t>gualdad ante la l</w:t>
            </w:r>
            <w:r w:rsidR="009D7E3C" w:rsidRPr="005036C5">
              <w:rPr>
                <w:rFonts w:asciiTheme="majorHAnsi" w:hAnsiTheme="majorHAnsi" w:cs="Tahoma"/>
                <w:bCs/>
                <w:sz w:val="20"/>
                <w:szCs w:val="20"/>
                <w:lang w:val="es-ES"/>
              </w:rPr>
              <w:t>ey)</w:t>
            </w:r>
            <w:r w:rsidR="00843744" w:rsidRPr="005036C5">
              <w:rPr>
                <w:rFonts w:asciiTheme="majorHAnsi" w:hAnsiTheme="majorHAnsi" w:cs="Arial"/>
                <w:sz w:val="20"/>
                <w:szCs w:val="20"/>
                <w:lang w:val="es-ES"/>
              </w:rPr>
              <w:t xml:space="preserve"> y 25 </w:t>
            </w:r>
            <w:r w:rsidR="009D7E3C" w:rsidRPr="005036C5">
              <w:rPr>
                <w:rFonts w:asciiTheme="majorHAnsi" w:hAnsiTheme="majorHAnsi" w:cs="Arial"/>
                <w:sz w:val="20"/>
                <w:szCs w:val="20"/>
                <w:lang w:val="es-ES"/>
              </w:rPr>
              <w:t>(</w:t>
            </w:r>
            <w:r w:rsidR="00C01CE8" w:rsidRPr="005036C5">
              <w:rPr>
                <w:rFonts w:asciiTheme="majorHAnsi" w:hAnsiTheme="majorHAnsi" w:cs="Arial"/>
                <w:sz w:val="20"/>
                <w:szCs w:val="20"/>
                <w:lang w:val="es-ES"/>
              </w:rPr>
              <w:t>p</w:t>
            </w:r>
            <w:r w:rsidR="009D7E3C" w:rsidRPr="005036C5">
              <w:rPr>
                <w:rFonts w:asciiTheme="majorHAnsi" w:hAnsiTheme="majorHAnsi" w:cs="Tahoma"/>
                <w:bCs/>
                <w:sz w:val="20"/>
                <w:szCs w:val="20"/>
                <w:lang w:val="es-ES"/>
              </w:rPr>
              <w:t xml:space="preserve">rotección </w:t>
            </w:r>
            <w:r w:rsidR="00C01CE8" w:rsidRPr="005036C5">
              <w:rPr>
                <w:rFonts w:asciiTheme="majorHAnsi" w:hAnsiTheme="majorHAnsi" w:cs="Tahoma"/>
                <w:bCs/>
                <w:sz w:val="20"/>
                <w:szCs w:val="20"/>
                <w:lang w:val="es-ES"/>
              </w:rPr>
              <w:t>j</w:t>
            </w:r>
            <w:r w:rsidR="009D7E3C" w:rsidRPr="005036C5">
              <w:rPr>
                <w:rFonts w:asciiTheme="majorHAnsi" w:hAnsiTheme="majorHAnsi" w:cs="Tahoma"/>
                <w:bCs/>
                <w:sz w:val="20"/>
                <w:szCs w:val="20"/>
                <w:lang w:val="es-ES"/>
              </w:rPr>
              <w:t xml:space="preserve">udicial) </w:t>
            </w:r>
            <w:r w:rsidR="00843744" w:rsidRPr="005036C5">
              <w:rPr>
                <w:rFonts w:asciiTheme="majorHAnsi" w:hAnsiTheme="majorHAnsi" w:cs="Arial"/>
                <w:sz w:val="20"/>
                <w:szCs w:val="20"/>
                <w:lang w:val="es-ES"/>
              </w:rPr>
              <w:t xml:space="preserve">de la </w:t>
            </w:r>
            <w:r w:rsidR="00843744" w:rsidRPr="005036C5">
              <w:rPr>
                <w:rFonts w:ascii="Cambria" w:hAnsi="Cambria" w:cs="Arial"/>
                <w:sz w:val="20"/>
                <w:szCs w:val="20"/>
                <w:lang w:val="es-ES"/>
              </w:rPr>
              <w:t>Convención Americana sobre Derechos Humanos</w:t>
            </w:r>
            <w:r w:rsidR="00843744" w:rsidRPr="005036C5">
              <w:rPr>
                <w:rStyle w:val="FootnoteReference"/>
                <w:rFonts w:ascii="Cambria" w:hAnsi="Cambria" w:cs="Arial"/>
                <w:sz w:val="20"/>
                <w:szCs w:val="20"/>
                <w:lang w:val="es-ES"/>
              </w:rPr>
              <w:footnoteReference w:id="4"/>
            </w:r>
            <w:r w:rsidR="00843744" w:rsidRPr="005036C5">
              <w:rPr>
                <w:rFonts w:ascii="Cambria" w:hAnsi="Cambria" w:cs="Arial"/>
                <w:sz w:val="20"/>
                <w:szCs w:val="20"/>
                <w:lang w:val="es-ES"/>
              </w:rPr>
              <w:t>; 3</w:t>
            </w:r>
            <w:r w:rsidR="005C2A6F" w:rsidRPr="005036C5">
              <w:rPr>
                <w:rFonts w:ascii="Cambria" w:hAnsi="Cambria" w:cs="Arial"/>
                <w:sz w:val="20"/>
                <w:szCs w:val="20"/>
                <w:lang w:val="es-ES"/>
              </w:rPr>
              <w:t xml:space="preserve"> (</w:t>
            </w:r>
            <w:r w:rsidR="005C2A6F" w:rsidRPr="005036C5">
              <w:rPr>
                <w:rFonts w:ascii="Cambria" w:hAnsi="Cambria" w:cs="Tahoma"/>
                <w:bCs/>
                <w:color w:val="000000"/>
                <w:sz w:val="20"/>
                <w:szCs w:val="20"/>
                <w:lang w:val="es-ES"/>
              </w:rPr>
              <w:t xml:space="preserve">no </w:t>
            </w:r>
            <w:r w:rsidRPr="005036C5">
              <w:rPr>
                <w:rFonts w:ascii="Cambria" w:hAnsi="Cambria" w:cs="Tahoma"/>
                <w:bCs/>
                <w:color w:val="000000"/>
                <w:sz w:val="20"/>
                <w:szCs w:val="20"/>
                <w:lang w:val="es-ES"/>
              </w:rPr>
              <w:t>d</w:t>
            </w:r>
            <w:r w:rsidR="005C2A6F" w:rsidRPr="005036C5">
              <w:rPr>
                <w:rFonts w:ascii="Cambria" w:hAnsi="Cambria" w:cs="Tahoma"/>
                <w:bCs/>
                <w:color w:val="000000"/>
                <w:sz w:val="20"/>
                <w:szCs w:val="20"/>
                <w:lang w:val="es-ES"/>
              </w:rPr>
              <w:t>iscriminación)</w:t>
            </w:r>
            <w:r w:rsidR="00843744" w:rsidRPr="005036C5">
              <w:rPr>
                <w:rFonts w:ascii="Cambria" w:hAnsi="Cambria" w:cs="Arial"/>
                <w:sz w:val="20"/>
                <w:szCs w:val="20"/>
                <w:lang w:val="es-ES"/>
              </w:rPr>
              <w:t>, 6</w:t>
            </w:r>
            <w:r w:rsidR="005C2A6F" w:rsidRPr="005036C5">
              <w:rPr>
                <w:rFonts w:ascii="Cambria" w:hAnsi="Cambria" w:cs="Arial"/>
                <w:sz w:val="20"/>
                <w:szCs w:val="20"/>
                <w:lang w:val="es-ES"/>
              </w:rPr>
              <w:t xml:space="preserve"> (</w:t>
            </w:r>
            <w:r w:rsidRPr="005036C5">
              <w:rPr>
                <w:rFonts w:ascii="Cambria" w:hAnsi="Cambria" w:cs="Tahoma"/>
                <w:bCs/>
                <w:color w:val="000000"/>
                <w:sz w:val="20"/>
                <w:szCs w:val="20"/>
                <w:lang w:val="es-ES"/>
              </w:rPr>
              <w:t>t</w:t>
            </w:r>
            <w:r w:rsidR="005C2A6F" w:rsidRPr="005036C5">
              <w:rPr>
                <w:rFonts w:ascii="Cambria" w:hAnsi="Cambria" w:cs="Tahoma"/>
                <w:bCs/>
                <w:color w:val="000000"/>
                <w:sz w:val="20"/>
                <w:szCs w:val="20"/>
                <w:lang w:val="es-ES"/>
              </w:rPr>
              <w:t>rabajo)</w:t>
            </w:r>
            <w:r w:rsidR="00843744" w:rsidRPr="005036C5">
              <w:rPr>
                <w:rFonts w:ascii="Cambria" w:hAnsi="Cambria" w:cs="Arial"/>
                <w:sz w:val="20"/>
                <w:szCs w:val="20"/>
                <w:lang w:val="es-ES"/>
              </w:rPr>
              <w:t xml:space="preserve"> y 7 </w:t>
            </w:r>
            <w:r w:rsidR="005C2A6F" w:rsidRPr="005036C5">
              <w:rPr>
                <w:rFonts w:ascii="Cambria" w:hAnsi="Cambria" w:cs="Arial"/>
                <w:sz w:val="20"/>
                <w:szCs w:val="20"/>
                <w:lang w:val="es-ES"/>
              </w:rPr>
              <w:t>(</w:t>
            </w:r>
            <w:r w:rsidRPr="005036C5">
              <w:rPr>
                <w:rFonts w:ascii="Cambria" w:hAnsi="Cambria" w:cs="Tahoma"/>
                <w:bCs/>
                <w:color w:val="000000"/>
                <w:sz w:val="20"/>
                <w:szCs w:val="20"/>
                <w:lang w:val="es-ES"/>
              </w:rPr>
              <w:t>c</w:t>
            </w:r>
            <w:r w:rsidR="005C2A6F" w:rsidRPr="005036C5">
              <w:rPr>
                <w:rFonts w:ascii="Cambria" w:hAnsi="Cambria" w:cs="Tahoma"/>
                <w:bCs/>
                <w:color w:val="000000"/>
                <w:sz w:val="20"/>
                <w:szCs w:val="20"/>
                <w:lang w:val="es-ES"/>
              </w:rPr>
              <w:t xml:space="preserve">ondiciones </w:t>
            </w:r>
            <w:r w:rsidRPr="005036C5">
              <w:rPr>
                <w:rFonts w:ascii="Cambria" w:hAnsi="Cambria" w:cs="Tahoma"/>
                <w:bCs/>
                <w:color w:val="000000"/>
                <w:sz w:val="20"/>
                <w:szCs w:val="20"/>
                <w:lang w:val="es-ES"/>
              </w:rPr>
              <w:t>j</w:t>
            </w:r>
            <w:r w:rsidR="005C2A6F" w:rsidRPr="005036C5">
              <w:rPr>
                <w:rFonts w:ascii="Cambria" w:hAnsi="Cambria" w:cs="Tahoma"/>
                <w:bCs/>
                <w:color w:val="000000"/>
                <w:sz w:val="20"/>
                <w:szCs w:val="20"/>
                <w:lang w:val="es-ES"/>
              </w:rPr>
              <w:t xml:space="preserve">ustas, </w:t>
            </w:r>
            <w:r w:rsidRPr="005036C5">
              <w:rPr>
                <w:rFonts w:ascii="Cambria" w:hAnsi="Cambria" w:cs="Tahoma"/>
                <w:bCs/>
                <w:color w:val="000000"/>
                <w:sz w:val="20"/>
                <w:szCs w:val="20"/>
                <w:lang w:val="es-ES"/>
              </w:rPr>
              <w:t>e</w:t>
            </w:r>
            <w:r w:rsidR="005C2A6F" w:rsidRPr="005036C5">
              <w:rPr>
                <w:rFonts w:ascii="Cambria" w:hAnsi="Cambria" w:cs="Tahoma"/>
                <w:bCs/>
                <w:color w:val="000000"/>
                <w:sz w:val="20"/>
                <w:szCs w:val="20"/>
                <w:lang w:val="es-ES"/>
              </w:rPr>
              <w:t xml:space="preserve">quitativas y </w:t>
            </w:r>
            <w:r w:rsidRPr="005036C5">
              <w:rPr>
                <w:rFonts w:ascii="Cambria" w:hAnsi="Cambria" w:cs="Tahoma"/>
                <w:bCs/>
                <w:color w:val="000000"/>
                <w:sz w:val="20"/>
                <w:szCs w:val="20"/>
                <w:lang w:val="es-ES"/>
              </w:rPr>
              <w:t>s</w:t>
            </w:r>
            <w:r w:rsidR="005C2A6F" w:rsidRPr="005036C5">
              <w:rPr>
                <w:rFonts w:ascii="Cambria" w:hAnsi="Cambria" w:cs="Tahoma"/>
                <w:bCs/>
                <w:color w:val="000000"/>
                <w:sz w:val="20"/>
                <w:szCs w:val="20"/>
                <w:lang w:val="es-ES"/>
              </w:rPr>
              <w:t xml:space="preserve">atisfactorias de </w:t>
            </w:r>
            <w:r w:rsidRPr="005036C5">
              <w:rPr>
                <w:rFonts w:ascii="Cambria" w:hAnsi="Cambria" w:cs="Tahoma"/>
                <w:bCs/>
                <w:color w:val="000000"/>
                <w:sz w:val="20"/>
                <w:szCs w:val="20"/>
                <w:lang w:val="es-ES"/>
              </w:rPr>
              <w:t>t</w:t>
            </w:r>
            <w:r w:rsidR="005C2A6F" w:rsidRPr="005036C5">
              <w:rPr>
                <w:rFonts w:ascii="Cambria" w:hAnsi="Cambria" w:cs="Tahoma"/>
                <w:bCs/>
                <w:color w:val="000000"/>
                <w:sz w:val="20"/>
                <w:szCs w:val="20"/>
                <w:lang w:val="es-ES"/>
              </w:rPr>
              <w:t xml:space="preserve">rabajo) </w:t>
            </w:r>
            <w:r w:rsidR="00843744" w:rsidRPr="005036C5">
              <w:rPr>
                <w:rFonts w:ascii="Cambria" w:hAnsi="Cambria" w:cs="Arial"/>
                <w:sz w:val="20"/>
                <w:szCs w:val="20"/>
                <w:lang w:val="es-ES"/>
              </w:rPr>
              <w:t>del</w:t>
            </w:r>
            <w:r w:rsidR="00672A77" w:rsidRPr="005036C5">
              <w:rPr>
                <w:rFonts w:ascii="Cambria" w:hAnsi="Cambria"/>
                <w:sz w:val="20"/>
                <w:szCs w:val="20"/>
                <w:lang w:val="es-ES"/>
              </w:rPr>
              <w:t xml:space="preserve"> Protocolo Adicional a la Convención Americana en Materia de Derechos Económicos, Sociales y Culturales</w:t>
            </w:r>
            <w:r w:rsidR="00672A77" w:rsidRPr="005036C5">
              <w:rPr>
                <w:rStyle w:val="FootnoteReference"/>
                <w:rFonts w:ascii="Cambria" w:hAnsi="Cambria" w:cs="Arial"/>
                <w:sz w:val="20"/>
                <w:szCs w:val="20"/>
                <w:lang w:val="es-ES"/>
              </w:rPr>
              <w:footnoteReference w:id="5"/>
            </w:r>
            <w:r w:rsidR="00843744" w:rsidRPr="005036C5">
              <w:rPr>
                <w:rFonts w:ascii="Cambria" w:hAnsi="Cambria" w:cs="Arial"/>
                <w:sz w:val="20"/>
                <w:szCs w:val="20"/>
                <w:lang w:val="es-ES"/>
              </w:rPr>
              <w:t>; 1, 4, 5, 6 y 7 de la Convención</w:t>
            </w:r>
            <w:r w:rsidR="00672A77" w:rsidRPr="005036C5">
              <w:rPr>
                <w:rFonts w:ascii="Cambria" w:hAnsi="Cambria" w:cs="Arial"/>
                <w:sz w:val="20"/>
                <w:szCs w:val="20"/>
                <w:lang w:val="es-ES"/>
              </w:rPr>
              <w:t xml:space="preserve"> Interamericana para Prevenir, Sancionar y Erradic</w:t>
            </w:r>
            <w:r w:rsidR="005C2A6F" w:rsidRPr="005036C5">
              <w:rPr>
                <w:rFonts w:ascii="Cambria" w:hAnsi="Cambria" w:cs="Arial"/>
                <w:sz w:val="20"/>
                <w:szCs w:val="20"/>
                <w:lang w:val="es-ES"/>
              </w:rPr>
              <w:t>ar la Violencia Contra la Mujer</w:t>
            </w:r>
            <w:r w:rsidR="00672A77" w:rsidRPr="005036C5">
              <w:rPr>
                <w:rStyle w:val="FootnoteReference"/>
                <w:rFonts w:ascii="Cambria" w:hAnsi="Cambria" w:cs="Arial"/>
                <w:sz w:val="20"/>
                <w:szCs w:val="20"/>
                <w:lang w:val="es-ES"/>
              </w:rPr>
              <w:footnoteReference w:id="6"/>
            </w:r>
            <w:r w:rsidR="00843744" w:rsidRPr="005036C5">
              <w:rPr>
                <w:rFonts w:ascii="Cambria" w:hAnsi="Cambria" w:cs="Arial"/>
                <w:sz w:val="20"/>
                <w:szCs w:val="20"/>
                <w:lang w:val="es-ES"/>
              </w:rPr>
              <w:t xml:space="preserve">; y </w:t>
            </w:r>
            <w:r w:rsidR="00672A77" w:rsidRPr="005036C5">
              <w:rPr>
                <w:rFonts w:ascii="Cambria" w:hAnsi="Cambria" w:cs="Arial"/>
                <w:sz w:val="20"/>
                <w:szCs w:val="20"/>
                <w:lang w:val="es-ES"/>
              </w:rPr>
              <w:t>o</w:t>
            </w:r>
            <w:r w:rsidR="00843744" w:rsidRPr="005036C5">
              <w:rPr>
                <w:rFonts w:ascii="Cambria" w:hAnsi="Cambria" w:cs="Arial"/>
                <w:sz w:val="20"/>
                <w:szCs w:val="20"/>
                <w:lang w:val="es-ES"/>
              </w:rPr>
              <w:t>tro tratado</w:t>
            </w:r>
            <w:r w:rsidR="00672A77" w:rsidRPr="005036C5">
              <w:rPr>
                <w:rFonts w:ascii="Cambria" w:hAnsi="Cambria" w:cs="Arial"/>
                <w:sz w:val="20"/>
                <w:szCs w:val="20"/>
                <w:lang w:val="es-ES"/>
              </w:rPr>
              <w:t xml:space="preserve"> internacional</w:t>
            </w:r>
            <w:r w:rsidR="00BC633A" w:rsidRPr="005036C5">
              <w:rPr>
                <w:rStyle w:val="FootnoteReference"/>
                <w:rFonts w:ascii="Cambria" w:hAnsi="Cambria" w:cs="Arial"/>
                <w:sz w:val="20"/>
                <w:szCs w:val="20"/>
                <w:lang w:val="es-ES"/>
              </w:rPr>
              <w:footnoteReference w:id="7"/>
            </w:r>
            <w:r w:rsidR="00672A77" w:rsidRPr="005036C5">
              <w:rPr>
                <w:rFonts w:asciiTheme="majorHAnsi" w:hAnsiTheme="majorHAnsi" w:cs="Arial"/>
                <w:sz w:val="20"/>
                <w:szCs w:val="20"/>
                <w:lang w:val="es-ES"/>
              </w:rPr>
              <w:t xml:space="preserve"> </w:t>
            </w:r>
          </w:p>
        </w:tc>
      </w:tr>
    </w:tbl>
    <w:p w14:paraId="20263696" w14:textId="77777777" w:rsidR="003239B8" w:rsidRPr="005036C5" w:rsidRDefault="003239B8" w:rsidP="003239B8">
      <w:pPr>
        <w:spacing w:before="240" w:after="240"/>
        <w:ind w:firstLine="720"/>
        <w:jc w:val="both"/>
        <w:rPr>
          <w:rFonts w:asciiTheme="majorHAnsi" w:hAnsiTheme="majorHAnsi"/>
          <w:b/>
          <w:bCs/>
          <w:sz w:val="20"/>
          <w:szCs w:val="20"/>
          <w:lang w:val="es-ES"/>
        </w:rPr>
      </w:pPr>
      <w:r w:rsidRPr="005036C5">
        <w:rPr>
          <w:rFonts w:asciiTheme="majorHAnsi" w:hAnsiTheme="majorHAnsi"/>
          <w:b/>
          <w:bCs/>
          <w:sz w:val="20"/>
          <w:szCs w:val="20"/>
          <w:lang w:val="es-ES"/>
        </w:rPr>
        <w:t>II.</w:t>
      </w:r>
      <w:r w:rsidRPr="005036C5">
        <w:rPr>
          <w:rFonts w:asciiTheme="majorHAnsi" w:hAnsiTheme="majorHAnsi"/>
          <w:b/>
          <w:bCs/>
          <w:sz w:val="20"/>
          <w:szCs w:val="20"/>
          <w:lang w:val="es-ES"/>
        </w:rPr>
        <w:tab/>
        <w:t>TRÁMITE ANTE LA CIDH</w:t>
      </w:r>
      <w:r w:rsidR="008E3BFE" w:rsidRPr="005036C5">
        <w:rPr>
          <w:rStyle w:val="FootnoteReference"/>
          <w:rFonts w:ascii="Cambria" w:hAnsi="Cambria"/>
          <w:b/>
          <w:sz w:val="20"/>
          <w:szCs w:val="20"/>
        </w:rPr>
        <w:footnoteReference w:id="8"/>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5036C5" w14:paraId="306EFCB0" w14:textId="77777777" w:rsidTr="000A6082">
        <w:tc>
          <w:tcPr>
            <w:tcW w:w="4680" w:type="dxa"/>
            <w:tcBorders>
              <w:top w:val="single" w:sz="6" w:space="0" w:color="auto"/>
              <w:bottom w:val="single" w:sz="6" w:space="0" w:color="auto"/>
            </w:tcBorders>
            <w:shd w:val="clear" w:color="auto" w:fill="386294"/>
            <w:vAlign w:val="center"/>
          </w:tcPr>
          <w:p w14:paraId="7508D16F" w14:textId="77777777" w:rsidR="004C2312" w:rsidRPr="005036C5" w:rsidRDefault="004C2312" w:rsidP="000A6082">
            <w:pPr>
              <w:jc w:val="center"/>
              <w:rPr>
                <w:rFonts w:ascii="Cambria" w:hAnsi="Cambria"/>
                <w:b/>
                <w:bCs/>
                <w:color w:val="FFFFFF" w:themeColor="background1"/>
                <w:sz w:val="20"/>
                <w:szCs w:val="20"/>
                <w:lang w:val="es-ES"/>
              </w:rPr>
            </w:pPr>
            <w:r w:rsidRPr="005036C5">
              <w:rPr>
                <w:rFonts w:ascii="Cambria" w:hAnsi="Cambria"/>
                <w:b/>
                <w:bCs/>
                <w:color w:val="FFFFFF" w:themeColor="background1"/>
                <w:sz w:val="20"/>
                <w:szCs w:val="20"/>
                <w:lang w:val="es-ES"/>
              </w:rPr>
              <w:t>Fecha de presentación de la petición:</w:t>
            </w:r>
          </w:p>
        </w:tc>
        <w:tc>
          <w:tcPr>
            <w:tcW w:w="4680" w:type="dxa"/>
            <w:vAlign w:val="center"/>
          </w:tcPr>
          <w:p w14:paraId="6E579153" w14:textId="17BECC30" w:rsidR="004C2312" w:rsidRPr="005036C5" w:rsidRDefault="00DC6E23" w:rsidP="000A6082">
            <w:pPr>
              <w:jc w:val="both"/>
              <w:rPr>
                <w:rFonts w:ascii="Cambria" w:hAnsi="Cambria"/>
                <w:bCs/>
                <w:sz w:val="20"/>
                <w:szCs w:val="20"/>
                <w:lang w:val="es-ES"/>
              </w:rPr>
            </w:pPr>
            <w:r w:rsidRPr="005036C5">
              <w:rPr>
                <w:rFonts w:ascii="Cambria" w:hAnsi="Cambria"/>
                <w:bCs/>
                <w:sz w:val="20"/>
                <w:szCs w:val="20"/>
                <w:lang w:val="es-ES"/>
              </w:rPr>
              <w:t>14 de noviembre de 2007</w:t>
            </w:r>
          </w:p>
        </w:tc>
      </w:tr>
      <w:tr w:rsidR="004C2312" w:rsidRPr="005036C5" w14:paraId="1BDCD5C6" w14:textId="77777777" w:rsidTr="000A6082">
        <w:tc>
          <w:tcPr>
            <w:tcW w:w="4680" w:type="dxa"/>
            <w:tcBorders>
              <w:top w:val="single" w:sz="6" w:space="0" w:color="auto"/>
              <w:bottom w:val="single" w:sz="6" w:space="0" w:color="auto"/>
            </w:tcBorders>
            <w:shd w:val="clear" w:color="auto" w:fill="386294"/>
            <w:vAlign w:val="center"/>
          </w:tcPr>
          <w:p w14:paraId="7A18664F" w14:textId="77777777" w:rsidR="004C2312" w:rsidRPr="005036C5" w:rsidRDefault="004C2312" w:rsidP="000A6082">
            <w:pPr>
              <w:jc w:val="center"/>
              <w:rPr>
                <w:rFonts w:ascii="Cambria" w:hAnsi="Cambria"/>
                <w:b/>
                <w:bCs/>
                <w:color w:val="FFFFFF" w:themeColor="background1"/>
                <w:sz w:val="20"/>
                <w:szCs w:val="20"/>
                <w:lang w:val="es-ES"/>
              </w:rPr>
            </w:pPr>
            <w:r w:rsidRPr="005036C5">
              <w:rPr>
                <w:rFonts w:ascii="Cambria" w:hAnsi="Cambria"/>
                <w:b/>
                <w:color w:val="FFFFFF" w:themeColor="background1"/>
                <w:sz w:val="20"/>
                <w:szCs w:val="20"/>
                <w:lang w:val="es-ES"/>
              </w:rPr>
              <w:t>Fecha de notificación de la petición al Estado:</w:t>
            </w:r>
          </w:p>
        </w:tc>
        <w:tc>
          <w:tcPr>
            <w:tcW w:w="4680" w:type="dxa"/>
            <w:vAlign w:val="center"/>
          </w:tcPr>
          <w:p w14:paraId="1519DA6A" w14:textId="697ACCE0" w:rsidR="004C2312" w:rsidRPr="005036C5" w:rsidRDefault="00410C05" w:rsidP="000A6082">
            <w:pPr>
              <w:jc w:val="both"/>
              <w:rPr>
                <w:rFonts w:ascii="Cambria" w:hAnsi="Cambria"/>
                <w:bCs/>
                <w:sz w:val="20"/>
                <w:szCs w:val="20"/>
                <w:lang w:val="es-ES"/>
              </w:rPr>
            </w:pPr>
            <w:r w:rsidRPr="005036C5">
              <w:rPr>
                <w:rFonts w:ascii="Cambria" w:hAnsi="Cambria"/>
                <w:bCs/>
                <w:sz w:val="20"/>
                <w:szCs w:val="20"/>
                <w:lang w:val="es-ES"/>
              </w:rPr>
              <w:t>17 de enero de 2012</w:t>
            </w:r>
          </w:p>
        </w:tc>
      </w:tr>
      <w:tr w:rsidR="004C2312" w:rsidRPr="005036C5" w14:paraId="6147A8D5" w14:textId="77777777" w:rsidTr="000A6082">
        <w:tc>
          <w:tcPr>
            <w:tcW w:w="4680" w:type="dxa"/>
            <w:tcBorders>
              <w:top w:val="single" w:sz="6" w:space="0" w:color="auto"/>
              <w:bottom w:val="single" w:sz="6" w:space="0" w:color="auto"/>
            </w:tcBorders>
            <w:shd w:val="clear" w:color="auto" w:fill="386294"/>
            <w:vAlign w:val="center"/>
          </w:tcPr>
          <w:p w14:paraId="0201C86D" w14:textId="77777777" w:rsidR="004C2312" w:rsidRPr="005036C5" w:rsidRDefault="004C2312" w:rsidP="000A6082">
            <w:pPr>
              <w:jc w:val="center"/>
              <w:rPr>
                <w:rFonts w:ascii="Cambria" w:hAnsi="Cambria"/>
                <w:b/>
                <w:bCs/>
                <w:color w:val="FFFFFF" w:themeColor="background1"/>
                <w:sz w:val="20"/>
                <w:szCs w:val="20"/>
                <w:lang w:val="es-ES"/>
              </w:rPr>
            </w:pPr>
            <w:r w:rsidRPr="005036C5">
              <w:rPr>
                <w:rFonts w:ascii="Cambria" w:hAnsi="Cambria"/>
                <w:b/>
                <w:color w:val="FFFFFF" w:themeColor="background1"/>
                <w:sz w:val="20"/>
                <w:szCs w:val="20"/>
                <w:lang w:val="es-ES"/>
              </w:rPr>
              <w:t>Fecha de primera respuesta del Estado:</w:t>
            </w:r>
          </w:p>
        </w:tc>
        <w:tc>
          <w:tcPr>
            <w:tcW w:w="4680" w:type="dxa"/>
            <w:vAlign w:val="center"/>
          </w:tcPr>
          <w:p w14:paraId="1972B99E" w14:textId="2712A8A2" w:rsidR="004C2312" w:rsidRPr="005036C5" w:rsidRDefault="00410C05" w:rsidP="000A6082">
            <w:pPr>
              <w:jc w:val="both"/>
              <w:rPr>
                <w:rFonts w:ascii="Cambria" w:hAnsi="Cambria"/>
                <w:bCs/>
                <w:sz w:val="20"/>
                <w:szCs w:val="20"/>
                <w:lang w:val="es-ES"/>
              </w:rPr>
            </w:pPr>
            <w:r w:rsidRPr="005036C5">
              <w:rPr>
                <w:rFonts w:ascii="Cambria" w:hAnsi="Cambria"/>
                <w:bCs/>
                <w:sz w:val="20"/>
                <w:szCs w:val="20"/>
                <w:lang w:val="es-ES"/>
              </w:rPr>
              <w:t>31 de mayo de 2012</w:t>
            </w:r>
          </w:p>
        </w:tc>
      </w:tr>
      <w:tr w:rsidR="004C2312" w:rsidRPr="007C2425" w14:paraId="322668B6" w14:textId="77777777" w:rsidTr="000A6082">
        <w:tc>
          <w:tcPr>
            <w:tcW w:w="4680" w:type="dxa"/>
            <w:tcBorders>
              <w:top w:val="single" w:sz="6" w:space="0" w:color="auto"/>
              <w:bottom w:val="single" w:sz="6" w:space="0" w:color="auto"/>
            </w:tcBorders>
            <w:shd w:val="clear" w:color="auto" w:fill="386294"/>
            <w:vAlign w:val="center"/>
          </w:tcPr>
          <w:p w14:paraId="1524DA55" w14:textId="77777777" w:rsidR="004C2312" w:rsidRPr="005036C5" w:rsidRDefault="008E3BFE" w:rsidP="008E3BFE">
            <w:pPr>
              <w:jc w:val="center"/>
              <w:rPr>
                <w:rFonts w:ascii="Cambria" w:hAnsi="Cambria"/>
                <w:b/>
                <w:bCs/>
                <w:color w:val="FFFFFF" w:themeColor="background1"/>
                <w:sz w:val="20"/>
                <w:szCs w:val="20"/>
                <w:lang w:val="es-ES"/>
              </w:rPr>
            </w:pPr>
            <w:r w:rsidRPr="005036C5">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5803627E" w:rsidR="004C2312" w:rsidRPr="005036C5" w:rsidRDefault="00410C05" w:rsidP="006C22C6">
            <w:pPr>
              <w:jc w:val="both"/>
              <w:rPr>
                <w:rFonts w:ascii="Cambria" w:hAnsi="Cambria"/>
                <w:bCs/>
                <w:sz w:val="20"/>
                <w:szCs w:val="20"/>
                <w:lang w:val="es-ES"/>
              </w:rPr>
            </w:pPr>
            <w:r w:rsidRPr="005036C5">
              <w:rPr>
                <w:rFonts w:ascii="Cambria" w:hAnsi="Cambria"/>
                <w:bCs/>
                <w:sz w:val="20"/>
                <w:szCs w:val="20"/>
                <w:lang w:val="es-ES"/>
              </w:rPr>
              <w:t>12 de septiembre de 2012</w:t>
            </w:r>
            <w:r w:rsidRPr="005036C5">
              <w:rPr>
                <w:rFonts w:asciiTheme="majorHAnsi" w:hAnsiTheme="majorHAnsi"/>
                <w:sz w:val="20"/>
                <w:szCs w:val="20"/>
                <w:lang w:val="es-ES"/>
              </w:rPr>
              <w:t>, 3</w:t>
            </w:r>
            <w:r w:rsidR="009100E3" w:rsidRPr="005036C5">
              <w:rPr>
                <w:rFonts w:asciiTheme="majorHAnsi" w:hAnsiTheme="majorHAnsi"/>
                <w:sz w:val="20"/>
                <w:szCs w:val="20"/>
                <w:lang w:val="es-ES"/>
              </w:rPr>
              <w:t xml:space="preserve"> de mayo </w:t>
            </w:r>
            <w:r w:rsidR="00CC5B0C" w:rsidRPr="005036C5">
              <w:rPr>
                <w:rFonts w:asciiTheme="majorHAnsi" w:hAnsiTheme="majorHAnsi"/>
                <w:sz w:val="20"/>
                <w:szCs w:val="20"/>
                <w:lang w:val="es-ES"/>
              </w:rPr>
              <w:t>y</w:t>
            </w:r>
            <w:r w:rsidRPr="005036C5">
              <w:rPr>
                <w:rFonts w:asciiTheme="majorHAnsi" w:hAnsiTheme="majorHAnsi"/>
                <w:sz w:val="20"/>
                <w:szCs w:val="20"/>
                <w:lang w:val="es-ES"/>
              </w:rPr>
              <w:t xml:space="preserve"> 19 de julio de 2013, 7 de febrero</w:t>
            </w:r>
            <w:r w:rsidR="009100E3" w:rsidRPr="005036C5">
              <w:rPr>
                <w:rFonts w:asciiTheme="majorHAnsi" w:hAnsiTheme="majorHAnsi"/>
                <w:sz w:val="20"/>
                <w:szCs w:val="20"/>
                <w:lang w:val="es-ES"/>
              </w:rPr>
              <w:t xml:space="preserve"> </w:t>
            </w:r>
            <w:r w:rsidR="00CC5B0C" w:rsidRPr="005036C5">
              <w:rPr>
                <w:rFonts w:asciiTheme="majorHAnsi" w:hAnsiTheme="majorHAnsi"/>
                <w:sz w:val="20"/>
                <w:szCs w:val="20"/>
                <w:lang w:val="es-ES"/>
              </w:rPr>
              <w:t xml:space="preserve">y </w:t>
            </w:r>
            <w:r w:rsidRPr="005036C5">
              <w:rPr>
                <w:rFonts w:asciiTheme="majorHAnsi" w:hAnsiTheme="majorHAnsi"/>
                <w:sz w:val="20"/>
                <w:szCs w:val="20"/>
                <w:lang w:val="es-ES"/>
              </w:rPr>
              <w:t>31 de diciembre de 2014</w:t>
            </w:r>
            <w:r w:rsidR="00684D15" w:rsidRPr="005036C5">
              <w:rPr>
                <w:rFonts w:asciiTheme="majorHAnsi" w:hAnsiTheme="majorHAnsi"/>
                <w:sz w:val="20"/>
                <w:szCs w:val="20"/>
                <w:lang w:val="es-ES"/>
              </w:rPr>
              <w:t>, 13 de julio de 2015</w:t>
            </w:r>
            <w:r w:rsidR="00684D15" w:rsidRPr="005036C5">
              <w:rPr>
                <w:rFonts w:asciiTheme="majorHAnsi" w:hAnsiTheme="majorHAnsi"/>
                <w:bCs/>
                <w:sz w:val="20"/>
                <w:szCs w:val="20"/>
                <w:lang w:val="es-ES"/>
              </w:rPr>
              <w:t xml:space="preserve"> y 24 de enero de 2017</w:t>
            </w:r>
          </w:p>
        </w:tc>
      </w:tr>
      <w:tr w:rsidR="00684D15" w:rsidRPr="007C2425" w14:paraId="291ACE7A" w14:textId="77777777" w:rsidTr="000A6082">
        <w:tc>
          <w:tcPr>
            <w:tcW w:w="4680" w:type="dxa"/>
            <w:tcBorders>
              <w:top w:val="single" w:sz="6" w:space="0" w:color="auto"/>
              <w:bottom w:val="single" w:sz="6" w:space="0" w:color="auto"/>
            </w:tcBorders>
            <w:shd w:val="clear" w:color="auto" w:fill="386294"/>
            <w:vAlign w:val="center"/>
          </w:tcPr>
          <w:p w14:paraId="068BD12F" w14:textId="77777777" w:rsidR="00684D15" w:rsidRPr="005036C5" w:rsidRDefault="00684D15" w:rsidP="008E3BFE">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Observaciones adicionales del Estado:</w:t>
            </w:r>
          </w:p>
        </w:tc>
        <w:tc>
          <w:tcPr>
            <w:tcW w:w="4680" w:type="dxa"/>
            <w:vAlign w:val="center"/>
          </w:tcPr>
          <w:p w14:paraId="3CE49AFE" w14:textId="6F45F654" w:rsidR="00684D15" w:rsidRPr="005036C5" w:rsidRDefault="00684D15" w:rsidP="00D30726">
            <w:pPr>
              <w:jc w:val="both"/>
              <w:rPr>
                <w:rFonts w:ascii="Cambria" w:hAnsi="Cambria"/>
                <w:bCs/>
                <w:sz w:val="20"/>
                <w:szCs w:val="20"/>
                <w:lang w:val="es-ES"/>
              </w:rPr>
            </w:pPr>
            <w:r w:rsidRPr="005036C5">
              <w:rPr>
                <w:rFonts w:asciiTheme="majorHAnsi" w:hAnsiTheme="majorHAnsi"/>
                <w:bCs/>
                <w:sz w:val="20"/>
                <w:szCs w:val="20"/>
                <w:lang w:val="es-ES"/>
              </w:rPr>
              <w:t xml:space="preserve">10 de diciembre de 2012, 25 de marzo, 1º de octubre </w:t>
            </w:r>
            <w:r w:rsidR="00CC5B0C" w:rsidRPr="005036C5">
              <w:rPr>
                <w:rFonts w:asciiTheme="majorHAnsi" w:hAnsiTheme="majorHAnsi"/>
                <w:bCs/>
                <w:sz w:val="20"/>
                <w:szCs w:val="20"/>
                <w:lang w:val="es-ES"/>
              </w:rPr>
              <w:t>y</w:t>
            </w:r>
            <w:r w:rsidRPr="005036C5">
              <w:rPr>
                <w:rFonts w:asciiTheme="majorHAnsi" w:hAnsiTheme="majorHAnsi"/>
                <w:bCs/>
                <w:sz w:val="20"/>
                <w:szCs w:val="20"/>
                <w:lang w:val="es-ES"/>
              </w:rPr>
              <w:t xml:space="preserve"> 11 de diciembre de 2013, 23 de marzo </w:t>
            </w:r>
            <w:r w:rsidR="00CC5B0C" w:rsidRPr="005036C5">
              <w:rPr>
                <w:rFonts w:asciiTheme="majorHAnsi" w:hAnsiTheme="majorHAnsi"/>
                <w:bCs/>
                <w:sz w:val="20"/>
                <w:szCs w:val="20"/>
                <w:lang w:val="es-ES"/>
              </w:rPr>
              <w:t>y</w:t>
            </w:r>
            <w:r w:rsidRPr="005036C5">
              <w:rPr>
                <w:rFonts w:asciiTheme="majorHAnsi" w:hAnsiTheme="majorHAnsi"/>
                <w:bCs/>
                <w:sz w:val="20"/>
                <w:szCs w:val="20"/>
                <w:lang w:val="es-ES"/>
              </w:rPr>
              <w:t xml:space="preserve"> 14 de mayo de 2015 y 1 de febrero de 2017</w:t>
            </w:r>
          </w:p>
        </w:tc>
      </w:tr>
    </w:tbl>
    <w:p w14:paraId="2EEA06C8" w14:textId="77777777" w:rsidR="00472597" w:rsidRDefault="00472597" w:rsidP="003239B8">
      <w:pPr>
        <w:spacing w:before="240" w:after="240"/>
        <w:ind w:firstLine="720"/>
        <w:jc w:val="both"/>
        <w:rPr>
          <w:rFonts w:asciiTheme="majorHAnsi" w:hAnsiTheme="majorHAnsi"/>
          <w:b/>
          <w:bCs/>
          <w:sz w:val="20"/>
          <w:szCs w:val="20"/>
          <w:lang w:val="es-ES"/>
        </w:rPr>
      </w:pPr>
    </w:p>
    <w:p w14:paraId="21DAA666" w14:textId="77777777" w:rsidR="003239B8" w:rsidRPr="005036C5" w:rsidRDefault="003239B8" w:rsidP="003239B8">
      <w:pPr>
        <w:spacing w:before="240" w:after="240"/>
        <w:ind w:firstLine="720"/>
        <w:jc w:val="both"/>
        <w:rPr>
          <w:rFonts w:asciiTheme="majorHAnsi" w:hAnsiTheme="majorHAnsi"/>
          <w:b/>
          <w:bCs/>
          <w:sz w:val="20"/>
          <w:szCs w:val="20"/>
          <w:lang w:val="es-ES"/>
        </w:rPr>
      </w:pPr>
      <w:r w:rsidRPr="005036C5">
        <w:rPr>
          <w:rFonts w:asciiTheme="majorHAnsi" w:hAnsiTheme="majorHAnsi"/>
          <w:b/>
          <w:bCs/>
          <w:sz w:val="20"/>
          <w:szCs w:val="20"/>
          <w:lang w:val="es-ES"/>
        </w:rPr>
        <w:lastRenderedPageBreak/>
        <w:t xml:space="preserve">III. </w:t>
      </w:r>
      <w:r w:rsidRPr="005036C5">
        <w:rPr>
          <w:rFonts w:asciiTheme="majorHAnsi" w:hAnsiTheme="majorHAnsi"/>
          <w:b/>
          <w:bCs/>
          <w:sz w:val="20"/>
          <w:szCs w:val="20"/>
          <w:lang w:val="es-ES"/>
        </w:rPr>
        <w:tab/>
        <w:t>COMPETENCIA</w:t>
      </w:r>
      <w:r w:rsidR="00EE00E9" w:rsidRPr="005036C5">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036C5" w14:paraId="072532AD" w14:textId="77777777" w:rsidTr="000A6082">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5036C5" w:rsidRDefault="003239B8" w:rsidP="000A6082">
            <w:pPr>
              <w:jc w:val="center"/>
              <w:rPr>
                <w:rFonts w:ascii="Cambria" w:hAnsi="Cambria"/>
                <w:b/>
                <w:bCs/>
                <w:i/>
                <w:color w:val="FFFFFF" w:themeColor="background1"/>
                <w:sz w:val="20"/>
                <w:szCs w:val="20"/>
              </w:rPr>
            </w:pPr>
            <w:r w:rsidRPr="005036C5">
              <w:rPr>
                <w:rFonts w:ascii="Cambria" w:hAnsi="Cambria"/>
                <w:b/>
                <w:bCs/>
                <w:color w:val="FFFFFF" w:themeColor="background1"/>
                <w:sz w:val="20"/>
                <w:szCs w:val="20"/>
              </w:rPr>
              <w:t>Competencia</w:t>
            </w:r>
            <w:r w:rsidRPr="005036C5">
              <w:rPr>
                <w:rFonts w:ascii="Cambria" w:hAnsi="Cambria"/>
                <w:b/>
                <w:bCs/>
                <w:i/>
                <w:color w:val="FFFFFF" w:themeColor="background1"/>
                <w:sz w:val="20"/>
                <w:szCs w:val="20"/>
              </w:rPr>
              <w:t xml:space="preserve"> Ratione personae:</w:t>
            </w:r>
          </w:p>
        </w:tc>
        <w:tc>
          <w:tcPr>
            <w:tcW w:w="4680" w:type="dxa"/>
            <w:vAlign w:val="center"/>
          </w:tcPr>
          <w:p w14:paraId="7707F3E9" w14:textId="006AF031" w:rsidR="003239B8" w:rsidRPr="005036C5" w:rsidRDefault="003126A8" w:rsidP="000A6082">
            <w:pPr>
              <w:rPr>
                <w:rFonts w:ascii="Cambria" w:hAnsi="Cambria"/>
                <w:bCs/>
                <w:sz w:val="20"/>
                <w:szCs w:val="20"/>
              </w:rPr>
            </w:pPr>
            <w:r w:rsidRPr="005036C5">
              <w:rPr>
                <w:rFonts w:ascii="Cambria" w:hAnsi="Cambria"/>
                <w:bCs/>
                <w:sz w:val="20"/>
                <w:szCs w:val="20"/>
              </w:rPr>
              <w:t>Sí</w:t>
            </w:r>
          </w:p>
        </w:tc>
      </w:tr>
      <w:tr w:rsidR="003239B8" w:rsidRPr="005036C5" w14:paraId="4B8802DA" w14:textId="77777777" w:rsidTr="000A6082">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5036C5" w:rsidRDefault="003239B8" w:rsidP="000A6082">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Competencia</w:t>
            </w:r>
            <w:r w:rsidRPr="005036C5">
              <w:rPr>
                <w:rFonts w:ascii="Cambria" w:hAnsi="Cambria"/>
                <w:b/>
                <w:bCs/>
                <w:i/>
                <w:color w:val="FFFFFF" w:themeColor="background1"/>
                <w:sz w:val="20"/>
                <w:szCs w:val="20"/>
              </w:rPr>
              <w:t xml:space="preserve"> Ratione loci</w:t>
            </w:r>
            <w:r w:rsidRPr="005036C5">
              <w:rPr>
                <w:rFonts w:ascii="Cambria" w:hAnsi="Cambria"/>
                <w:b/>
                <w:bCs/>
                <w:color w:val="FFFFFF" w:themeColor="background1"/>
                <w:sz w:val="20"/>
                <w:szCs w:val="20"/>
              </w:rPr>
              <w:t>:</w:t>
            </w:r>
          </w:p>
        </w:tc>
        <w:tc>
          <w:tcPr>
            <w:tcW w:w="4680" w:type="dxa"/>
            <w:vAlign w:val="center"/>
          </w:tcPr>
          <w:p w14:paraId="12C931CB" w14:textId="2300B143" w:rsidR="003239B8" w:rsidRPr="005036C5" w:rsidRDefault="003126A8" w:rsidP="000A6082">
            <w:pPr>
              <w:rPr>
                <w:rFonts w:ascii="Cambria" w:hAnsi="Cambria"/>
                <w:bCs/>
                <w:sz w:val="20"/>
                <w:szCs w:val="20"/>
              </w:rPr>
            </w:pPr>
            <w:r w:rsidRPr="005036C5">
              <w:rPr>
                <w:rFonts w:ascii="Cambria" w:hAnsi="Cambria"/>
                <w:bCs/>
                <w:sz w:val="20"/>
                <w:szCs w:val="20"/>
              </w:rPr>
              <w:t xml:space="preserve">Sí </w:t>
            </w:r>
          </w:p>
        </w:tc>
      </w:tr>
      <w:tr w:rsidR="003239B8" w:rsidRPr="005036C5" w14:paraId="4362FDF3" w14:textId="77777777" w:rsidTr="000A6082">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5036C5" w:rsidRDefault="003239B8" w:rsidP="000A6082">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Competencia</w:t>
            </w:r>
            <w:r w:rsidRPr="005036C5">
              <w:rPr>
                <w:rFonts w:ascii="Cambria" w:hAnsi="Cambria"/>
                <w:b/>
                <w:bCs/>
                <w:i/>
                <w:color w:val="FFFFFF" w:themeColor="background1"/>
                <w:sz w:val="20"/>
                <w:szCs w:val="20"/>
              </w:rPr>
              <w:t xml:space="preserve"> Ratione temporis</w:t>
            </w:r>
            <w:r w:rsidRPr="005036C5">
              <w:rPr>
                <w:rFonts w:ascii="Cambria" w:hAnsi="Cambria"/>
                <w:b/>
                <w:bCs/>
                <w:color w:val="FFFFFF" w:themeColor="background1"/>
                <w:sz w:val="20"/>
                <w:szCs w:val="20"/>
              </w:rPr>
              <w:t>:</w:t>
            </w:r>
          </w:p>
        </w:tc>
        <w:tc>
          <w:tcPr>
            <w:tcW w:w="4680" w:type="dxa"/>
            <w:vAlign w:val="center"/>
          </w:tcPr>
          <w:p w14:paraId="6F8B059B" w14:textId="621BF56C" w:rsidR="003239B8" w:rsidRPr="005036C5" w:rsidRDefault="003126A8" w:rsidP="000A6082">
            <w:pPr>
              <w:rPr>
                <w:rFonts w:asciiTheme="majorHAnsi" w:hAnsiTheme="majorHAnsi"/>
                <w:bCs/>
                <w:sz w:val="20"/>
                <w:szCs w:val="20"/>
              </w:rPr>
            </w:pPr>
            <w:r w:rsidRPr="005036C5">
              <w:rPr>
                <w:rFonts w:asciiTheme="majorHAnsi" w:hAnsiTheme="majorHAnsi"/>
                <w:bCs/>
                <w:sz w:val="20"/>
                <w:szCs w:val="20"/>
              </w:rPr>
              <w:t>Sí</w:t>
            </w:r>
          </w:p>
        </w:tc>
      </w:tr>
      <w:tr w:rsidR="003239B8" w:rsidRPr="007C2425" w14:paraId="30ABEC3E" w14:textId="77777777" w:rsidTr="000A6082">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5036C5" w:rsidRDefault="003239B8" w:rsidP="000A6082">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Competencia</w:t>
            </w:r>
            <w:r w:rsidRPr="005036C5">
              <w:rPr>
                <w:rFonts w:ascii="Cambria" w:hAnsi="Cambria"/>
                <w:b/>
                <w:bCs/>
                <w:i/>
                <w:color w:val="FFFFFF" w:themeColor="background1"/>
                <w:sz w:val="20"/>
                <w:szCs w:val="20"/>
              </w:rPr>
              <w:t xml:space="preserve"> Ratione materia</w:t>
            </w:r>
            <w:r w:rsidR="00EE00E9" w:rsidRPr="005036C5">
              <w:rPr>
                <w:rFonts w:ascii="Cambria" w:hAnsi="Cambria"/>
                <w:b/>
                <w:bCs/>
                <w:i/>
                <w:color w:val="FFFFFF" w:themeColor="background1"/>
                <w:sz w:val="20"/>
                <w:szCs w:val="20"/>
              </w:rPr>
              <w:t>e</w:t>
            </w:r>
            <w:r w:rsidRPr="005036C5">
              <w:rPr>
                <w:rFonts w:ascii="Cambria" w:hAnsi="Cambria"/>
                <w:b/>
                <w:bCs/>
                <w:color w:val="FFFFFF" w:themeColor="background1"/>
                <w:sz w:val="20"/>
                <w:szCs w:val="20"/>
              </w:rPr>
              <w:t>:</w:t>
            </w:r>
          </w:p>
        </w:tc>
        <w:tc>
          <w:tcPr>
            <w:tcW w:w="4680" w:type="dxa"/>
            <w:vAlign w:val="center"/>
          </w:tcPr>
          <w:p w14:paraId="0C122F44" w14:textId="31C51879" w:rsidR="003239B8" w:rsidRPr="005036C5" w:rsidRDefault="003126A8" w:rsidP="003126A8">
            <w:pPr>
              <w:pStyle w:val="Default"/>
              <w:jc w:val="both"/>
              <w:rPr>
                <w:rFonts w:asciiTheme="majorHAnsi" w:hAnsiTheme="majorHAnsi"/>
                <w:sz w:val="20"/>
                <w:szCs w:val="20"/>
                <w:lang w:val="es-ES"/>
              </w:rPr>
            </w:pPr>
            <w:r w:rsidRPr="005036C5">
              <w:rPr>
                <w:rFonts w:asciiTheme="majorHAnsi" w:hAnsiTheme="majorHAnsi"/>
                <w:sz w:val="20"/>
                <w:szCs w:val="20"/>
                <w:lang w:val="es-ES"/>
              </w:rPr>
              <w:t xml:space="preserve">Sí, Convención Americana (depósito de instrumento de ratificación realizado el 24 de marzo de 1981) </w:t>
            </w:r>
          </w:p>
        </w:tc>
      </w:tr>
    </w:tbl>
    <w:p w14:paraId="4E92C444" w14:textId="77777777" w:rsidR="003239B8" w:rsidRPr="005036C5" w:rsidRDefault="003239B8" w:rsidP="003239B8">
      <w:pPr>
        <w:spacing w:before="240" w:after="240"/>
        <w:ind w:firstLine="720"/>
        <w:jc w:val="both"/>
        <w:rPr>
          <w:rFonts w:asciiTheme="majorHAnsi" w:hAnsiTheme="majorHAnsi"/>
          <w:b/>
          <w:bCs/>
          <w:sz w:val="20"/>
          <w:szCs w:val="20"/>
          <w:lang w:val="es-ES"/>
        </w:rPr>
      </w:pPr>
      <w:r w:rsidRPr="005036C5">
        <w:rPr>
          <w:rFonts w:asciiTheme="majorHAnsi" w:hAnsiTheme="majorHAnsi"/>
          <w:b/>
          <w:bCs/>
          <w:sz w:val="20"/>
          <w:szCs w:val="20"/>
          <w:lang w:val="es-ES"/>
        </w:rPr>
        <w:t xml:space="preserve">IV. </w:t>
      </w:r>
      <w:r w:rsidRPr="005036C5">
        <w:rPr>
          <w:rFonts w:asciiTheme="majorHAnsi" w:hAnsiTheme="majorHAnsi"/>
          <w:b/>
          <w:bCs/>
          <w:sz w:val="20"/>
          <w:szCs w:val="20"/>
          <w:lang w:val="es-ES"/>
        </w:rPr>
        <w:tab/>
        <w:t>ANÁLISIS DE</w:t>
      </w:r>
      <w:r w:rsidR="00EE00E9" w:rsidRPr="005036C5">
        <w:rPr>
          <w:rFonts w:asciiTheme="majorHAnsi" w:hAnsiTheme="majorHAnsi"/>
          <w:b/>
          <w:bCs/>
          <w:sz w:val="20"/>
          <w:szCs w:val="20"/>
          <w:lang w:val="es-ES"/>
        </w:rPr>
        <w:t xml:space="preserve"> DUPLICACIÓN</w:t>
      </w:r>
      <w:r w:rsidR="00EE00E9" w:rsidRPr="005036C5">
        <w:rPr>
          <w:rFonts w:asciiTheme="majorHAnsi" w:hAnsiTheme="majorHAnsi"/>
          <w:b/>
          <w:bCs/>
          <w:color w:val="FFFFFF" w:themeColor="background1"/>
          <w:sz w:val="20"/>
          <w:szCs w:val="20"/>
          <w:lang w:val="es-ES"/>
        </w:rPr>
        <w:t xml:space="preserve"> </w:t>
      </w:r>
      <w:r w:rsidR="00EE00E9" w:rsidRPr="005036C5">
        <w:rPr>
          <w:rFonts w:asciiTheme="majorHAnsi" w:hAnsiTheme="majorHAnsi"/>
          <w:b/>
          <w:bCs/>
          <w:sz w:val="20"/>
          <w:szCs w:val="20"/>
          <w:lang w:val="es-ES"/>
        </w:rPr>
        <w:t>DE PROCEDIMIENTOS Y COSA JUZGADA</w:t>
      </w:r>
      <w:r w:rsidR="00EE00E9" w:rsidRPr="005036C5">
        <w:rPr>
          <w:rFonts w:asciiTheme="majorHAnsi" w:hAnsiTheme="majorHAnsi"/>
          <w:b/>
          <w:bCs/>
          <w:i/>
          <w:sz w:val="20"/>
          <w:szCs w:val="20"/>
          <w:lang w:val="es-ES"/>
        </w:rPr>
        <w:t xml:space="preserve"> </w:t>
      </w:r>
      <w:r w:rsidR="00EE00E9" w:rsidRPr="005036C5">
        <w:rPr>
          <w:rFonts w:asciiTheme="majorHAnsi" w:hAnsiTheme="majorHAnsi"/>
          <w:b/>
          <w:bCs/>
          <w:sz w:val="20"/>
          <w:szCs w:val="20"/>
          <w:lang w:val="es-ES"/>
        </w:rPr>
        <w:t xml:space="preserve">INTERNACIONAL, </w:t>
      </w:r>
      <w:r w:rsidRPr="005036C5">
        <w:rPr>
          <w:rFonts w:asciiTheme="majorHAnsi" w:hAnsiTheme="majorHAnsi"/>
          <w:b/>
          <w:bCs/>
          <w:sz w:val="20"/>
          <w:szCs w:val="20"/>
          <w:lang w:val="es-ES"/>
        </w:rPr>
        <w:t xml:space="preserve"> CARACTERIZACIÓN, </w:t>
      </w:r>
      <w:r w:rsidRPr="005036C5">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5036C5" w14:paraId="1231C988" w14:textId="77777777" w:rsidTr="000A6082">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5036C5" w:rsidRDefault="00EE00E9" w:rsidP="000A6082">
            <w:pPr>
              <w:jc w:val="center"/>
              <w:rPr>
                <w:rFonts w:ascii="Cambria" w:hAnsi="Cambria"/>
                <w:b/>
                <w:bCs/>
                <w:color w:val="FFFFFF" w:themeColor="background1"/>
                <w:sz w:val="20"/>
                <w:szCs w:val="20"/>
                <w:lang w:val="es-ES"/>
              </w:rPr>
            </w:pPr>
            <w:r w:rsidRPr="005036C5">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5D69932E" w:rsidR="00EE00E9" w:rsidRPr="005036C5" w:rsidRDefault="009B4334" w:rsidP="000A6082">
            <w:pPr>
              <w:jc w:val="both"/>
              <w:rPr>
                <w:rFonts w:ascii="Cambria" w:hAnsi="Cambria"/>
                <w:bCs/>
                <w:sz w:val="20"/>
                <w:szCs w:val="20"/>
                <w:lang w:val="es-ES"/>
              </w:rPr>
            </w:pPr>
            <w:r w:rsidRPr="005036C5">
              <w:rPr>
                <w:rFonts w:ascii="Cambria" w:hAnsi="Cambria"/>
                <w:bCs/>
                <w:sz w:val="20"/>
                <w:szCs w:val="20"/>
                <w:lang w:val="es-ES"/>
              </w:rPr>
              <w:t>No</w:t>
            </w:r>
          </w:p>
        </w:tc>
      </w:tr>
      <w:tr w:rsidR="003239B8" w:rsidRPr="005036C5" w14:paraId="15FAA7D1" w14:textId="77777777" w:rsidTr="000A6082">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5036C5" w:rsidRDefault="003239B8" w:rsidP="000A6082">
            <w:pPr>
              <w:jc w:val="center"/>
              <w:rPr>
                <w:rFonts w:ascii="Cambria" w:hAnsi="Cambria"/>
                <w:b/>
                <w:bCs/>
                <w:i/>
                <w:color w:val="FFFFFF" w:themeColor="background1"/>
                <w:sz w:val="20"/>
                <w:szCs w:val="20"/>
              </w:rPr>
            </w:pPr>
            <w:r w:rsidRPr="005036C5">
              <w:rPr>
                <w:rFonts w:ascii="Cambria" w:hAnsi="Cambria"/>
                <w:b/>
                <w:bCs/>
                <w:color w:val="FFFFFF" w:themeColor="background1"/>
                <w:sz w:val="20"/>
                <w:szCs w:val="20"/>
              </w:rPr>
              <w:t>Derechos declarados admisibles</w:t>
            </w:r>
            <w:r w:rsidRPr="005036C5">
              <w:rPr>
                <w:rFonts w:ascii="Cambria" w:hAnsi="Cambria"/>
                <w:b/>
                <w:bCs/>
                <w:i/>
                <w:color w:val="FFFFFF" w:themeColor="background1"/>
                <w:sz w:val="20"/>
                <w:szCs w:val="20"/>
              </w:rPr>
              <w:t>:</w:t>
            </w:r>
          </w:p>
        </w:tc>
        <w:tc>
          <w:tcPr>
            <w:tcW w:w="4680" w:type="dxa"/>
            <w:vAlign w:val="center"/>
          </w:tcPr>
          <w:p w14:paraId="6310C8F7" w14:textId="36402B8C" w:rsidR="003239B8" w:rsidRPr="005036C5" w:rsidRDefault="009B4334" w:rsidP="000A6082">
            <w:pPr>
              <w:jc w:val="both"/>
              <w:rPr>
                <w:rFonts w:ascii="Cambria" w:hAnsi="Cambria"/>
                <w:bCs/>
                <w:sz w:val="20"/>
                <w:szCs w:val="20"/>
              </w:rPr>
            </w:pPr>
            <w:r w:rsidRPr="005036C5">
              <w:rPr>
                <w:rFonts w:ascii="Cambria" w:hAnsi="Cambria"/>
                <w:bCs/>
                <w:sz w:val="20"/>
                <w:szCs w:val="20"/>
                <w:lang w:val="es-ES"/>
              </w:rPr>
              <w:t>Ninguno</w:t>
            </w:r>
            <w:r w:rsidRPr="005036C5">
              <w:rPr>
                <w:rFonts w:ascii="Cambria" w:hAnsi="Cambria"/>
                <w:bCs/>
                <w:sz w:val="20"/>
                <w:szCs w:val="20"/>
              </w:rPr>
              <w:t xml:space="preserve"> </w:t>
            </w:r>
          </w:p>
        </w:tc>
      </w:tr>
      <w:tr w:rsidR="003239B8" w:rsidRPr="005036C5" w14:paraId="4EFD141E" w14:textId="77777777" w:rsidTr="000A6082">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5036C5" w:rsidRDefault="003239B8" w:rsidP="000A6082">
            <w:pPr>
              <w:jc w:val="center"/>
              <w:rPr>
                <w:rFonts w:ascii="Cambria" w:hAnsi="Cambria"/>
                <w:b/>
                <w:bCs/>
                <w:color w:val="FFFFFF" w:themeColor="background1"/>
                <w:sz w:val="20"/>
                <w:szCs w:val="20"/>
                <w:lang w:val="es-ES"/>
              </w:rPr>
            </w:pPr>
            <w:r w:rsidRPr="005036C5">
              <w:rPr>
                <w:rFonts w:ascii="Cambria" w:hAnsi="Cambria"/>
                <w:b/>
                <w:bCs/>
                <w:color w:val="FFFFFF" w:themeColor="background1"/>
                <w:sz w:val="20"/>
                <w:szCs w:val="20"/>
                <w:lang w:val="es-ES"/>
              </w:rPr>
              <w:t>Agotamiento de recursos internos</w:t>
            </w:r>
            <w:r w:rsidR="00EE00E9" w:rsidRPr="005036C5">
              <w:rPr>
                <w:rFonts w:ascii="Cambria" w:hAnsi="Cambria"/>
                <w:b/>
                <w:bCs/>
                <w:color w:val="FFFFFF" w:themeColor="background1"/>
                <w:sz w:val="20"/>
                <w:szCs w:val="20"/>
                <w:lang w:val="es-ES"/>
              </w:rPr>
              <w:t xml:space="preserve"> o procedencia de una excepción</w:t>
            </w:r>
            <w:r w:rsidRPr="005036C5">
              <w:rPr>
                <w:rFonts w:ascii="Cambria" w:hAnsi="Cambria"/>
                <w:b/>
                <w:bCs/>
                <w:color w:val="FFFFFF" w:themeColor="background1"/>
                <w:sz w:val="20"/>
                <w:szCs w:val="20"/>
                <w:lang w:val="es-ES"/>
              </w:rPr>
              <w:t>:</w:t>
            </w:r>
          </w:p>
        </w:tc>
        <w:tc>
          <w:tcPr>
            <w:tcW w:w="4680" w:type="dxa"/>
            <w:vAlign w:val="center"/>
          </w:tcPr>
          <w:p w14:paraId="69C53E8A" w14:textId="6458153B" w:rsidR="003239B8" w:rsidRPr="005036C5" w:rsidRDefault="001C1E1D" w:rsidP="000A6082">
            <w:pPr>
              <w:rPr>
                <w:rFonts w:ascii="Cambria" w:hAnsi="Cambria"/>
                <w:bCs/>
                <w:sz w:val="20"/>
                <w:szCs w:val="20"/>
                <w:lang w:val="es-ES"/>
              </w:rPr>
            </w:pPr>
            <w:r w:rsidRPr="005036C5">
              <w:rPr>
                <w:rFonts w:ascii="Cambria" w:hAnsi="Cambria"/>
                <w:bCs/>
                <w:sz w:val="20"/>
                <w:szCs w:val="20"/>
                <w:lang w:val="es-ES"/>
              </w:rPr>
              <w:t>No</w:t>
            </w:r>
          </w:p>
        </w:tc>
      </w:tr>
      <w:tr w:rsidR="003239B8" w:rsidRPr="005036C5" w14:paraId="52B5BA17" w14:textId="77777777" w:rsidTr="000A6082">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5036C5" w:rsidRDefault="003239B8" w:rsidP="000A6082">
            <w:pPr>
              <w:jc w:val="center"/>
              <w:rPr>
                <w:rFonts w:ascii="Cambria" w:hAnsi="Cambria"/>
                <w:b/>
                <w:bCs/>
                <w:color w:val="FFFFFF" w:themeColor="background1"/>
                <w:sz w:val="20"/>
                <w:szCs w:val="20"/>
              </w:rPr>
            </w:pPr>
            <w:r w:rsidRPr="005036C5">
              <w:rPr>
                <w:rFonts w:ascii="Cambria" w:hAnsi="Cambria"/>
                <w:b/>
                <w:bCs/>
                <w:color w:val="FFFFFF" w:themeColor="background1"/>
                <w:sz w:val="20"/>
                <w:szCs w:val="20"/>
              </w:rPr>
              <w:t>Presentación dentro de plazo:</w:t>
            </w:r>
          </w:p>
        </w:tc>
        <w:tc>
          <w:tcPr>
            <w:tcW w:w="4680" w:type="dxa"/>
            <w:vAlign w:val="center"/>
          </w:tcPr>
          <w:p w14:paraId="4A2A4569" w14:textId="5CDD8AE4" w:rsidR="003239B8" w:rsidRPr="005036C5" w:rsidRDefault="0001629A" w:rsidP="000A6082">
            <w:pPr>
              <w:rPr>
                <w:rFonts w:asciiTheme="majorHAnsi" w:hAnsiTheme="majorHAnsi"/>
                <w:bCs/>
                <w:sz w:val="20"/>
                <w:szCs w:val="20"/>
              </w:rPr>
            </w:pPr>
            <w:r w:rsidRPr="005036C5">
              <w:rPr>
                <w:rFonts w:asciiTheme="majorHAnsi" w:hAnsiTheme="majorHAnsi"/>
                <w:bCs/>
                <w:sz w:val="20"/>
                <w:szCs w:val="20"/>
              </w:rPr>
              <w:t>N/A</w:t>
            </w:r>
          </w:p>
        </w:tc>
      </w:tr>
    </w:tbl>
    <w:p w14:paraId="18E6423B" w14:textId="77777777" w:rsidR="003239B8" w:rsidRPr="005036C5" w:rsidRDefault="00223A29" w:rsidP="003239B8">
      <w:pPr>
        <w:spacing w:before="240" w:after="240"/>
        <w:ind w:firstLine="720"/>
        <w:jc w:val="both"/>
        <w:rPr>
          <w:rFonts w:asciiTheme="majorHAnsi" w:hAnsiTheme="majorHAnsi"/>
          <w:b/>
          <w:sz w:val="20"/>
          <w:szCs w:val="20"/>
          <w:lang w:val="es-UY"/>
        </w:rPr>
      </w:pPr>
      <w:r w:rsidRPr="005036C5">
        <w:rPr>
          <w:rFonts w:asciiTheme="majorHAnsi" w:hAnsiTheme="majorHAnsi"/>
          <w:b/>
          <w:sz w:val="20"/>
          <w:szCs w:val="20"/>
          <w:lang w:val="es-UY"/>
        </w:rPr>
        <w:t xml:space="preserve">V. </w:t>
      </w:r>
      <w:r w:rsidRPr="005036C5">
        <w:rPr>
          <w:rFonts w:asciiTheme="majorHAnsi" w:hAnsiTheme="majorHAnsi"/>
          <w:b/>
          <w:sz w:val="20"/>
          <w:szCs w:val="20"/>
          <w:lang w:val="es-UY"/>
        </w:rPr>
        <w:tab/>
      </w:r>
      <w:r w:rsidR="003239B8" w:rsidRPr="005036C5">
        <w:rPr>
          <w:rFonts w:asciiTheme="majorHAnsi" w:hAnsiTheme="majorHAnsi"/>
          <w:b/>
          <w:sz w:val="20"/>
          <w:szCs w:val="20"/>
          <w:lang w:val="es-UY"/>
        </w:rPr>
        <w:t xml:space="preserve">HECHOS ALEGADOS </w:t>
      </w:r>
    </w:p>
    <w:p w14:paraId="58226597" w14:textId="09BA2731" w:rsidR="00BC6D88" w:rsidRPr="005036C5" w:rsidRDefault="00594711" w:rsidP="00BC6D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90"/>
        <w:jc w:val="both"/>
        <w:rPr>
          <w:rFonts w:asciiTheme="majorHAnsi" w:hAnsiTheme="majorHAnsi" w:cs="Arial"/>
          <w:sz w:val="20"/>
          <w:szCs w:val="20"/>
          <w:lang w:val="es-ES"/>
        </w:rPr>
      </w:pPr>
      <w:r w:rsidRPr="005036C5">
        <w:rPr>
          <w:rFonts w:ascii="Cambria" w:eastAsia="SimSun" w:hAnsi="Cambria"/>
          <w:sz w:val="20"/>
          <w:szCs w:val="20"/>
          <w:lang w:val="es-ES"/>
        </w:rPr>
        <w:t xml:space="preserve">Los peticionarios alegan que el Estado es responsable por </w:t>
      </w:r>
      <w:r w:rsidR="008F221C" w:rsidRPr="005036C5">
        <w:rPr>
          <w:rFonts w:ascii="Cambria" w:eastAsia="SimSun" w:hAnsi="Cambria"/>
          <w:sz w:val="20"/>
          <w:szCs w:val="20"/>
          <w:lang w:val="es-ES"/>
        </w:rPr>
        <w:t>el</w:t>
      </w:r>
      <w:r w:rsidR="00684D15" w:rsidRPr="005036C5">
        <w:rPr>
          <w:rFonts w:ascii="Cambria" w:eastAsia="SimSun" w:hAnsi="Cambria"/>
          <w:sz w:val="20"/>
          <w:szCs w:val="20"/>
          <w:lang w:val="es-ES"/>
        </w:rPr>
        <w:t xml:space="preserve"> despido injustificado y discriminatorio</w:t>
      </w:r>
      <w:r w:rsidRPr="005036C5">
        <w:rPr>
          <w:rFonts w:ascii="Cambria" w:eastAsia="SimSun" w:hAnsi="Cambria"/>
          <w:sz w:val="20"/>
          <w:szCs w:val="20"/>
          <w:lang w:val="es-ES"/>
        </w:rPr>
        <w:t xml:space="preserve"> </w:t>
      </w:r>
      <w:r w:rsidR="008F221C" w:rsidRPr="005036C5">
        <w:rPr>
          <w:rFonts w:ascii="Cambria" w:eastAsia="SimSun" w:hAnsi="Cambria"/>
          <w:sz w:val="20"/>
          <w:szCs w:val="20"/>
          <w:lang w:val="es-ES"/>
        </w:rPr>
        <w:t xml:space="preserve">de la señora Solórzano </w:t>
      </w:r>
      <w:r w:rsidRPr="005036C5">
        <w:rPr>
          <w:rFonts w:ascii="Cambria" w:eastAsia="SimSun" w:hAnsi="Cambria"/>
          <w:sz w:val="20"/>
          <w:szCs w:val="20"/>
          <w:lang w:val="es-ES"/>
        </w:rPr>
        <w:t xml:space="preserve">en razón de su género y por </w:t>
      </w:r>
      <w:r w:rsidR="008F221C" w:rsidRPr="005036C5">
        <w:rPr>
          <w:rFonts w:ascii="Cambria" w:eastAsia="SimSun" w:hAnsi="Cambria"/>
          <w:sz w:val="20"/>
          <w:szCs w:val="20"/>
          <w:lang w:val="es-ES"/>
        </w:rPr>
        <w:t xml:space="preserve">una </w:t>
      </w:r>
      <w:r w:rsidR="00684D15" w:rsidRPr="005036C5">
        <w:rPr>
          <w:rFonts w:ascii="Cambria" w:eastAsia="SimSun" w:hAnsi="Cambria"/>
          <w:sz w:val="20"/>
          <w:szCs w:val="20"/>
          <w:lang w:val="es-ES"/>
        </w:rPr>
        <w:t>denegación de</w:t>
      </w:r>
      <w:r w:rsidRPr="005036C5">
        <w:rPr>
          <w:rFonts w:ascii="Cambria" w:eastAsia="SimSun" w:hAnsi="Cambria"/>
          <w:sz w:val="20"/>
          <w:szCs w:val="20"/>
          <w:lang w:val="es-ES"/>
        </w:rPr>
        <w:t xml:space="preserve"> justicia.</w:t>
      </w:r>
      <w:r w:rsidR="006C1B7B" w:rsidRPr="005036C5">
        <w:rPr>
          <w:rFonts w:ascii="Cambria" w:eastAsia="SimSun" w:hAnsi="Cambria"/>
          <w:sz w:val="20"/>
          <w:szCs w:val="20"/>
          <w:lang w:val="es-ES"/>
        </w:rPr>
        <w:t xml:space="preserve"> </w:t>
      </w:r>
      <w:r w:rsidR="007C279F" w:rsidRPr="005036C5">
        <w:rPr>
          <w:rFonts w:ascii="Cambria" w:eastAsia="SimSun" w:hAnsi="Cambria"/>
          <w:sz w:val="20"/>
          <w:szCs w:val="20"/>
          <w:lang w:val="es-ES"/>
        </w:rPr>
        <w:t>Según los peticionarios, la presunta víctima fue una de las fundadoras de Radio Querétaro y desempeñó de forma ejemplar sus funciones como locutora en el programa “Querétaro en la Hora Nacional"</w:t>
      </w:r>
      <w:r w:rsidR="00097A85" w:rsidRPr="005036C5">
        <w:rPr>
          <w:rFonts w:ascii="Cambria" w:eastAsia="SimSun" w:hAnsi="Cambria"/>
          <w:sz w:val="20"/>
          <w:szCs w:val="20"/>
          <w:lang w:val="es-ES"/>
        </w:rPr>
        <w:t xml:space="preserve"> hasta su despido e</w:t>
      </w:r>
      <w:r w:rsidR="000A6082" w:rsidRPr="005036C5">
        <w:rPr>
          <w:rFonts w:ascii="Cambria" w:eastAsia="SimSun" w:hAnsi="Cambria"/>
          <w:sz w:val="20"/>
          <w:szCs w:val="20"/>
          <w:lang w:val="es-ES"/>
        </w:rPr>
        <w:t>l</w:t>
      </w:r>
      <w:r w:rsidR="00097A85" w:rsidRPr="005036C5">
        <w:rPr>
          <w:rFonts w:ascii="Cambria" w:eastAsia="SimSun" w:hAnsi="Cambria"/>
          <w:sz w:val="20"/>
          <w:szCs w:val="20"/>
          <w:lang w:val="es-ES"/>
        </w:rPr>
        <w:t xml:space="preserve"> </w:t>
      </w:r>
      <w:r w:rsidR="000A6082" w:rsidRPr="005036C5">
        <w:rPr>
          <w:rFonts w:ascii="Cambria" w:eastAsia="SimSun" w:hAnsi="Cambria"/>
          <w:sz w:val="20"/>
          <w:szCs w:val="20"/>
          <w:lang w:val="es-ES"/>
        </w:rPr>
        <w:t xml:space="preserve">9 de </w:t>
      </w:r>
      <w:r w:rsidR="00097A85" w:rsidRPr="005036C5">
        <w:rPr>
          <w:rFonts w:ascii="Cambria" w:eastAsia="SimSun" w:hAnsi="Cambria"/>
          <w:sz w:val="20"/>
          <w:szCs w:val="20"/>
          <w:lang w:val="es-ES"/>
        </w:rPr>
        <w:t>junio de 2003</w:t>
      </w:r>
      <w:r w:rsidR="007C279F" w:rsidRPr="005036C5">
        <w:rPr>
          <w:rFonts w:ascii="Cambria" w:eastAsia="SimSun" w:hAnsi="Cambria"/>
          <w:sz w:val="20"/>
          <w:szCs w:val="20"/>
          <w:lang w:val="es-ES"/>
        </w:rPr>
        <w:t xml:space="preserve">. Señalan, </w:t>
      </w:r>
      <w:r w:rsidR="00097A85" w:rsidRPr="005036C5">
        <w:rPr>
          <w:rFonts w:ascii="Cambria" w:eastAsia="SimSun" w:hAnsi="Cambria"/>
          <w:sz w:val="20"/>
          <w:szCs w:val="20"/>
          <w:lang w:val="es-ES"/>
        </w:rPr>
        <w:t xml:space="preserve">que </w:t>
      </w:r>
      <w:r w:rsidR="00E80140" w:rsidRPr="005036C5">
        <w:rPr>
          <w:rFonts w:ascii="Cambria" w:eastAsia="SimSun" w:hAnsi="Cambria"/>
          <w:sz w:val="20"/>
          <w:szCs w:val="20"/>
          <w:lang w:val="es-ES"/>
        </w:rPr>
        <w:t xml:space="preserve">ella fue despedida porque </w:t>
      </w:r>
      <w:r w:rsidR="007C279F" w:rsidRPr="005036C5">
        <w:rPr>
          <w:rFonts w:ascii="Cambria" w:eastAsia="SimSun" w:hAnsi="Cambria"/>
          <w:sz w:val="20"/>
          <w:szCs w:val="20"/>
          <w:lang w:val="es-ES"/>
        </w:rPr>
        <w:t xml:space="preserve">la entonces directora </w:t>
      </w:r>
      <w:r w:rsidR="00BC6D88" w:rsidRPr="005036C5">
        <w:rPr>
          <w:rFonts w:ascii="Cambria" w:eastAsia="SimSun" w:hAnsi="Cambria"/>
          <w:sz w:val="20"/>
          <w:szCs w:val="20"/>
          <w:lang w:val="es-ES"/>
        </w:rPr>
        <w:t xml:space="preserve">de la estación radiofónica </w:t>
      </w:r>
      <w:r w:rsidR="007C279F" w:rsidRPr="005036C5">
        <w:rPr>
          <w:rFonts w:ascii="Cambria" w:eastAsia="SimSun" w:hAnsi="Cambria"/>
          <w:sz w:val="20"/>
          <w:szCs w:val="20"/>
          <w:lang w:val="es-ES"/>
        </w:rPr>
        <w:t xml:space="preserve">prefería una voz masculina como conductora del programa </w:t>
      </w:r>
      <w:r w:rsidR="00BC6D88" w:rsidRPr="005036C5">
        <w:rPr>
          <w:rFonts w:ascii="Cambria" w:eastAsia="SimSun" w:hAnsi="Cambria"/>
          <w:sz w:val="20"/>
          <w:szCs w:val="20"/>
          <w:lang w:val="es-ES"/>
        </w:rPr>
        <w:t>“Querétaro en la Hora Nacional" y</w:t>
      </w:r>
      <w:r w:rsidR="007C279F" w:rsidRPr="005036C5">
        <w:rPr>
          <w:rFonts w:ascii="Cambria" w:eastAsia="SimSun" w:hAnsi="Cambria"/>
          <w:sz w:val="20"/>
          <w:szCs w:val="20"/>
          <w:lang w:val="es-ES"/>
        </w:rPr>
        <w:t xml:space="preserve"> prefería “difundir una imagen donde el hombre fuera lo principal y la mujer cubriera sólo el aspecto secundario”.</w:t>
      </w:r>
      <w:r w:rsidR="00BC6D88" w:rsidRPr="005036C5">
        <w:rPr>
          <w:rFonts w:ascii="Cambria" w:eastAsia="SimSun" w:hAnsi="Cambria"/>
          <w:sz w:val="20"/>
          <w:szCs w:val="20"/>
          <w:lang w:val="es-ES"/>
        </w:rPr>
        <w:t xml:space="preserve"> </w:t>
      </w:r>
      <w:r w:rsidR="00BC6D88" w:rsidRPr="005036C5">
        <w:rPr>
          <w:rFonts w:asciiTheme="majorHAnsi" w:hAnsiTheme="majorHAnsi" w:cs="Arial"/>
          <w:sz w:val="20"/>
          <w:szCs w:val="20"/>
          <w:lang w:val="es-ES"/>
        </w:rPr>
        <w:t>Alegan que la señora Solórzano cuestionó los motivos de su despido y la directora no dudó en responder que “si [fuera] hombre sería diferente”.</w:t>
      </w:r>
    </w:p>
    <w:p w14:paraId="4D8FE98C" w14:textId="457E3D9F" w:rsidR="00216A29" w:rsidRPr="005036C5" w:rsidRDefault="00216A29" w:rsidP="00216A2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Theme="majorHAnsi" w:hAnsiTheme="majorHAnsi" w:cs="Arial"/>
          <w:sz w:val="20"/>
          <w:szCs w:val="20"/>
          <w:lang w:val="es-ES"/>
        </w:rPr>
      </w:pPr>
      <w:r w:rsidRPr="005036C5">
        <w:rPr>
          <w:rFonts w:asciiTheme="majorHAnsi" w:hAnsiTheme="majorHAnsi" w:cs="Arial"/>
          <w:sz w:val="20"/>
          <w:szCs w:val="20"/>
          <w:lang w:val="es-ES"/>
        </w:rPr>
        <w:t>Los peticionarios aducen que no existe en el ordenamiento jurídico mexicano un recurso efectivo para cuestionar simultáneamente las violaciones a los derechos laborales de la presunta víctima y las violaciones a sus derechos humanos. Indican que por este motivo la señora Solórzano presentó una demanda laboral a la Junta Especial No. 50 de la Junta Federal de Conciliación y Arbitraje (en adelante, “la Junta”) y acudió a la Comisión Estadual y a la Comisión Nacional de Derechos Humanos (en adelante, “CEDH” y “CNDH”, re</w:t>
      </w:r>
      <w:r w:rsidR="004C4757" w:rsidRPr="005036C5">
        <w:rPr>
          <w:rFonts w:asciiTheme="majorHAnsi" w:hAnsiTheme="majorHAnsi" w:cs="Arial"/>
          <w:sz w:val="20"/>
          <w:szCs w:val="20"/>
          <w:lang w:val="es-ES"/>
        </w:rPr>
        <w:t>s</w:t>
      </w:r>
      <w:r w:rsidRPr="005036C5">
        <w:rPr>
          <w:rFonts w:asciiTheme="majorHAnsi" w:hAnsiTheme="majorHAnsi" w:cs="Arial"/>
          <w:sz w:val="20"/>
          <w:szCs w:val="20"/>
          <w:lang w:val="es-ES"/>
        </w:rPr>
        <w:t>pectivamente) para cuestionar la vulneración de sus derechos humanos.</w:t>
      </w:r>
    </w:p>
    <w:p w14:paraId="53093A73" w14:textId="79F891D5" w:rsidR="006C1B7B" w:rsidRPr="005036C5" w:rsidRDefault="00216A29" w:rsidP="005947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jc w:val="both"/>
        <w:rPr>
          <w:rFonts w:ascii="Cambria" w:hAnsi="Cambria" w:cs="Arial"/>
          <w:sz w:val="20"/>
          <w:szCs w:val="20"/>
          <w:lang w:val="es-ES"/>
        </w:rPr>
      </w:pPr>
      <w:r w:rsidRPr="005036C5">
        <w:rPr>
          <w:rFonts w:asciiTheme="majorHAnsi" w:hAnsiTheme="majorHAnsi" w:cs="Arial"/>
          <w:sz w:val="20"/>
          <w:szCs w:val="20"/>
          <w:lang w:val="es-ES"/>
        </w:rPr>
        <w:t xml:space="preserve">Sostienen que la demanda laboral resultó ineficaz debido a un retardo injustificado del proceso y </w:t>
      </w:r>
      <w:r w:rsidR="00824E0A" w:rsidRPr="005036C5">
        <w:rPr>
          <w:rFonts w:asciiTheme="majorHAnsi" w:hAnsiTheme="majorHAnsi" w:cs="Arial"/>
          <w:sz w:val="20"/>
          <w:szCs w:val="20"/>
          <w:lang w:val="es-ES"/>
        </w:rPr>
        <w:t>porque</w:t>
      </w:r>
      <w:r w:rsidRPr="005036C5">
        <w:rPr>
          <w:rFonts w:asciiTheme="majorHAnsi" w:hAnsiTheme="majorHAnsi" w:cs="Arial"/>
          <w:sz w:val="20"/>
          <w:szCs w:val="20"/>
          <w:lang w:val="es-ES"/>
        </w:rPr>
        <w:t xml:space="preserve"> la Junta no se pronunció respecto a la discriminación </w:t>
      </w:r>
      <w:r w:rsidR="00E80140" w:rsidRPr="005036C5">
        <w:rPr>
          <w:rFonts w:asciiTheme="majorHAnsi" w:hAnsiTheme="majorHAnsi" w:cs="Arial"/>
          <w:sz w:val="20"/>
          <w:szCs w:val="20"/>
          <w:lang w:val="es-ES"/>
        </w:rPr>
        <w:t>sufrida por</w:t>
      </w:r>
      <w:r w:rsidRPr="005036C5">
        <w:rPr>
          <w:rFonts w:asciiTheme="majorHAnsi" w:hAnsiTheme="majorHAnsi" w:cs="Arial"/>
          <w:sz w:val="20"/>
          <w:szCs w:val="20"/>
          <w:lang w:val="es-ES"/>
        </w:rPr>
        <w:t xml:space="preserve"> la señora Solórzano. En relación con el supuesto retardo, </w:t>
      </w:r>
      <w:r w:rsidR="00824E0A" w:rsidRPr="005036C5">
        <w:rPr>
          <w:rFonts w:asciiTheme="majorHAnsi" w:hAnsiTheme="majorHAnsi" w:cs="Arial"/>
          <w:sz w:val="20"/>
          <w:szCs w:val="20"/>
          <w:lang w:val="es-ES"/>
        </w:rPr>
        <w:t>afirman</w:t>
      </w:r>
      <w:r w:rsidRPr="005036C5">
        <w:rPr>
          <w:rFonts w:asciiTheme="majorHAnsi" w:hAnsiTheme="majorHAnsi" w:cs="Arial"/>
          <w:sz w:val="20"/>
          <w:szCs w:val="20"/>
          <w:lang w:val="es-ES"/>
        </w:rPr>
        <w:t xml:space="preserve"> que la Junta </w:t>
      </w:r>
      <w:r w:rsidR="00824E0A" w:rsidRPr="005036C5">
        <w:rPr>
          <w:rFonts w:asciiTheme="majorHAnsi" w:hAnsiTheme="majorHAnsi" w:cs="Arial"/>
          <w:sz w:val="20"/>
          <w:szCs w:val="20"/>
          <w:lang w:val="es-ES"/>
        </w:rPr>
        <w:t xml:space="preserve"> tardó cerca de nueve años en resolver la demanda y</w:t>
      </w:r>
      <w:r w:rsidR="004C4757" w:rsidRPr="005036C5">
        <w:rPr>
          <w:rFonts w:asciiTheme="majorHAnsi" w:hAnsiTheme="majorHAnsi" w:cs="Arial"/>
          <w:sz w:val="20"/>
          <w:szCs w:val="20"/>
          <w:lang w:val="es-ES"/>
        </w:rPr>
        <w:t xml:space="preserve"> </w:t>
      </w:r>
      <w:r w:rsidR="00E80140" w:rsidRPr="005036C5">
        <w:rPr>
          <w:rFonts w:asciiTheme="majorHAnsi" w:hAnsiTheme="majorHAnsi" w:cs="Arial"/>
          <w:sz w:val="20"/>
          <w:szCs w:val="20"/>
          <w:lang w:val="es-ES"/>
        </w:rPr>
        <w:t xml:space="preserve">que </w:t>
      </w:r>
      <w:r w:rsidR="00824E0A" w:rsidRPr="005036C5">
        <w:rPr>
          <w:rFonts w:asciiTheme="majorHAnsi" w:hAnsiTheme="majorHAnsi" w:cs="Arial"/>
          <w:sz w:val="20"/>
          <w:szCs w:val="20"/>
          <w:lang w:val="es-ES"/>
        </w:rPr>
        <w:t>esta demora</w:t>
      </w:r>
      <w:r w:rsidRPr="005036C5">
        <w:rPr>
          <w:rFonts w:asciiTheme="majorHAnsi" w:hAnsiTheme="majorHAnsi" w:cs="Arial"/>
          <w:sz w:val="20"/>
          <w:szCs w:val="20"/>
          <w:lang w:val="es-ES"/>
        </w:rPr>
        <w:t xml:space="preserve"> es atribuible exclusivamente al Estado, pues durante este periodo hubo el diferimiento de varias audiencias y no </w:t>
      </w:r>
      <w:r w:rsidR="00E80140" w:rsidRPr="005036C5">
        <w:rPr>
          <w:rFonts w:asciiTheme="majorHAnsi" w:hAnsiTheme="majorHAnsi" w:cs="Arial"/>
          <w:sz w:val="20"/>
          <w:szCs w:val="20"/>
          <w:lang w:val="es-ES"/>
        </w:rPr>
        <w:t xml:space="preserve">se respetaron </w:t>
      </w:r>
      <w:r w:rsidRPr="005036C5">
        <w:rPr>
          <w:rFonts w:asciiTheme="majorHAnsi" w:hAnsiTheme="majorHAnsi" w:cs="Arial"/>
          <w:sz w:val="20"/>
          <w:szCs w:val="20"/>
          <w:lang w:val="es-ES"/>
        </w:rPr>
        <w:t xml:space="preserve">los términos y plazos procesales establecidos en la Ley Federal del Trabajo. </w:t>
      </w:r>
      <w:r w:rsidR="00A50425" w:rsidRPr="005036C5">
        <w:rPr>
          <w:rFonts w:asciiTheme="majorHAnsi" w:hAnsiTheme="majorHAnsi"/>
          <w:sz w:val="20"/>
          <w:szCs w:val="20"/>
          <w:lang w:val="es-ES"/>
        </w:rPr>
        <w:t xml:space="preserve"> </w:t>
      </w:r>
      <w:r w:rsidR="00824E0A" w:rsidRPr="005036C5">
        <w:rPr>
          <w:rFonts w:asciiTheme="majorHAnsi" w:hAnsiTheme="majorHAnsi" w:cs="Arial"/>
          <w:sz w:val="20"/>
          <w:szCs w:val="20"/>
          <w:lang w:val="es-ES"/>
        </w:rPr>
        <w:t xml:space="preserve">Afirman que la anuencia de la presunta víctima a los diferimientos de audiencias no exime al Estado de su responsabilidad por el retardo, pues la Junta debería haber determinado una nueva fecha para las audiencias en conformidad con los plazos establecidos en la ley y no lo hizo. Asimismo, indican que la señora Solórzano no interpuso amparos indirectos para corregir los errores procesales, pues hubiera sido necesario presentar numerosos amparos </w:t>
      </w:r>
      <w:r w:rsidR="000A6082" w:rsidRPr="005036C5">
        <w:rPr>
          <w:rFonts w:asciiTheme="majorHAnsi" w:hAnsiTheme="majorHAnsi" w:cs="Arial"/>
          <w:sz w:val="20"/>
          <w:szCs w:val="20"/>
          <w:lang w:val="es-ES"/>
        </w:rPr>
        <w:t xml:space="preserve">para corregir la grande cantidad de errores de la Junta </w:t>
      </w:r>
      <w:r w:rsidR="00824E0A" w:rsidRPr="005036C5">
        <w:rPr>
          <w:rFonts w:asciiTheme="majorHAnsi" w:hAnsiTheme="majorHAnsi" w:cs="Arial"/>
          <w:sz w:val="20"/>
          <w:szCs w:val="20"/>
          <w:lang w:val="es-ES"/>
        </w:rPr>
        <w:t>y esto sería contrario al propósito de este recurso que es el de garantizar un pronto juicio.</w:t>
      </w:r>
      <w:r w:rsidR="00A50425" w:rsidRPr="005036C5">
        <w:rPr>
          <w:rFonts w:asciiTheme="majorHAnsi" w:hAnsiTheme="majorHAnsi" w:cs="Arial"/>
          <w:sz w:val="20"/>
          <w:szCs w:val="20"/>
          <w:lang w:val="es-ES"/>
        </w:rPr>
        <w:t xml:space="preserve"> </w:t>
      </w:r>
      <w:r w:rsidR="006C1B7B" w:rsidRPr="005036C5">
        <w:rPr>
          <w:rFonts w:ascii="Cambria" w:hAnsi="Cambria" w:cs="Arial"/>
          <w:sz w:val="20"/>
          <w:szCs w:val="20"/>
          <w:lang w:val="es-ES"/>
        </w:rPr>
        <w:t xml:space="preserve">En relación con la </w:t>
      </w:r>
      <w:r w:rsidR="00252D6A" w:rsidRPr="005036C5">
        <w:rPr>
          <w:rFonts w:ascii="Cambria" w:hAnsi="Cambria" w:cs="Arial"/>
          <w:sz w:val="20"/>
          <w:szCs w:val="20"/>
          <w:lang w:val="es-ES"/>
        </w:rPr>
        <w:t xml:space="preserve">falta de </w:t>
      </w:r>
      <w:r w:rsidR="00E80140" w:rsidRPr="005036C5">
        <w:rPr>
          <w:rFonts w:ascii="Cambria" w:hAnsi="Cambria" w:cs="Arial"/>
          <w:sz w:val="20"/>
          <w:szCs w:val="20"/>
          <w:lang w:val="es-ES"/>
        </w:rPr>
        <w:t xml:space="preserve">un </w:t>
      </w:r>
      <w:r w:rsidR="00252D6A" w:rsidRPr="005036C5">
        <w:rPr>
          <w:rFonts w:ascii="Cambria" w:hAnsi="Cambria" w:cs="Arial"/>
          <w:sz w:val="20"/>
          <w:szCs w:val="20"/>
          <w:lang w:val="es-ES"/>
        </w:rPr>
        <w:t>pronunciamiento sobre la</w:t>
      </w:r>
      <w:r w:rsidR="006C1B7B" w:rsidRPr="005036C5">
        <w:rPr>
          <w:rFonts w:ascii="Cambria" w:hAnsi="Cambria" w:cs="Arial"/>
          <w:sz w:val="20"/>
          <w:szCs w:val="20"/>
          <w:lang w:val="es-ES"/>
        </w:rPr>
        <w:t xml:space="preserve"> discriminación</w:t>
      </w:r>
      <w:r w:rsidR="00E80140" w:rsidRPr="005036C5">
        <w:rPr>
          <w:rFonts w:ascii="Cambria" w:hAnsi="Cambria" w:cs="Arial"/>
          <w:sz w:val="20"/>
          <w:szCs w:val="20"/>
          <w:lang w:val="es-ES"/>
        </w:rPr>
        <w:t xml:space="preserve"> supuestamente</w:t>
      </w:r>
      <w:r w:rsidR="006C1B7B" w:rsidRPr="005036C5">
        <w:rPr>
          <w:rFonts w:ascii="Cambria" w:hAnsi="Cambria" w:cs="Arial"/>
          <w:sz w:val="20"/>
          <w:szCs w:val="20"/>
          <w:lang w:val="es-ES"/>
        </w:rPr>
        <w:t xml:space="preserve"> sufrida por la señora Solórzano, indican que la Junta se limitó a analizar la fecha en que terminó la relación laboral de la señora Solórzano con la estación radiofónica y, a</w:t>
      </w:r>
      <w:r w:rsidR="00252D6A" w:rsidRPr="005036C5">
        <w:rPr>
          <w:rFonts w:ascii="Cambria" w:hAnsi="Cambria" w:cs="Arial"/>
          <w:sz w:val="20"/>
          <w:szCs w:val="20"/>
          <w:lang w:val="es-ES"/>
        </w:rPr>
        <w:t>l</w:t>
      </w:r>
      <w:r w:rsidR="006C1B7B" w:rsidRPr="005036C5">
        <w:rPr>
          <w:rFonts w:ascii="Cambria" w:hAnsi="Cambria" w:cs="Arial"/>
          <w:sz w:val="20"/>
          <w:szCs w:val="20"/>
          <w:lang w:val="es-ES"/>
        </w:rPr>
        <w:t xml:space="preserve"> determinar que esta relación había terminado en fecha posterior a la alegada por ella en razón de la no renovación de su contrato, consideró que no era necesario entrar a conocer los motivos del despido</w:t>
      </w:r>
      <w:r w:rsidR="00252D6A" w:rsidRPr="005036C5">
        <w:rPr>
          <w:rFonts w:ascii="Cambria" w:hAnsi="Cambria" w:cs="Arial"/>
          <w:sz w:val="20"/>
          <w:szCs w:val="20"/>
          <w:lang w:val="es-ES"/>
        </w:rPr>
        <w:t>.</w:t>
      </w:r>
    </w:p>
    <w:p w14:paraId="1BEA1129" w14:textId="23B931C2" w:rsidR="004C4757" w:rsidRPr="005036C5" w:rsidRDefault="004C4757" w:rsidP="004C47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Theme="majorHAnsi" w:hAnsiTheme="majorHAnsi" w:cs="Arial"/>
          <w:color w:val="548DD4" w:themeColor="text2" w:themeTint="99"/>
          <w:sz w:val="20"/>
          <w:szCs w:val="20"/>
          <w:lang w:val="es-ES"/>
        </w:rPr>
      </w:pPr>
      <w:r w:rsidRPr="005036C5">
        <w:rPr>
          <w:rFonts w:ascii="Cambria" w:hAnsi="Cambria" w:cs="Arial"/>
          <w:sz w:val="20"/>
          <w:szCs w:val="20"/>
          <w:lang w:val="es-ES"/>
        </w:rPr>
        <w:lastRenderedPageBreak/>
        <w:t>Añaden que</w:t>
      </w:r>
      <w:r w:rsidR="00594711" w:rsidRPr="005036C5">
        <w:rPr>
          <w:rFonts w:ascii="Cambria" w:hAnsi="Cambria" w:cs="Arial"/>
          <w:sz w:val="20"/>
          <w:szCs w:val="20"/>
          <w:lang w:val="es-ES"/>
        </w:rPr>
        <w:t xml:space="preserve"> la presunta víctima </w:t>
      </w:r>
      <w:r w:rsidR="004A579D" w:rsidRPr="005036C5">
        <w:rPr>
          <w:rFonts w:ascii="Cambria" w:hAnsi="Cambria" w:cs="Arial"/>
          <w:sz w:val="20"/>
          <w:szCs w:val="20"/>
          <w:lang w:val="es-ES"/>
        </w:rPr>
        <w:t xml:space="preserve">interpuso </w:t>
      </w:r>
      <w:r w:rsidR="00594711" w:rsidRPr="005036C5">
        <w:rPr>
          <w:rFonts w:ascii="Cambria" w:hAnsi="Cambria" w:cs="Arial"/>
          <w:sz w:val="20"/>
          <w:szCs w:val="20"/>
          <w:lang w:val="es-ES"/>
        </w:rPr>
        <w:t xml:space="preserve">un amparo directo </w:t>
      </w:r>
      <w:r w:rsidR="004A579D" w:rsidRPr="005036C5">
        <w:rPr>
          <w:rFonts w:ascii="Cambria" w:hAnsi="Cambria" w:cs="Arial"/>
          <w:sz w:val="20"/>
          <w:szCs w:val="20"/>
          <w:lang w:val="es-ES"/>
        </w:rPr>
        <w:t xml:space="preserve">contra la resolución de la Junta de junio de 2012 </w:t>
      </w:r>
      <w:r w:rsidR="00594711" w:rsidRPr="005036C5">
        <w:rPr>
          <w:rFonts w:ascii="Cambria" w:hAnsi="Cambria" w:cs="Arial"/>
          <w:sz w:val="20"/>
          <w:szCs w:val="20"/>
          <w:lang w:val="es-ES"/>
        </w:rPr>
        <w:t xml:space="preserve">y </w:t>
      </w:r>
      <w:r w:rsidR="00786F22" w:rsidRPr="005036C5">
        <w:rPr>
          <w:rFonts w:ascii="Cambria" w:hAnsi="Cambria" w:cs="Arial"/>
          <w:sz w:val="20"/>
          <w:szCs w:val="20"/>
          <w:lang w:val="es-ES"/>
        </w:rPr>
        <w:t>en febrero de 2013</w:t>
      </w:r>
      <w:r w:rsidR="00DD550F" w:rsidRPr="005036C5">
        <w:rPr>
          <w:rFonts w:ascii="Cambria" w:hAnsi="Cambria" w:cs="Arial"/>
          <w:sz w:val="20"/>
          <w:szCs w:val="20"/>
          <w:lang w:val="es-ES"/>
        </w:rPr>
        <w:t>, al sentirse presionada económicamente,</w:t>
      </w:r>
      <w:r w:rsidR="00786F22" w:rsidRPr="005036C5">
        <w:rPr>
          <w:rFonts w:ascii="Cambria" w:hAnsi="Cambria" w:cs="Arial"/>
          <w:sz w:val="20"/>
          <w:szCs w:val="20"/>
          <w:lang w:val="es-ES"/>
        </w:rPr>
        <w:t xml:space="preserve"> </w:t>
      </w:r>
      <w:r w:rsidR="00594711" w:rsidRPr="005036C5">
        <w:rPr>
          <w:rFonts w:ascii="Cambria" w:hAnsi="Cambria" w:cs="Arial"/>
          <w:sz w:val="20"/>
          <w:szCs w:val="20"/>
          <w:lang w:val="es-ES"/>
        </w:rPr>
        <w:t xml:space="preserve">desistió de este recurso después de llegar a un acuerdo con el Estado respecto a su situación laboral. Sin embargo, afirman </w:t>
      </w:r>
      <w:r w:rsidR="00BD1F40" w:rsidRPr="005036C5">
        <w:rPr>
          <w:rFonts w:ascii="Cambria" w:hAnsi="Cambria" w:cs="Arial"/>
          <w:sz w:val="20"/>
          <w:szCs w:val="20"/>
          <w:lang w:val="es-ES"/>
        </w:rPr>
        <w:t xml:space="preserve">que </w:t>
      </w:r>
      <w:r w:rsidR="00594711" w:rsidRPr="005036C5">
        <w:rPr>
          <w:rFonts w:ascii="Cambria" w:hAnsi="Cambria" w:cs="Arial"/>
          <w:sz w:val="20"/>
          <w:szCs w:val="20"/>
          <w:lang w:val="es-ES"/>
        </w:rPr>
        <w:t>este recurso no sería un recurso efectivo para garantizar los derechos vulnerados y</w:t>
      </w:r>
      <w:r w:rsidR="008247E8" w:rsidRPr="005036C5">
        <w:rPr>
          <w:rFonts w:ascii="Cambria" w:hAnsi="Cambria" w:cs="Arial"/>
          <w:sz w:val="20"/>
          <w:szCs w:val="20"/>
          <w:lang w:val="es-ES"/>
        </w:rPr>
        <w:t>a</w:t>
      </w:r>
      <w:r w:rsidR="00594711" w:rsidRPr="005036C5">
        <w:rPr>
          <w:rFonts w:ascii="Cambria" w:hAnsi="Cambria" w:cs="Arial"/>
          <w:sz w:val="20"/>
          <w:szCs w:val="20"/>
          <w:lang w:val="es-ES"/>
        </w:rPr>
        <w:t xml:space="preserve"> que </w:t>
      </w:r>
      <w:r w:rsidR="008247E8" w:rsidRPr="005036C5">
        <w:rPr>
          <w:rFonts w:ascii="Cambria" w:hAnsi="Cambria" w:cs="Arial"/>
          <w:sz w:val="20"/>
          <w:szCs w:val="20"/>
          <w:lang w:val="es-ES"/>
        </w:rPr>
        <w:t>su</w:t>
      </w:r>
      <w:r w:rsidR="00594711" w:rsidRPr="005036C5">
        <w:rPr>
          <w:rFonts w:ascii="Cambria" w:hAnsi="Cambria" w:cs="Arial"/>
          <w:sz w:val="20"/>
          <w:szCs w:val="20"/>
          <w:lang w:val="es-ES"/>
        </w:rPr>
        <w:t xml:space="preserve"> interposición dependía primero de una resolución final de la Junta, que sólo ocurrió nueve años después de la presentación de la demanda. </w:t>
      </w:r>
      <w:r w:rsidR="004A579D" w:rsidRPr="005036C5">
        <w:rPr>
          <w:rFonts w:ascii="Cambria" w:hAnsi="Cambria" w:cs="Arial"/>
          <w:sz w:val="20"/>
          <w:szCs w:val="20"/>
          <w:lang w:val="es-ES"/>
        </w:rPr>
        <w:t>Por lo tanto, cualquier efectividad de este recurso se perdió en razón del retardo injustificado del proceso laboral.</w:t>
      </w:r>
      <w:r w:rsidRPr="005036C5">
        <w:rPr>
          <w:rFonts w:ascii="Cambria" w:hAnsi="Cambria" w:cs="Arial"/>
          <w:sz w:val="20"/>
          <w:szCs w:val="20"/>
          <w:lang w:val="es-ES"/>
        </w:rPr>
        <w:t xml:space="preserve"> </w:t>
      </w:r>
      <w:r w:rsidRPr="005036C5">
        <w:rPr>
          <w:rFonts w:asciiTheme="majorHAnsi" w:hAnsiTheme="majorHAnsi" w:cs="Arial"/>
          <w:sz w:val="20"/>
          <w:szCs w:val="20"/>
          <w:lang w:val="es-ES"/>
        </w:rPr>
        <w:t xml:space="preserve">Añaden, que si bien la reforma constitucional de 2011 estableció que el amparo debe realizar un control de convencionalidad, esto no obliga a agotar este recurso para poder acudir a la CIDH. Al respecto, señalan que según el principio pro persona debe ser aplicada a la señora Solórzano la legislación que más favorezca sus intereses y que ofrezca una justicia pronta, expedita y la tutela de sus derechos humanos. Alegan que en el presente caso este recurso es la petición presentada ante la CIDH. </w:t>
      </w:r>
    </w:p>
    <w:p w14:paraId="51D1B70D" w14:textId="2113C77A" w:rsidR="00594711" w:rsidRPr="005036C5" w:rsidRDefault="00EC4635" w:rsidP="005947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Arial"/>
          <w:sz w:val="20"/>
          <w:szCs w:val="20"/>
          <w:lang w:val="es-ES"/>
        </w:rPr>
      </w:pPr>
      <w:r w:rsidRPr="005036C5">
        <w:rPr>
          <w:rFonts w:ascii="Cambria" w:hAnsi="Cambria" w:cs="Arial"/>
          <w:sz w:val="20"/>
          <w:szCs w:val="20"/>
          <w:lang w:val="es-ES"/>
        </w:rPr>
        <w:t>Según los peticionarios,</w:t>
      </w:r>
      <w:r w:rsidR="00594711" w:rsidRPr="005036C5">
        <w:rPr>
          <w:rFonts w:ascii="Cambria" w:hAnsi="Cambria" w:cs="Arial"/>
          <w:sz w:val="20"/>
          <w:szCs w:val="20"/>
          <w:lang w:val="es-ES"/>
        </w:rPr>
        <w:t xml:space="preserve"> solamente las quejas y recursos presentados ante la CEDH y la CNDH pudieran haber sido efectivos para garantizar los derechos humanos de la presunta víctima. Indican que se agotaron estos recursos administrativos, pero los mismos resultaron ineficaces, pues el Estado no dio cumplimiento a las recomendaciones </w:t>
      </w:r>
      <w:r w:rsidRPr="005036C5">
        <w:rPr>
          <w:rFonts w:ascii="Cambria" w:hAnsi="Cambria" w:cs="Arial"/>
          <w:sz w:val="20"/>
          <w:szCs w:val="20"/>
          <w:lang w:val="es-ES"/>
        </w:rPr>
        <w:t>de estas comisiones</w:t>
      </w:r>
      <w:r w:rsidR="00594711" w:rsidRPr="005036C5">
        <w:rPr>
          <w:rFonts w:ascii="Cambria" w:hAnsi="Cambria" w:cs="Arial"/>
          <w:sz w:val="20"/>
          <w:szCs w:val="20"/>
          <w:lang w:val="es-ES"/>
        </w:rPr>
        <w:t xml:space="preserve"> </w:t>
      </w:r>
    </w:p>
    <w:p w14:paraId="36FD2CE9" w14:textId="12BD65F4" w:rsidR="0015144A" w:rsidRPr="005036C5" w:rsidRDefault="00594711" w:rsidP="001514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ind w:left="-90"/>
        <w:jc w:val="both"/>
        <w:rPr>
          <w:rFonts w:asciiTheme="majorHAnsi" w:hAnsiTheme="majorHAnsi"/>
          <w:color w:val="548DD4" w:themeColor="text2" w:themeTint="99"/>
          <w:sz w:val="20"/>
          <w:szCs w:val="20"/>
          <w:lang w:val="es-ES"/>
        </w:rPr>
      </w:pPr>
      <w:r w:rsidRPr="005036C5">
        <w:rPr>
          <w:rFonts w:ascii="Cambria" w:hAnsi="Cambria" w:cs="Arial"/>
          <w:sz w:val="20"/>
          <w:szCs w:val="20"/>
          <w:lang w:val="es-ES"/>
        </w:rPr>
        <w:t xml:space="preserve"> </w:t>
      </w:r>
      <w:r w:rsidR="00E7043A" w:rsidRPr="005036C5">
        <w:rPr>
          <w:rFonts w:ascii="Cambria" w:hAnsi="Cambria"/>
          <w:sz w:val="20"/>
          <w:szCs w:val="20"/>
          <w:lang w:val="es-ES"/>
        </w:rPr>
        <w:t>El</w:t>
      </w:r>
      <w:r w:rsidRPr="005036C5">
        <w:rPr>
          <w:rFonts w:ascii="Cambria" w:hAnsi="Cambria"/>
          <w:sz w:val="20"/>
          <w:szCs w:val="20"/>
          <w:lang w:val="es-ES"/>
        </w:rPr>
        <w:t xml:space="preserve"> Estado sostiene que la CIDH tiene competencia limitada para conocer del presente asunto y que la petición debe ser declarada inadmisible</w:t>
      </w:r>
      <w:r w:rsidR="00E7043A" w:rsidRPr="005036C5">
        <w:rPr>
          <w:rFonts w:ascii="Cambria" w:hAnsi="Cambria"/>
          <w:sz w:val="20"/>
          <w:szCs w:val="20"/>
          <w:lang w:val="es-ES"/>
        </w:rPr>
        <w:t>.</w:t>
      </w:r>
      <w:r w:rsidR="00E7043A" w:rsidRPr="005036C5">
        <w:rPr>
          <w:rFonts w:asciiTheme="majorHAnsi" w:hAnsiTheme="majorHAnsi"/>
          <w:sz w:val="20"/>
          <w:szCs w:val="20"/>
          <w:lang w:val="es-ES"/>
        </w:rPr>
        <w:t xml:space="preserve"> Al respecto, indica que la demanda laboral interpuesta por la señora Solórzano trató de cuestiones laborales que estarían fuera de la competencia de la Comisión</w:t>
      </w:r>
      <w:r w:rsidR="0015144A" w:rsidRPr="005036C5">
        <w:rPr>
          <w:rFonts w:asciiTheme="majorHAnsi" w:hAnsiTheme="majorHAnsi"/>
          <w:sz w:val="20"/>
          <w:szCs w:val="20"/>
          <w:lang w:val="es-ES"/>
        </w:rPr>
        <w:t xml:space="preserve"> y que los recursos efectivos que existen en el ordenamiento jurídico mexicano para garantizar los derechos humanos supuestamente violados no fueron agotados. Asimismo, en razón del desistimiento de la peticionaria de su recurso de amparo y la conclusión del proceso laboral por la vía amistosa, el Estado indica que la petición, además de ser inadmisible, debe ser archivada por no subsistir los motivos de la misma. </w:t>
      </w:r>
    </w:p>
    <w:p w14:paraId="794314EA" w14:textId="50D6CC6F" w:rsidR="0072314C" w:rsidRPr="005036C5" w:rsidRDefault="0015144A" w:rsidP="007231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ind w:left="-90"/>
        <w:jc w:val="both"/>
        <w:rPr>
          <w:rFonts w:asciiTheme="majorHAnsi" w:hAnsiTheme="majorHAnsi"/>
          <w:sz w:val="20"/>
          <w:szCs w:val="20"/>
          <w:lang w:val="es-ES"/>
        </w:rPr>
      </w:pPr>
      <w:r w:rsidRPr="005036C5">
        <w:rPr>
          <w:rFonts w:asciiTheme="majorHAnsi" w:hAnsiTheme="majorHAnsi"/>
          <w:sz w:val="20"/>
          <w:szCs w:val="20"/>
          <w:lang w:val="es-ES"/>
        </w:rPr>
        <w:t xml:space="preserve">El Estado señala que la demanda laboral presentada por la presunta víctima era el recurso idóneo para proteger sus derechos laborales y sus derechos humanos. </w:t>
      </w:r>
      <w:r w:rsidR="00B878F3" w:rsidRPr="005036C5">
        <w:rPr>
          <w:rFonts w:asciiTheme="majorHAnsi" w:hAnsiTheme="majorHAnsi"/>
          <w:sz w:val="20"/>
          <w:szCs w:val="20"/>
          <w:lang w:val="es-ES"/>
        </w:rPr>
        <w:t xml:space="preserve"> </w:t>
      </w:r>
      <w:r w:rsidR="0072314C" w:rsidRPr="005036C5">
        <w:rPr>
          <w:rFonts w:asciiTheme="majorHAnsi" w:hAnsiTheme="majorHAnsi"/>
          <w:sz w:val="20"/>
          <w:szCs w:val="20"/>
          <w:lang w:val="es-ES"/>
        </w:rPr>
        <w:t>Añade que el supuesto retardo injustificado en concluir la demanda laboral se debe exclusivamente a la estrategia de litigio de la señora Solórzano</w:t>
      </w:r>
      <w:r w:rsidR="00B878F3" w:rsidRPr="005036C5">
        <w:rPr>
          <w:rFonts w:asciiTheme="majorHAnsi" w:hAnsiTheme="majorHAnsi"/>
          <w:sz w:val="20"/>
          <w:szCs w:val="20"/>
          <w:lang w:val="es-ES"/>
        </w:rPr>
        <w:t xml:space="preserve"> y</w:t>
      </w:r>
      <w:r w:rsidR="0072314C" w:rsidRPr="005036C5">
        <w:rPr>
          <w:rFonts w:asciiTheme="majorHAnsi" w:hAnsiTheme="majorHAnsi"/>
          <w:sz w:val="20"/>
          <w:szCs w:val="20"/>
          <w:lang w:val="es-ES"/>
        </w:rPr>
        <w:t xml:space="preserve"> la Suprema Corte de Justicia de la Nación ya ha establecido la procedencia del amparo indirecto en contra de las omisiones y dilaciones en un proceso laboral y la señora Solórzano en ningún momento interpuso este recurso. Alega que el argumento de los peticionarios sobre la eficacia de este recurso y la justificativa para no interponerlo es abstracto y que de la lectura del artículo 46 de la Convención Americana no puede desprenderse el derecho de los peticionarios a evaluar la supuesta eficacia de un recurso existente y disponible sin siquiera haberlo promovido.</w:t>
      </w:r>
    </w:p>
    <w:p w14:paraId="253748C2" w14:textId="6146914C" w:rsidR="00CA2E36" w:rsidRPr="005036C5" w:rsidRDefault="0072314C" w:rsidP="00B27B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ind w:left="-90"/>
        <w:jc w:val="both"/>
        <w:rPr>
          <w:rFonts w:asciiTheme="majorHAnsi" w:hAnsiTheme="majorHAnsi"/>
          <w:sz w:val="20"/>
          <w:szCs w:val="20"/>
          <w:lang w:val="es-ES"/>
        </w:rPr>
      </w:pPr>
      <w:r w:rsidRPr="005036C5">
        <w:rPr>
          <w:rFonts w:asciiTheme="majorHAnsi" w:hAnsiTheme="majorHAnsi"/>
          <w:sz w:val="20"/>
          <w:szCs w:val="20"/>
          <w:lang w:val="es-ES"/>
        </w:rPr>
        <w:t>El Estado también alega que</w:t>
      </w:r>
      <w:r w:rsidR="006C22C6" w:rsidRPr="005036C5">
        <w:rPr>
          <w:rFonts w:asciiTheme="majorHAnsi" w:hAnsiTheme="majorHAnsi"/>
          <w:sz w:val="20"/>
          <w:szCs w:val="20"/>
          <w:lang w:val="es-ES"/>
        </w:rPr>
        <w:t>,</w:t>
      </w:r>
      <w:r w:rsidRPr="005036C5">
        <w:rPr>
          <w:rFonts w:asciiTheme="majorHAnsi" w:hAnsiTheme="majorHAnsi"/>
          <w:sz w:val="20"/>
          <w:szCs w:val="20"/>
          <w:lang w:val="es-ES"/>
        </w:rPr>
        <w:t xml:space="preserve"> una vez emitida la resolución de la Junta, la presunta víctima pudo cuestionar la supuesta violación a sus derechos humanos mediante la interposición de un amparo directo; un recurso que la propia CIDH ha reconocido ser idóneo para analizar y reparar violaciones a los derechos humanos</w:t>
      </w:r>
      <w:r w:rsidR="00B62471" w:rsidRPr="005036C5">
        <w:rPr>
          <w:rFonts w:asciiTheme="majorHAnsi" w:hAnsiTheme="majorHAnsi"/>
          <w:sz w:val="20"/>
          <w:szCs w:val="20"/>
          <w:lang w:val="es-ES"/>
        </w:rPr>
        <w:t>.</w:t>
      </w:r>
      <w:r w:rsidRPr="005036C5">
        <w:rPr>
          <w:rFonts w:asciiTheme="majorHAnsi" w:hAnsiTheme="majorHAnsi"/>
          <w:sz w:val="20"/>
          <w:szCs w:val="20"/>
          <w:lang w:val="es-ES"/>
        </w:rPr>
        <w:t xml:space="preserve"> Indica que la señora Solórzano interpuso este recurso el 21 de junio de 2012 pero desistió del mismo el 1º de febrero de 2013 en razón de la conciliación pacífica de los intereses de ambas partes en el juicio laboral. </w:t>
      </w:r>
      <w:r w:rsidR="00CA2E36" w:rsidRPr="005036C5">
        <w:rPr>
          <w:rFonts w:asciiTheme="majorHAnsi" w:hAnsiTheme="majorHAnsi"/>
          <w:sz w:val="20"/>
          <w:szCs w:val="20"/>
          <w:lang w:val="es-ES"/>
        </w:rPr>
        <w:t xml:space="preserve">Además, el Estado afirma que el principio pro persona no le permite a la presunta víctima elegir entre presentar una denuncia ante los tribunales locales o directamente a la CIDH. Indica que la CIDH tiene competencia subsidiaria y que antes de pronunciarse sobre una supuesta violación a los derechos humanos debe dar a los Estados la posibilidad de reparar la presunta violación. </w:t>
      </w:r>
    </w:p>
    <w:p w14:paraId="5096E868" w14:textId="6882341C" w:rsidR="00CA2E36" w:rsidRDefault="00CA2E36" w:rsidP="00CA2E3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pacing w:after="240"/>
        <w:ind w:left="-90"/>
        <w:jc w:val="both"/>
        <w:rPr>
          <w:rFonts w:asciiTheme="majorHAnsi" w:hAnsiTheme="majorHAnsi"/>
          <w:sz w:val="20"/>
          <w:szCs w:val="20"/>
          <w:lang w:val="es-ES"/>
        </w:rPr>
      </w:pPr>
      <w:r w:rsidRPr="005036C5">
        <w:rPr>
          <w:rFonts w:asciiTheme="majorHAnsi" w:hAnsiTheme="majorHAnsi"/>
          <w:sz w:val="20"/>
          <w:szCs w:val="20"/>
          <w:lang w:val="es-ES"/>
        </w:rPr>
        <w:t xml:space="preserve">El Estado también alega que ha cumplido con las recomendaciones de la CEDH, pues se inició y concluyó un proceso administrativo en contra de la </w:t>
      </w:r>
      <w:r w:rsidRPr="005036C5">
        <w:rPr>
          <w:rFonts w:asciiTheme="majorHAnsi" w:hAnsiTheme="majorHAnsi" w:cs="Arial"/>
          <w:sz w:val="20"/>
          <w:szCs w:val="20"/>
          <w:lang w:val="es-ES"/>
        </w:rPr>
        <w:t>entonces directora de la estación radiofónica</w:t>
      </w:r>
      <w:r w:rsidRPr="005036C5">
        <w:rPr>
          <w:rFonts w:asciiTheme="majorHAnsi" w:hAnsiTheme="majorHAnsi"/>
          <w:sz w:val="20"/>
          <w:szCs w:val="20"/>
          <w:lang w:val="es-ES"/>
        </w:rPr>
        <w:t xml:space="preserve"> y se ha valorado el currículo de la señora Solórzano para su antiguo puesto. Además, indica que la señora Solórzano presentó tres quejas a la CNDH por entender que el Estado no había cumplido con las recomendaciones de la CEDH, pero el 12 de septiembre de 2006 la CNDH, en su última recomendación, manifestó que la queja no era procedente debido a que el gobierno había atendida a las recomendaciones de la CEDH.</w:t>
      </w:r>
    </w:p>
    <w:p w14:paraId="6312F8B3" w14:textId="77777777" w:rsidR="00472597" w:rsidRDefault="00472597" w:rsidP="00472597">
      <w:pPr>
        <w:pBdr>
          <w:top w:val="none" w:sz="0" w:space="0" w:color="auto"/>
          <w:left w:val="none" w:sz="0" w:space="0" w:color="auto"/>
          <w:bottom w:val="none" w:sz="0" w:space="0" w:color="auto"/>
          <w:right w:val="none" w:sz="0" w:space="0" w:color="auto"/>
          <w:between w:val="none" w:sz="0" w:space="0" w:color="auto"/>
          <w:bar w:val="none" w:sz="0" w:color="auto"/>
        </w:pBdr>
        <w:spacing w:after="240"/>
        <w:ind w:left="630"/>
        <w:jc w:val="both"/>
        <w:rPr>
          <w:rFonts w:asciiTheme="majorHAnsi" w:hAnsiTheme="majorHAnsi"/>
          <w:sz w:val="20"/>
          <w:szCs w:val="20"/>
          <w:lang w:val="es-ES"/>
        </w:rPr>
      </w:pPr>
    </w:p>
    <w:p w14:paraId="69DBE742" w14:textId="77777777" w:rsidR="00472597" w:rsidRPr="005036C5" w:rsidRDefault="00472597" w:rsidP="00472597">
      <w:pPr>
        <w:pBdr>
          <w:top w:val="none" w:sz="0" w:space="0" w:color="auto"/>
          <w:left w:val="none" w:sz="0" w:space="0" w:color="auto"/>
          <w:bottom w:val="none" w:sz="0" w:space="0" w:color="auto"/>
          <w:right w:val="none" w:sz="0" w:space="0" w:color="auto"/>
          <w:between w:val="none" w:sz="0" w:space="0" w:color="auto"/>
          <w:bar w:val="none" w:sz="0" w:color="auto"/>
        </w:pBdr>
        <w:spacing w:after="240"/>
        <w:ind w:left="630"/>
        <w:jc w:val="both"/>
        <w:rPr>
          <w:rFonts w:asciiTheme="majorHAnsi" w:hAnsiTheme="majorHAnsi"/>
          <w:sz w:val="20"/>
          <w:szCs w:val="20"/>
          <w:lang w:val="es-ES"/>
        </w:rPr>
      </w:pPr>
    </w:p>
    <w:p w14:paraId="6F4D4171" w14:textId="77777777" w:rsidR="003239B8" w:rsidRPr="005036C5" w:rsidRDefault="003239B8" w:rsidP="003239B8">
      <w:pPr>
        <w:spacing w:before="240" w:after="240"/>
        <w:ind w:firstLine="720"/>
        <w:jc w:val="both"/>
        <w:rPr>
          <w:rFonts w:ascii="Cambria" w:hAnsi="Cambria"/>
          <w:sz w:val="20"/>
          <w:szCs w:val="20"/>
          <w:lang w:val="es-UY"/>
        </w:rPr>
      </w:pPr>
      <w:r w:rsidRPr="005036C5">
        <w:rPr>
          <w:rFonts w:asciiTheme="majorHAnsi" w:eastAsia="Cambria" w:hAnsiTheme="majorHAnsi" w:cs="Cambria"/>
          <w:b/>
          <w:bCs/>
          <w:color w:val="000000"/>
          <w:sz w:val="20"/>
          <w:szCs w:val="20"/>
          <w:u w:color="000000"/>
          <w:lang w:val="es-ES" w:eastAsia="es-ES"/>
        </w:rPr>
        <w:lastRenderedPageBreak/>
        <w:t>VI.</w:t>
      </w:r>
      <w:r w:rsidRPr="005036C5">
        <w:rPr>
          <w:rFonts w:asciiTheme="majorHAnsi" w:eastAsia="Cambria" w:hAnsiTheme="majorHAnsi" w:cs="Cambria"/>
          <w:b/>
          <w:bCs/>
          <w:color w:val="000000"/>
          <w:sz w:val="20"/>
          <w:szCs w:val="20"/>
          <w:u w:color="000000"/>
          <w:lang w:val="es-ES" w:eastAsia="es-ES"/>
        </w:rPr>
        <w:tab/>
      </w:r>
      <w:r w:rsidR="00C21FEF" w:rsidRPr="005036C5">
        <w:rPr>
          <w:rFonts w:asciiTheme="majorHAnsi" w:hAnsiTheme="majorHAnsi"/>
          <w:b/>
          <w:sz w:val="20"/>
          <w:szCs w:val="20"/>
          <w:lang w:val="es-ES"/>
        </w:rPr>
        <w:t>AGOTAMIENTO DE LOS RECURSOS INTERNOS Y PLAZO DE PRESENTACIÓN</w:t>
      </w:r>
      <w:r w:rsidR="00C21FEF" w:rsidRPr="005036C5">
        <w:rPr>
          <w:rFonts w:asciiTheme="majorHAnsi" w:eastAsia="Cambria" w:hAnsiTheme="majorHAnsi" w:cs="Cambria"/>
          <w:b/>
          <w:bCs/>
          <w:color w:val="000000"/>
          <w:sz w:val="20"/>
          <w:szCs w:val="20"/>
          <w:u w:color="000000"/>
          <w:lang w:val="es-ES" w:eastAsia="es-ES"/>
        </w:rPr>
        <w:t xml:space="preserve"> </w:t>
      </w:r>
    </w:p>
    <w:p w14:paraId="7065A1C0" w14:textId="72CAB4C9" w:rsidR="005F44BC" w:rsidRPr="005036C5" w:rsidRDefault="005F44BC" w:rsidP="005F44B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036C5">
        <w:rPr>
          <w:rFonts w:asciiTheme="majorHAnsi" w:hAnsiTheme="majorHAnsi"/>
          <w:sz w:val="20"/>
          <w:szCs w:val="20"/>
          <w:lang w:val="es-ES"/>
        </w:rPr>
        <w:t xml:space="preserve">Según los peticionarios, </w:t>
      </w:r>
      <w:r w:rsidRPr="005036C5">
        <w:rPr>
          <w:rFonts w:asciiTheme="majorHAnsi" w:hAnsiTheme="majorHAnsi" w:cs="Arial"/>
          <w:sz w:val="20"/>
          <w:szCs w:val="20"/>
          <w:lang w:val="es-ES"/>
        </w:rPr>
        <w:t xml:space="preserve">no existe en el ordenamiento jurídico mexicano un recurso efectivo para cuestionar simultáneamente las violaciones a los derechos laborales de la </w:t>
      </w:r>
      <w:r w:rsidR="00204888" w:rsidRPr="005036C5">
        <w:rPr>
          <w:rFonts w:asciiTheme="majorHAnsi" w:hAnsiTheme="majorHAnsi" w:cs="Arial"/>
          <w:sz w:val="20"/>
          <w:szCs w:val="20"/>
          <w:lang w:val="es-ES"/>
        </w:rPr>
        <w:t>presunta víctima</w:t>
      </w:r>
      <w:r w:rsidRPr="005036C5">
        <w:rPr>
          <w:rFonts w:asciiTheme="majorHAnsi" w:hAnsiTheme="majorHAnsi" w:cs="Arial"/>
          <w:sz w:val="20"/>
          <w:szCs w:val="20"/>
          <w:lang w:val="es-ES"/>
        </w:rPr>
        <w:t xml:space="preserve"> y las violaciones a sus derechos humanos y que, por lo tanto, se debe aplicar la excepción al requisito de agotamiento prevista en el artículo 46.2.a de la Convención. Alegan además que </w:t>
      </w:r>
      <w:r w:rsidRPr="005036C5">
        <w:rPr>
          <w:rFonts w:asciiTheme="majorHAnsi" w:hAnsiTheme="majorHAnsi"/>
          <w:sz w:val="20"/>
          <w:szCs w:val="20"/>
          <w:lang w:val="es-ES"/>
        </w:rPr>
        <w:t xml:space="preserve">hubo un retardo injustificado, por culpa exclusiva del Estado, para concluir el proceso judicial y al presente caso se debe aplicar la excepción prevista en el artículo 46.2.c de la Convención. </w:t>
      </w:r>
      <w:r w:rsidRPr="005036C5">
        <w:rPr>
          <w:rFonts w:asciiTheme="majorHAnsi" w:hAnsiTheme="majorHAnsi" w:cs="Arial"/>
          <w:sz w:val="20"/>
          <w:szCs w:val="20"/>
          <w:lang w:val="es-ES"/>
        </w:rPr>
        <w:t xml:space="preserve">Por su parte, el Estado </w:t>
      </w:r>
      <w:r w:rsidRPr="005036C5">
        <w:rPr>
          <w:rFonts w:ascii="Cambria" w:hAnsi="Cambria" w:cs="Cambria"/>
          <w:sz w:val="20"/>
          <w:szCs w:val="20"/>
          <w:lang w:val="es-ES" w:eastAsia="es-ES"/>
        </w:rPr>
        <w:t>afirma que la demanda laboral presentada a la Junta era inicialmente idónea para reparar las violaciones a los derechos laborales y humanos de la señora Solórzano y, una vez emitida una resolución de la Junta, el recuso idóneo era el amparo directo. Asimismo, indica que la demora para concluir el proceso judicial se debió a la estrategia de litigo de la presunta víctima y que</w:t>
      </w:r>
      <w:r w:rsidRPr="005036C5">
        <w:rPr>
          <w:rFonts w:asciiTheme="majorHAnsi" w:hAnsiTheme="majorHAnsi" w:cs="Arial"/>
          <w:sz w:val="20"/>
          <w:szCs w:val="20"/>
          <w:lang w:val="es-ES"/>
        </w:rPr>
        <w:t xml:space="preserve"> los recursos internos no fueron agotados en razón de</w:t>
      </w:r>
      <w:r w:rsidR="00297C51" w:rsidRPr="005036C5">
        <w:rPr>
          <w:rFonts w:asciiTheme="majorHAnsi" w:hAnsiTheme="majorHAnsi" w:cs="Arial"/>
          <w:sz w:val="20"/>
          <w:szCs w:val="20"/>
          <w:lang w:val="es-ES"/>
        </w:rPr>
        <w:t xml:space="preserve"> su</w:t>
      </w:r>
      <w:r w:rsidRPr="005036C5">
        <w:rPr>
          <w:rFonts w:asciiTheme="majorHAnsi" w:hAnsiTheme="majorHAnsi" w:cs="Arial"/>
          <w:sz w:val="20"/>
          <w:szCs w:val="20"/>
          <w:lang w:val="es-ES"/>
        </w:rPr>
        <w:t xml:space="preserve"> desistimiento.</w:t>
      </w:r>
    </w:p>
    <w:p w14:paraId="710DE92D" w14:textId="41C74441" w:rsidR="00A15A41" w:rsidRPr="005036C5" w:rsidRDefault="00204888" w:rsidP="00FB0E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036C5">
        <w:rPr>
          <w:rFonts w:asciiTheme="majorHAnsi" w:hAnsiTheme="majorHAnsi"/>
          <w:sz w:val="20"/>
          <w:szCs w:val="20"/>
          <w:lang w:val="es-ES"/>
        </w:rPr>
        <w:t xml:space="preserve">Con base en la información presentada, </w:t>
      </w:r>
      <w:r w:rsidR="00C749CE" w:rsidRPr="005036C5">
        <w:rPr>
          <w:rFonts w:asciiTheme="majorHAnsi" w:hAnsiTheme="majorHAnsi"/>
          <w:sz w:val="20"/>
          <w:szCs w:val="20"/>
          <w:lang w:val="es-ES"/>
        </w:rPr>
        <w:t>l</w:t>
      </w:r>
      <w:r w:rsidR="00F55452" w:rsidRPr="005036C5">
        <w:rPr>
          <w:rFonts w:asciiTheme="majorHAnsi" w:hAnsiTheme="majorHAnsi"/>
          <w:sz w:val="20"/>
          <w:szCs w:val="20"/>
          <w:lang w:val="es-ES"/>
        </w:rPr>
        <w:t>a CIDH observa que en su demanda laboral la presunta víctima alegó que había sido discriminada y despedida por ser mujer y solicit</w:t>
      </w:r>
      <w:r w:rsidR="00FB0E54" w:rsidRPr="005036C5">
        <w:rPr>
          <w:rFonts w:asciiTheme="majorHAnsi" w:hAnsiTheme="majorHAnsi"/>
          <w:sz w:val="20"/>
          <w:szCs w:val="20"/>
          <w:lang w:val="es-ES"/>
        </w:rPr>
        <w:t xml:space="preserve">ó a la Junta su reinstalación. </w:t>
      </w:r>
      <w:r w:rsidR="006F3BAD" w:rsidRPr="005036C5">
        <w:rPr>
          <w:rFonts w:asciiTheme="majorHAnsi" w:hAnsiTheme="majorHAnsi"/>
          <w:sz w:val="20"/>
          <w:szCs w:val="20"/>
          <w:lang w:val="es-ES"/>
        </w:rPr>
        <w:t xml:space="preserve">El 21 de junio de 2012 esta demanda fue </w:t>
      </w:r>
      <w:r w:rsidR="00297C51" w:rsidRPr="005036C5">
        <w:rPr>
          <w:rFonts w:asciiTheme="majorHAnsi" w:hAnsiTheme="majorHAnsi"/>
          <w:sz w:val="20"/>
          <w:szCs w:val="20"/>
          <w:lang w:val="es-ES"/>
        </w:rPr>
        <w:t>rechazada</w:t>
      </w:r>
      <w:r w:rsidR="006F3BAD" w:rsidRPr="005036C5">
        <w:rPr>
          <w:rFonts w:asciiTheme="majorHAnsi" w:hAnsiTheme="majorHAnsi"/>
          <w:sz w:val="20"/>
          <w:szCs w:val="20"/>
          <w:lang w:val="es-ES"/>
        </w:rPr>
        <w:t xml:space="preserve">. </w:t>
      </w:r>
      <w:r w:rsidR="004169A4" w:rsidRPr="005036C5">
        <w:rPr>
          <w:rFonts w:asciiTheme="majorHAnsi" w:hAnsiTheme="majorHAnsi"/>
          <w:sz w:val="20"/>
          <w:szCs w:val="20"/>
          <w:lang w:val="es-ES"/>
        </w:rPr>
        <w:t>El</w:t>
      </w:r>
      <w:r w:rsidR="00A15A41" w:rsidRPr="005036C5">
        <w:rPr>
          <w:rFonts w:asciiTheme="majorHAnsi" w:hAnsiTheme="majorHAnsi"/>
          <w:sz w:val="20"/>
          <w:szCs w:val="20"/>
          <w:lang w:val="es-ES"/>
        </w:rPr>
        <w:t xml:space="preserve"> </w:t>
      </w:r>
      <w:r w:rsidR="00AC3A39" w:rsidRPr="005036C5">
        <w:rPr>
          <w:rFonts w:asciiTheme="majorHAnsi" w:hAnsiTheme="majorHAnsi"/>
          <w:sz w:val="20"/>
          <w:szCs w:val="20"/>
          <w:lang w:val="es-ES"/>
        </w:rPr>
        <w:t>3</w:t>
      </w:r>
      <w:r w:rsidR="00A15A41" w:rsidRPr="005036C5">
        <w:rPr>
          <w:rFonts w:asciiTheme="majorHAnsi" w:hAnsiTheme="majorHAnsi"/>
          <w:sz w:val="20"/>
          <w:szCs w:val="20"/>
          <w:lang w:val="es-ES"/>
        </w:rPr>
        <w:t xml:space="preserve"> de agosto de 2012 </w:t>
      </w:r>
      <w:r w:rsidR="00B33AEC" w:rsidRPr="005036C5">
        <w:rPr>
          <w:rFonts w:asciiTheme="majorHAnsi" w:hAnsiTheme="majorHAnsi"/>
          <w:sz w:val="20"/>
          <w:szCs w:val="20"/>
          <w:lang w:val="es-ES"/>
        </w:rPr>
        <w:t xml:space="preserve">la presunta víctima </w:t>
      </w:r>
      <w:r w:rsidR="00A15A41" w:rsidRPr="005036C5">
        <w:rPr>
          <w:rFonts w:asciiTheme="majorHAnsi" w:hAnsiTheme="majorHAnsi"/>
          <w:sz w:val="20"/>
          <w:szCs w:val="20"/>
          <w:lang w:val="es-ES"/>
        </w:rPr>
        <w:t>interpuso recurso de amparo</w:t>
      </w:r>
      <w:r w:rsidR="00B33AEC" w:rsidRPr="005036C5">
        <w:rPr>
          <w:rFonts w:asciiTheme="majorHAnsi" w:hAnsiTheme="majorHAnsi"/>
          <w:sz w:val="20"/>
          <w:szCs w:val="20"/>
          <w:lang w:val="es-ES"/>
        </w:rPr>
        <w:t xml:space="preserve"> ante el Tribunal Colegiado del Vigésimo Segundo Circuito</w:t>
      </w:r>
      <w:r w:rsidR="00A15A41" w:rsidRPr="005036C5">
        <w:rPr>
          <w:rFonts w:asciiTheme="majorHAnsi" w:hAnsiTheme="majorHAnsi"/>
          <w:sz w:val="20"/>
          <w:szCs w:val="20"/>
          <w:lang w:val="es-ES"/>
        </w:rPr>
        <w:t xml:space="preserve"> </w:t>
      </w:r>
      <w:r w:rsidR="00786F22" w:rsidRPr="005036C5">
        <w:rPr>
          <w:rFonts w:asciiTheme="majorHAnsi" w:hAnsiTheme="majorHAnsi"/>
          <w:sz w:val="20"/>
          <w:szCs w:val="20"/>
          <w:lang w:val="es-ES"/>
        </w:rPr>
        <w:t>(en adelante, “el Tribunal</w:t>
      </w:r>
      <w:r w:rsidR="00196A08" w:rsidRPr="005036C5">
        <w:rPr>
          <w:rFonts w:asciiTheme="majorHAnsi" w:hAnsiTheme="majorHAnsi"/>
          <w:sz w:val="20"/>
          <w:szCs w:val="20"/>
          <w:lang w:val="es-ES"/>
        </w:rPr>
        <w:t xml:space="preserve"> Colegiado</w:t>
      </w:r>
      <w:r w:rsidR="00786F22" w:rsidRPr="005036C5">
        <w:rPr>
          <w:rFonts w:asciiTheme="majorHAnsi" w:hAnsiTheme="majorHAnsi"/>
          <w:sz w:val="20"/>
          <w:szCs w:val="20"/>
          <w:lang w:val="es-ES"/>
        </w:rPr>
        <w:t xml:space="preserve">”) </w:t>
      </w:r>
      <w:r w:rsidR="00297C51" w:rsidRPr="005036C5">
        <w:rPr>
          <w:rFonts w:asciiTheme="majorHAnsi" w:hAnsiTheme="majorHAnsi"/>
          <w:sz w:val="20"/>
          <w:szCs w:val="20"/>
          <w:lang w:val="es-ES"/>
        </w:rPr>
        <w:t>planteando</w:t>
      </w:r>
      <w:r w:rsidR="00A15A41" w:rsidRPr="005036C5">
        <w:rPr>
          <w:rFonts w:asciiTheme="majorHAnsi" w:hAnsiTheme="majorHAnsi"/>
          <w:sz w:val="20"/>
          <w:szCs w:val="20"/>
          <w:lang w:val="es-ES"/>
        </w:rPr>
        <w:t xml:space="preserve"> el tema de su despido injustificado </w:t>
      </w:r>
      <w:r w:rsidR="00B33AEC" w:rsidRPr="005036C5">
        <w:rPr>
          <w:rFonts w:asciiTheme="majorHAnsi" w:hAnsiTheme="majorHAnsi"/>
          <w:sz w:val="20"/>
          <w:szCs w:val="20"/>
          <w:lang w:val="es-ES"/>
        </w:rPr>
        <w:t xml:space="preserve">y la falta de respuesta de la Junta sobre este asunto </w:t>
      </w:r>
      <w:r w:rsidR="00A15A41" w:rsidRPr="005036C5">
        <w:rPr>
          <w:rFonts w:asciiTheme="majorHAnsi" w:hAnsiTheme="majorHAnsi"/>
          <w:sz w:val="20"/>
          <w:szCs w:val="20"/>
          <w:lang w:val="es-ES"/>
        </w:rPr>
        <w:t xml:space="preserve">y solicitó la </w:t>
      </w:r>
      <w:r w:rsidR="00B33AEC" w:rsidRPr="005036C5">
        <w:rPr>
          <w:rFonts w:asciiTheme="majorHAnsi" w:hAnsiTheme="majorHAnsi"/>
          <w:sz w:val="20"/>
          <w:szCs w:val="20"/>
          <w:lang w:val="es-ES"/>
        </w:rPr>
        <w:t xml:space="preserve">anulación de la resolución de la Junta para que </w:t>
      </w:r>
      <w:r w:rsidR="00297C51" w:rsidRPr="005036C5">
        <w:rPr>
          <w:rFonts w:asciiTheme="majorHAnsi" w:hAnsiTheme="majorHAnsi"/>
          <w:sz w:val="20"/>
          <w:szCs w:val="20"/>
          <w:lang w:val="es-ES"/>
        </w:rPr>
        <w:t xml:space="preserve">se dictara </w:t>
      </w:r>
      <w:r w:rsidR="00B33AEC" w:rsidRPr="005036C5">
        <w:rPr>
          <w:rFonts w:asciiTheme="majorHAnsi" w:hAnsiTheme="majorHAnsi"/>
          <w:sz w:val="20"/>
          <w:szCs w:val="20"/>
          <w:lang w:val="es-ES"/>
        </w:rPr>
        <w:t>una nueva. El 11 de dicie</w:t>
      </w:r>
      <w:r w:rsidR="00AC3A39" w:rsidRPr="005036C5">
        <w:rPr>
          <w:rFonts w:asciiTheme="majorHAnsi" w:hAnsiTheme="majorHAnsi"/>
          <w:sz w:val="20"/>
          <w:szCs w:val="20"/>
          <w:lang w:val="es-ES"/>
        </w:rPr>
        <w:t xml:space="preserve">mbre de 2012 el </w:t>
      </w:r>
      <w:r w:rsidR="00196A08" w:rsidRPr="005036C5">
        <w:rPr>
          <w:rFonts w:asciiTheme="majorHAnsi" w:hAnsiTheme="majorHAnsi"/>
          <w:sz w:val="20"/>
          <w:szCs w:val="20"/>
          <w:lang w:val="es-ES"/>
        </w:rPr>
        <w:t>Tribunal Colegiado</w:t>
      </w:r>
      <w:r w:rsidR="00AC3A39" w:rsidRPr="005036C5">
        <w:rPr>
          <w:rFonts w:asciiTheme="majorHAnsi" w:hAnsiTheme="majorHAnsi"/>
          <w:sz w:val="20"/>
          <w:szCs w:val="20"/>
          <w:lang w:val="es-ES"/>
        </w:rPr>
        <w:t xml:space="preserve"> declaró fundado el amparo respecto a este punto</w:t>
      </w:r>
      <w:r w:rsidR="0064301B" w:rsidRPr="005036C5">
        <w:rPr>
          <w:rFonts w:asciiTheme="majorHAnsi" w:hAnsiTheme="majorHAnsi"/>
          <w:sz w:val="20"/>
          <w:szCs w:val="20"/>
          <w:lang w:val="es-ES"/>
        </w:rPr>
        <w:t xml:space="preserve">, reconociendo que faltó congruencia entre el objeto de la demanda y la resolución de la Junta ya que </w:t>
      </w:r>
      <w:r w:rsidR="00297C51" w:rsidRPr="005036C5">
        <w:rPr>
          <w:rFonts w:asciiTheme="majorHAnsi" w:hAnsiTheme="majorHAnsi"/>
          <w:sz w:val="20"/>
          <w:szCs w:val="20"/>
          <w:lang w:val="es-ES"/>
        </w:rPr>
        <w:t xml:space="preserve">ésta </w:t>
      </w:r>
      <w:r w:rsidR="0064301B" w:rsidRPr="005036C5">
        <w:rPr>
          <w:rFonts w:asciiTheme="majorHAnsi" w:hAnsiTheme="majorHAnsi"/>
          <w:sz w:val="20"/>
          <w:szCs w:val="20"/>
          <w:lang w:val="es-ES"/>
        </w:rPr>
        <w:t xml:space="preserve">no se pronunció sobre el despido injustificado. Por tanto, </w:t>
      </w:r>
      <w:r w:rsidR="00196A08" w:rsidRPr="005036C5">
        <w:rPr>
          <w:rFonts w:asciiTheme="majorHAnsi" w:hAnsiTheme="majorHAnsi"/>
          <w:sz w:val="20"/>
          <w:szCs w:val="20"/>
          <w:lang w:val="es-ES"/>
        </w:rPr>
        <w:t>el Tribunal Colegiado</w:t>
      </w:r>
      <w:r w:rsidR="0064301B" w:rsidRPr="005036C5">
        <w:rPr>
          <w:rFonts w:asciiTheme="majorHAnsi" w:hAnsiTheme="majorHAnsi"/>
          <w:sz w:val="20"/>
          <w:szCs w:val="20"/>
          <w:lang w:val="es-ES"/>
        </w:rPr>
        <w:t xml:space="preserve"> </w:t>
      </w:r>
      <w:r w:rsidR="00297C51" w:rsidRPr="005036C5">
        <w:rPr>
          <w:rFonts w:asciiTheme="majorHAnsi" w:hAnsiTheme="majorHAnsi"/>
          <w:sz w:val="20"/>
          <w:szCs w:val="20"/>
          <w:lang w:val="es-ES"/>
        </w:rPr>
        <w:t>dejó</w:t>
      </w:r>
      <w:r w:rsidR="00AC3A39" w:rsidRPr="005036C5">
        <w:rPr>
          <w:rFonts w:asciiTheme="majorHAnsi" w:hAnsiTheme="majorHAnsi"/>
          <w:sz w:val="20"/>
          <w:szCs w:val="20"/>
          <w:lang w:val="es-ES"/>
        </w:rPr>
        <w:t xml:space="preserve"> insubsistente la resolución reclamada y </w:t>
      </w:r>
      <w:r w:rsidR="00297C51" w:rsidRPr="005036C5">
        <w:rPr>
          <w:rFonts w:asciiTheme="majorHAnsi" w:hAnsiTheme="majorHAnsi"/>
          <w:sz w:val="20"/>
          <w:szCs w:val="20"/>
          <w:lang w:val="es-ES"/>
        </w:rPr>
        <w:t>ordenó se dicte una nueva en la que se resuelva</w:t>
      </w:r>
      <w:r w:rsidR="00AC3A39" w:rsidRPr="005036C5">
        <w:rPr>
          <w:rFonts w:asciiTheme="majorHAnsi" w:hAnsiTheme="majorHAnsi"/>
          <w:sz w:val="20"/>
          <w:szCs w:val="20"/>
          <w:lang w:val="es-ES"/>
        </w:rPr>
        <w:t xml:space="preserve"> la </w:t>
      </w:r>
      <w:r w:rsidR="00AC3A39" w:rsidRPr="005036C5">
        <w:rPr>
          <w:rFonts w:asciiTheme="majorHAnsi" w:hAnsiTheme="majorHAnsi"/>
          <w:i/>
          <w:sz w:val="20"/>
          <w:szCs w:val="20"/>
          <w:lang w:val="es-ES"/>
        </w:rPr>
        <w:t xml:space="preserve">litis </w:t>
      </w:r>
      <w:r w:rsidR="00AC3A39" w:rsidRPr="005036C5">
        <w:rPr>
          <w:rFonts w:asciiTheme="majorHAnsi" w:hAnsiTheme="majorHAnsi"/>
          <w:sz w:val="20"/>
          <w:szCs w:val="20"/>
          <w:lang w:val="es-ES"/>
        </w:rPr>
        <w:t xml:space="preserve">laboral con plenitud de jurisdicción. </w:t>
      </w:r>
      <w:r w:rsidR="0064301B" w:rsidRPr="005036C5">
        <w:rPr>
          <w:rFonts w:asciiTheme="majorHAnsi" w:hAnsiTheme="majorHAnsi"/>
          <w:sz w:val="20"/>
          <w:szCs w:val="20"/>
          <w:lang w:val="es-ES"/>
        </w:rPr>
        <w:t xml:space="preserve">Según la documentación proporcionada, la Junta y la presunta víctima fueron notificadas de esta decisión en diciembre de 2012. </w:t>
      </w:r>
      <w:r w:rsidR="00B33AEC" w:rsidRPr="005036C5">
        <w:rPr>
          <w:rFonts w:asciiTheme="majorHAnsi" w:hAnsiTheme="majorHAnsi"/>
          <w:sz w:val="20"/>
          <w:szCs w:val="20"/>
          <w:lang w:val="es-ES"/>
        </w:rPr>
        <w:t xml:space="preserve"> </w:t>
      </w:r>
    </w:p>
    <w:p w14:paraId="63BE6AFD" w14:textId="21B6E7D1" w:rsidR="00786F22" w:rsidRPr="005036C5" w:rsidRDefault="00786F22" w:rsidP="00FB0E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036C5">
        <w:rPr>
          <w:rFonts w:asciiTheme="majorHAnsi" w:hAnsiTheme="majorHAnsi"/>
          <w:sz w:val="20"/>
          <w:szCs w:val="20"/>
          <w:lang w:val="es-ES"/>
        </w:rPr>
        <w:t>El 1 de febrero de 2013, la presunta víctima desistió de su demanda laboral después de haber llegado a un acuerdo con la parte demandada</w:t>
      </w:r>
      <w:r w:rsidR="00B62471" w:rsidRPr="005036C5">
        <w:rPr>
          <w:rStyle w:val="FootnoteReference"/>
          <w:rFonts w:ascii="Cambria" w:hAnsi="Cambria" w:cs="Arial"/>
          <w:sz w:val="20"/>
          <w:szCs w:val="20"/>
          <w:lang w:val="es-ES"/>
        </w:rPr>
        <w:footnoteReference w:id="9"/>
      </w:r>
      <w:r w:rsidRPr="005036C5">
        <w:rPr>
          <w:rFonts w:asciiTheme="majorHAnsi" w:hAnsiTheme="majorHAnsi"/>
          <w:sz w:val="20"/>
          <w:szCs w:val="20"/>
          <w:lang w:val="es-ES"/>
        </w:rPr>
        <w:t>. E</w:t>
      </w:r>
      <w:r w:rsidR="00196A08" w:rsidRPr="005036C5">
        <w:rPr>
          <w:rFonts w:asciiTheme="majorHAnsi" w:hAnsiTheme="majorHAnsi"/>
          <w:sz w:val="20"/>
          <w:szCs w:val="20"/>
          <w:lang w:val="es-ES"/>
        </w:rPr>
        <w:t>l 14 de febrero el Tribunal Colegiado solicitó a la presunta víctima que se manifestara respecto del cumplimiento dado a la ejecutoria de amparo, inform</w:t>
      </w:r>
      <w:r w:rsidR="00297C51" w:rsidRPr="005036C5">
        <w:rPr>
          <w:rFonts w:asciiTheme="majorHAnsi" w:hAnsiTheme="majorHAnsi"/>
          <w:sz w:val="20"/>
          <w:szCs w:val="20"/>
          <w:lang w:val="es-ES"/>
        </w:rPr>
        <w:t>a</w:t>
      </w:r>
      <w:r w:rsidR="00196A08" w:rsidRPr="005036C5">
        <w:rPr>
          <w:rFonts w:asciiTheme="majorHAnsi" w:hAnsiTheme="majorHAnsi"/>
          <w:sz w:val="20"/>
          <w:szCs w:val="20"/>
          <w:lang w:val="es-ES"/>
        </w:rPr>
        <w:t>ndo que</w:t>
      </w:r>
      <w:r w:rsidR="00297C51" w:rsidRPr="005036C5">
        <w:rPr>
          <w:rFonts w:asciiTheme="majorHAnsi" w:hAnsiTheme="majorHAnsi"/>
          <w:sz w:val="20"/>
          <w:szCs w:val="20"/>
          <w:lang w:val="es-ES"/>
        </w:rPr>
        <w:t>,</w:t>
      </w:r>
      <w:r w:rsidR="00196A08" w:rsidRPr="005036C5">
        <w:rPr>
          <w:rFonts w:asciiTheme="majorHAnsi" w:hAnsiTheme="majorHAnsi"/>
          <w:sz w:val="20"/>
          <w:szCs w:val="20"/>
          <w:lang w:val="es-ES"/>
        </w:rPr>
        <w:t xml:space="preserve"> de no </w:t>
      </w:r>
      <w:r w:rsidR="00297C51" w:rsidRPr="005036C5">
        <w:rPr>
          <w:rFonts w:asciiTheme="majorHAnsi" w:hAnsiTheme="majorHAnsi"/>
          <w:sz w:val="20"/>
          <w:szCs w:val="20"/>
          <w:lang w:val="es-ES"/>
        </w:rPr>
        <w:t>manifestarse</w:t>
      </w:r>
      <w:r w:rsidR="00196A08" w:rsidRPr="005036C5">
        <w:rPr>
          <w:rFonts w:asciiTheme="majorHAnsi" w:hAnsiTheme="majorHAnsi"/>
          <w:sz w:val="20"/>
          <w:szCs w:val="20"/>
          <w:lang w:val="es-ES"/>
        </w:rPr>
        <w:t xml:space="preserve"> en el plazo de tres días, el órgano resolvería </w:t>
      </w:r>
      <w:r w:rsidR="00297C51" w:rsidRPr="005036C5">
        <w:rPr>
          <w:rFonts w:asciiTheme="majorHAnsi" w:hAnsiTheme="majorHAnsi"/>
          <w:sz w:val="20"/>
          <w:szCs w:val="20"/>
          <w:lang w:val="es-ES"/>
        </w:rPr>
        <w:t xml:space="preserve">respecto del </w:t>
      </w:r>
      <w:r w:rsidR="00196A08" w:rsidRPr="005036C5">
        <w:rPr>
          <w:rFonts w:asciiTheme="majorHAnsi" w:hAnsiTheme="majorHAnsi"/>
          <w:sz w:val="20"/>
          <w:szCs w:val="20"/>
          <w:lang w:val="es-ES"/>
        </w:rPr>
        <w:t xml:space="preserve">cumplimiento de la misma. El 20 de febrero de 2013 el Tribunal Colegiado, observando que ninguna de las partes había interpuesto recurso de revisión contra la decisión del 11 de diciembre de 2012, declaró la sentencia ejecutoriada. </w:t>
      </w:r>
      <w:r w:rsidR="008D58AF" w:rsidRPr="005036C5">
        <w:rPr>
          <w:rFonts w:asciiTheme="majorHAnsi" w:hAnsiTheme="majorHAnsi"/>
          <w:sz w:val="20"/>
          <w:szCs w:val="20"/>
          <w:lang w:val="es-ES"/>
        </w:rPr>
        <w:t xml:space="preserve">Además, el 13 de marzo de 2013 el Tribunal Colegiado, observando que la presunta víctima </w:t>
      </w:r>
      <w:r w:rsidR="00F80E61" w:rsidRPr="005036C5">
        <w:rPr>
          <w:rFonts w:asciiTheme="majorHAnsi" w:hAnsiTheme="majorHAnsi"/>
          <w:sz w:val="20"/>
          <w:szCs w:val="20"/>
          <w:lang w:val="es-ES"/>
        </w:rPr>
        <w:t xml:space="preserve">no se </w:t>
      </w:r>
      <w:r w:rsidR="008D58AF" w:rsidRPr="005036C5">
        <w:rPr>
          <w:rFonts w:asciiTheme="majorHAnsi" w:hAnsiTheme="majorHAnsi"/>
          <w:sz w:val="20"/>
          <w:szCs w:val="20"/>
          <w:lang w:val="es-ES"/>
        </w:rPr>
        <w:t xml:space="preserve">había manifestado respecto a la solicitud </w:t>
      </w:r>
      <w:r w:rsidR="00241DDA" w:rsidRPr="005036C5">
        <w:rPr>
          <w:rFonts w:asciiTheme="majorHAnsi" w:hAnsiTheme="majorHAnsi"/>
          <w:sz w:val="20"/>
          <w:szCs w:val="20"/>
          <w:lang w:val="es-ES"/>
        </w:rPr>
        <w:t>del</w:t>
      </w:r>
      <w:r w:rsidR="008D58AF" w:rsidRPr="005036C5">
        <w:rPr>
          <w:rFonts w:asciiTheme="majorHAnsi" w:hAnsiTheme="majorHAnsi"/>
          <w:sz w:val="20"/>
          <w:szCs w:val="20"/>
          <w:lang w:val="es-ES"/>
        </w:rPr>
        <w:t xml:space="preserve"> 14 de febrero de 201</w:t>
      </w:r>
      <w:r w:rsidR="00241DDA" w:rsidRPr="005036C5">
        <w:rPr>
          <w:rFonts w:asciiTheme="majorHAnsi" w:hAnsiTheme="majorHAnsi"/>
          <w:sz w:val="20"/>
          <w:szCs w:val="20"/>
          <w:lang w:val="es-ES"/>
        </w:rPr>
        <w:t>3</w:t>
      </w:r>
      <w:r w:rsidR="008D58AF" w:rsidRPr="005036C5">
        <w:rPr>
          <w:rFonts w:asciiTheme="majorHAnsi" w:hAnsiTheme="majorHAnsi"/>
          <w:sz w:val="20"/>
          <w:szCs w:val="20"/>
          <w:lang w:val="es-ES"/>
        </w:rPr>
        <w:t xml:space="preserve">, </w:t>
      </w:r>
      <w:r w:rsidR="00241DDA" w:rsidRPr="005036C5">
        <w:rPr>
          <w:rFonts w:asciiTheme="majorHAnsi" w:hAnsiTheme="majorHAnsi"/>
          <w:sz w:val="20"/>
          <w:szCs w:val="20"/>
          <w:lang w:val="es-ES"/>
        </w:rPr>
        <w:t>consideró que, a pesar que la Junta no había emitido nueva resolución</w:t>
      </w:r>
      <w:r w:rsidR="00F80E61" w:rsidRPr="005036C5">
        <w:rPr>
          <w:rFonts w:asciiTheme="majorHAnsi" w:hAnsiTheme="majorHAnsi"/>
          <w:sz w:val="20"/>
          <w:szCs w:val="20"/>
          <w:lang w:val="es-ES"/>
        </w:rPr>
        <w:t>,</w:t>
      </w:r>
      <w:r w:rsidR="00241DDA" w:rsidRPr="005036C5">
        <w:rPr>
          <w:rFonts w:asciiTheme="majorHAnsi" w:hAnsiTheme="majorHAnsi"/>
          <w:sz w:val="20"/>
          <w:szCs w:val="20"/>
          <w:lang w:val="es-ES"/>
        </w:rPr>
        <w:t xml:space="preserve"> al existir desistimiento de la parte actora y orden de archivar </w:t>
      </w:r>
      <w:r w:rsidR="00F80E61" w:rsidRPr="005036C5">
        <w:rPr>
          <w:rFonts w:asciiTheme="majorHAnsi" w:hAnsiTheme="majorHAnsi"/>
          <w:sz w:val="20"/>
          <w:szCs w:val="20"/>
          <w:lang w:val="es-ES"/>
        </w:rPr>
        <w:t xml:space="preserve">por estar </w:t>
      </w:r>
      <w:r w:rsidR="00241DDA" w:rsidRPr="005036C5">
        <w:rPr>
          <w:rFonts w:asciiTheme="majorHAnsi" w:hAnsiTheme="majorHAnsi"/>
          <w:sz w:val="20"/>
          <w:szCs w:val="20"/>
          <w:lang w:val="es-ES"/>
        </w:rPr>
        <w:t xml:space="preserve">el asunto concluido, la materia del reclamo dejó de existir y no sería posible </w:t>
      </w:r>
      <w:r w:rsidR="00F80E61" w:rsidRPr="005036C5">
        <w:rPr>
          <w:rFonts w:asciiTheme="majorHAnsi" w:hAnsiTheme="majorHAnsi"/>
          <w:sz w:val="20"/>
          <w:szCs w:val="20"/>
          <w:lang w:val="es-ES"/>
        </w:rPr>
        <w:t xml:space="preserve">realizar </w:t>
      </w:r>
      <w:r w:rsidR="00241DDA" w:rsidRPr="005036C5">
        <w:rPr>
          <w:rFonts w:asciiTheme="majorHAnsi" w:hAnsiTheme="majorHAnsi"/>
          <w:sz w:val="20"/>
          <w:szCs w:val="20"/>
          <w:lang w:val="es-ES"/>
        </w:rPr>
        <w:t>un nuevo pronunciamiento. Agregó que</w:t>
      </w:r>
      <w:r w:rsidR="00F80E61" w:rsidRPr="005036C5">
        <w:rPr>
          <w:rFonts w:asciiTheme="majorHAnsi" w:hAnsiTheme="majorHAnsi"/>
          <w:sz w:val="20"/>
          <w:szCs w:val="20"/>
          <w:lang w:val="es-ES"/>
        </w:rPr>
        <w:t>,</w:t>
      </w:r>
      <w:r w:rsidR="00241DDA" w:rsidRPr="005036C5">
        <w:rPr>
          <w:rFonts w:asciiTheme="majorHAnsi" w:hAnsiTheme="majorHAnsi"/>
          <w:sz w:val="20"/>
          <w:szCs w:val="20"/>
          <w:lang w:val="es-ES"/>
        </w:rPr>
        <w:t xml:space="preserve"> dad</w:t>
      </w:r>
      <w:r w:rsidR="00F80E61" w:rsidRPr="005036C5">
        <w:rPr>
          <w:rFonts w:asciiTheme="majorHAnsi" w:hAnsiTheme="majorHAnsi"/>
          <w:sz w:val="20"/>
          <w:szCs w:val="20"/>
          <w:lang w:val="es-ES"/>
        </w:rPr>
        <w:t>a</w:t>
      </w:r>
      <w:r w:rsidR="00241DDA" w:rsidRPr="005036C5">
        <w:rPr>
          <w:rFonts w:asciiTheme="majorHAnsi" w:hAnsiTheme="majorHAnsi"/>
          <w:sz w:val="20"/>
          <w:szCs w:val="20"/>
          <w:lang w:val="es-ES"/>
        </w:rPr>
        <w:t xml:space="preserve"> la conformidad de los contendientes, se daba por cumplido el fallo protector para todos los efectos legales correspondientes. </w:t>
      </w:r>
      <w:r w:rsidR="004169A4" w:rsidRPr="005036C5">
        <w:rPr>
          <w:rFonts w:asciiTheme="majorHAnsi" w:hAnsiTheme="majorHAnsi"/>
          <w:sz w:val="20"/>
          <w:szCs w:val="20"/>
          <w:lang w:val="es-ES"/>
        </w:rPr>
        <w:t>Esta decisión fue notificada a la presunta víctima el 15 de marzo de 2013. Posteriormente, el 1</w:t>
      </w:r>
      <w:r w:rsidR="00EE6AA5" w:rsidRPr="005036C5">
        <w:rPr>
          <w:rFonts w:asciiTheme="majorHAnsi" w:hAnsiTheme="majorHAnsi"/>
          <w:sz w:val="20"/>
          <w:szCs w:val="20"/>
          <w:lang w:val="es-ES"/>
        </w:rPr>
        <w:t>6</w:t>
      </w:r>
      <w:r w:rsidR="004169A4" w:rsidRPr="005036C5">
        <w:rPr>
          <w:rFonts w:asciiTheme="majorHAnsi" w:hAnsiTheme="majorHAnsi"/>
          <w:sz w:val="20"/>
          <w:szCs w:val="20"/>
          <w:lang w:val="es-ES"/>
        </w:rPr>
        <w:t xml:space="preserve"> de abril de 2013, </w:t>
      </w:r>
      <w:r w:rsidR="00EE6AA5" w:rsidRPr="005036C5">
        <w:rPr>
          <w:rFonts w:asciiTheme="majorHAnsi" w:hAnsiTheme="majorHAnsi"/>
          <w:sz w:val="20"/>
          <w:szCs w:val="20"/>
          <w:lang w:val="es-ES"/>
        </w:rPr>
        <w:t xml:space="preserve">ante la falta de impugnación de </w:t>
      </w:r>
      <w:r w:rsidR="00F80E61" w:rsidRPr="005036C5">
        <w:rPr>
          <w:rFonts w:asciiTheme="majorHAnsi" w:hAnsiTheme="majorHAnsi"/>
          <w:sz w:val="20"/>
          <w:szCs w:val="20"/>
          <w:lang w:val="es-ES"/>
        </w:rPr>
        <w:t>dicha</w:t>
      </w:r>
      <w:r w:rsidR="00EE6AA5" w:rsidRPr="005036C5">
        <w:rPr>
          <w:rFonts w:asciiTheme="majorHAnsi" w:hAnsiTheme="majorHAnsi"/>
          <w:sz w:val="20"/>
          <w:szCs w:val="20"/>
          <w:lang w:val="es-ES"/>
        </w:rPr>
        <w:t xml:space="preserve"> decisión, el Tribunal Colegiado decidió archivar el asunto </w:t>
      </w:r>
      <w:r w:rsidR="00F80E61" w:rsidRPr="005036C5">
        <w:rPr>
          <w:rFonts w:asciiTheme="majorHAnsi" w:hAnsiTheme="majorHAnsi"/>
          <w:sz w:val="20"/>
          <w:szCs w:val="20"/>
          <w:lang w:val="es-ES"/>
        </w:rPr>
        <w:t xml:space="preserve">por estar </w:t>
      </w:r>
      <w:r w:rsidR="00EE6AA5" w:rsidRPr="005036C5">
        <w:rPr>
          <w:rFonts w:asciiTheme="majorHAnsi" w:hAnsiTheme="majorHAnsi"/>
          <w:sz w:val="20"/>
          <w:szCs w:val="20"/>
          <w:lang w:val="es-ES"/>
        </w:rPr>
        <w:t xml:space="preserve">concluido. </w:t>
      </w:r>
    </w:p>
    <w:p w14:paraId="66E82974" w14:textId="2EC0475B" w:rsidR="00EE6AA5" w:rsidRPr="005036C5" w:rsidRDefault="00F80E61" w:rsidP="00B6247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036C5">
        <w:rPr>
          <w:rFonts w:asciiTheme="majorHAnsi" w:hAnsiTheme="majorHAnsi"/>
          <w:sz w:val="20"/>
          <w:szCs w:val="20"/>
          <w:lang w:val="es-ES"/>
        </w:rPr>
        <w:t>De l</w:t>
      </w:r>
      <w:r w:rsidR="006A671A" w:rsidRPr="005036C5">
        <w:rPr>
          <w:rFonts w:asciiTheme="majorHAnsi" w:hAnsiTheme="majorHAnsi"/>
          <w:sz w:val="20"/>
          <w:szCs w:val="20"/>
          <w:lang w:val="es-ES"/>
        </w:rPr>
        <w:t xml:space="preserve">os alegatos </w:t>
      </w:r>
      <w:r w:rsidRPr="005036C5">
        <w:rPr>
          <w:rFonts w:asciiTheme="majorHAnsi" w:hAnsiTheme="majorHAnsi"/>
          <w:sz w:val="20"/>
          <w:szCs w:val="20"/>
          <w:lang w:val="es-ES"/>
        </w:rPr>
        <w:t>de</w:t>
      </w:r>
      <w:r w:rsidR="006A671A" w:rsidRPr="005036C5">
        <w:rPr>
          <w:rFonts w:asciiTheme="majorHAnsi" w:hAnsiTheme="majorHAnsi"/>
          <w:sz w:val="20"/>
          <w:szCs w:val="20"/>
          <w:lang w:val="es-ES"/>
        </w:rPr>
        <w:t xml:space="preserve"> la demanda laboral </w:t>
      </w:r>
      <w:r w:rsidRPr="005036C5">
        <w:rPr>
          <w:rFonts w:asciiTheme="majorHAnsi" w:hAnsiTheme="majorHAnsi"/>
          <w:sz w:val="20"/>
          <w:szCs w:val="20"/>
          <w:lang w:val="es-ES"/>
        </w:rPr>
        <w:t xml:space="preserve">se desprende </w:t>
      </w:r>
      <w:r w:rsidR="006A671A" w:rsidRPr="005036C5">
        <w:rPr>
          <w:rFonts w:asciiTheme="majorHAnsi" w:hAnsiTheme="majorHAnsi"/>
          <w:sz w:val="20"/>
          <w:szCs w:val="20"/>
          <w:lang w:val="es-ES"/>
        </w:rPr>
        <w:t xml:space="preserve">que la presunta víctima consideraba la demanda laboral como idónea para atender su reclamo sobre el supuesto despido injustificado y discriminatorio. Asimismo, las autoridades judiciales habían </w:t>
      </w:r>
      <w:r w:rsidR="00FE5D52" w:rsidRPr="005036C5">
        <w:rPr>
          <w:rFonts w:asciiTheme="majorHAnsi" w:hAnsiTheme="majorHAnsi"/>
          <w:sz w:val="20"/>
          <w:szCs w:val="20"/>
          <w:lang w:val="es-ES"/>
        </w:rPr>
        <w:t>d</w:t>
      </w:r>
      <w:r w:rsidR="006A671A" w:rsidRPr="005036C5">
        <w:rPr>
          <w:rFonts w:asciiTheme="majorHAnsi" w:hAnsiTheme="majorHAnsi"/>
          <w:sz w:val="20"/>
          <w:szCs w:val="20"/>
          <w:lang w:val="es-ES"/>
        </w:rPr>
        <w:t>eja</w:t>
      </w:r>
      <w:r w:rsidR="00FE5D52" w:rsidRPr="005036C5">
        <w:rPr>
          <w:rFonts w:asciiTheme="majorHAnsi" w:hAnsiTheme="majorHAnsi"/>
          <w:sz w:val="20"/>
          <w:szCs w:val="20"/>
          <w:lang w:val="es-ES"/>
        </w:rPr>
        <w:t>do</w:t>
      </w:r>
      <w:r w:rsidR="006A671A" w:rsidRPr="005036C5">
        <w:rPr>
          <w:rFonts w:asciiTheme="majorHAnsi" w:hAnsiTheme="majorHAnsi"/>
          <w:sz w:val="20"/>
          <w:szCs w:val="20"/>
          <w:lang w:val="es-ES"/>
        </w:rPr>
        <w:t xml:space="preserve"> sin efecto </w:t>
      </w:r>
      <w:r w:rsidR="00B62471" w:rsidRPr="005036C5">
        <w:rPr>
          <w:rFonts w:asciiTheme="majorHAnsi" w:hAnsiTheme="majorHAnsi"/>
          <w:sz w:val="20"/>
          <w:szCs w:val="20"/>
          <w:lang w:val="es-ES"/>
        </w:rPr>
        <w:t>la</w:t>
      </w:r>
      <w:r w:rsidR="006A671A" w:rsidRPr="005036C5">
        <w:rPr>
          <w:rFonts w:asciiTheme="majorHAnsi" w:hAnsiTheme="majorHAnsi"/>
          <w:sz w:val="20"/>
          <w:szCs w:val="20"/>
          <w:lang w:val="es-ES"/>
        </w:rPr>
        <w:t xml:space="preserve"> resolución</w:t>
      </w:r>
      <w:r w:rsidR="00FE5D52" w:rsidRPr="005036C5">
        <w:rPr>
          <w:rFonts w:asciiTheme="majorHAnsi" w:hAnsiTheme="majorHAnsi"/>
          <w:sz w:val="20"/>
          <w:szCs w:val="20"/>
          <w:lang w:val="es-ES"/>
        </w:rPr>
        <w:t xml:space="preserve"> de la Junta</w:t>
      </w:r>
      <w:r w:rsidR="006A671A" w:rsidRPr="005036C5">
        <w:rPr>
          <w:rFonts w:asciiTheme="majorHAnsi" w:hAnsiTheme="majorHAnsi"/>
          <w:sz w:val="20"/>
          <w:szCs w:val="20"/>
          <w:lang w:val="es-ES"/>
        </w:rPr>
        <w:t xml:space="preserve"> </w:t>
      </w:r>
      <w:r w:rsidR="00B62471" w:rsidRPr="005036C5">
        <w:rPr>
          <w:rFonts w:asciiTheme="majorHAnsi" w:hAnsiTheme="majorHAnsi"/>
          <w:sz w:val="20"/>
          <w:szCs w:val="20"/>
          <w:lang w:val="es-ES"/>
        </w:rPr>
        <w:t>que rechazó la demanda y</w:t>
      </w:r>
      <w:r w:rsidR="006A671A" w:rsidRPr="005036C5">
        <w:rPr>
          <w:rFonts w:asciiTheme="majorHAnsi" w:hAnsiTheme="majorHAnsi"/>
          <w:sz w:val="20"/>
          <w:szCs w:val="20"/>
          <w:lang w:val="es-ES"/>
        </w:rPr>
        <w:t xml:space="preserve"> </w:t>
      </w:r>
      <w:r w:rsidR="00FE5D52" w:rsidRPr="005036C5">
        <w:rPr>
          <w:rFonts w:asciiTheme="majorHAnsi" w:hAnsiTheme="majorHAnsi"/>
          <w:sz w:val="20"/>
          <w:szCs w:val="20"/>
          <w:lang w:val="es-ES"/>
        </w:rPr>
        <w:t>ordenaron la Junta a emitir</w:t>
      </w:r>
      <w:r w:rsidR="006A671A" w:rsidRPr="005036C5">
        <w:rPr>
          <w:rFonts w:asciiTheme="majorHAnsi" w:hAnsiTheme="majorHAnsi"/>
          <w:sz w:val="20"/>
          <w:szCs w:val="20"/>
          <w:lang w:val="es-ES"/>
        </w:rPr>
        <w:t xml:space="preserve"> una nueva resolución para pronunciarse sobre los motivos del despido. </w:t>
      </w:r>
      <w:r w:rsidR="00B62471" w:rsidRPr="005036C5">
        <w:rPr>
          <w:rFonts w:asciiTheme="majorHAnsi" w:hAnsiTheme="majorHAnsi"/>
          <w:sz w:val="20"/>
          <w:szCs w:val="20"/>
          <w:lang w:val="es-ES"/>
        </w:rPr>
        <w:t>La Junta no emitió una nueva resolución</w:t>
      </w:r>
      <w:r w:rsidR="006A671A" w:rsidRPr="005036C5">
        <w:rPr>
          <w:rFonts w:asciiTheme="majorHAnsi" w:hAnsiTheme="majorHAnsi"/>
          <w:sz w:val="20"/>
          <w:szCs w:val="20"/>
          <w:lang w:val="es-ES"/>
        </w:rPr>
        <w:t xml:space="preserve"> debido al desistimiento de la presunta víctima, quien</w:t>
      </w:r>
      <w:r w:rsidR="006F3BAD" w:rsidRPr="005036C5">
        <w:rPr>
          <w:rFonts w:asciiTheme="majorHAnsi" w:hAnsiTheme="majorHAnsi"/>
          <w:sz w:val="20"/>
          <w:szCs w:val="20"/>
          <w:lang w:val="es-ES"/>
        </w:rPr>
        <w:t>,</w:t>
      </w:r>
      <w:r w:rsidR="006A671A" w:rsidRPr="005036C5">
        <w:rPr>
          <w:rFonts w:asciiTheme="majorHAnsi" w:hAnsiTheme="majorHAnsi"/>
          <w:sz w:val="20"/>
          <w:szCs w:val="20"/>
          <w:lang w:val="es-ES"/>
        </w:rPr>
        <w:t xml:space="preserve"> además, no </w:t>
      </w:r>
      <w:r w:rsidR="00F63CAE" w:rsidRPr="005036C5">
        <w:rPr>
          <w:rFonts w:asciiTheme="majorHAnsi" w:hAnsiTheme="majorHAnsi"/>
          <w:sz w:val="20"/>
          <w:szCs w:val="20"/>
          <w:lang w:val="es-ES"/>
        </w:rPr>
        <w:t>hizo ninguna manifestación al Tribunal Colegiado sobre la ejecutoria de la sentencia de amparo y sobre el cumplimiento de la misma</w:t>
      </w:r>
      <w:r w:rsidR="00DD550F" w:rsidRPr="005036C5">
        <w:rPr>
          <w:rFonts w:asciiTheme="majorHAnsi" w:hAnsiTheme="majorHAnsi"/>
          <w:sz w:val="20"/>
          <w:szCs w:val="20"/>
          <w:lang w:val="es-ES"/>
        </w:rPr>
        <w:t xml:space="preserve"> por parte de la Junta</w:t>
      </w:r>
      <w:r w:rsidR="00F63CAE" w:rsidRPr="005036C5">
        <w:rPr>
          <w:rFonts w:asciiTheme="majorHAnsi" w:hAnsiTheme="majorHAnsi"/>
          <w:sz w:val="20"/>
          <w:szCs w:val="20"/>
          <w:lang w:val="es-ES"/>
        </w:rPr>
        <w:t>.</w:t>
      </w:r>
      <w:r w:rsidR="006A671A" w:rsidRPr="005036C5">
        <w:rPr>
          <w:rFonts w:asciiTheme="majorHAnsi" w:hAnsiTheme="majorHAnsi"/>
          <w:sz w:val="20"/>
          <w:szCs w:val="20"/>
          <w:lang w:val="es-ES"/>
        </w:rPr>
        <w:t xml:space="preserve"> </w:t>
      </w:r>
      <w:r w:rsidR="00F63CAE" w:rsidRPr="005036C5">
        <w:rPr>
          <w:rFonts w:asciiTheme="majorHAnsi" w:hAnsiTheme="majorHAnsi"/>
          <w:sz w:val="20"/>
          <w:szCs w:val="20"/>
          <w:lang w:val="es-ES"/>
        </w:rPr>
        <w:t>Por tanto, e</w:t>
      </w:r>
      <w:r w:rsidR="006A671A" w:rsidRPr="005036C5">
        <w:rPr>
          <w:rFonts w:asciiTheme="majorHAnsi" w:hAnsiTheme="majorHAnsi"/>
          <w:sz w:val="20"/>
          <w:szCs w:val="20"/>
          <w:lang w:val="es-ES"/>
        </w:rPr>
        <w:t xml:space="preserve">l desistimiento, que según </w:t>
      </w:r>
      <w:r w:rsidR="00DD550F" w:rsidRPr="005036C5">
        <w:rPr>
          <w:rFonts w:asciiTheme="majorHAnsi" w:hAnsiTheme="majorHAnsi"/>
          <w:sz w:val="20"/>
          <w:szCs w:val="20"/>
          <w:lang w:val="es-ES"/>
        </w:rPr>
        <w:t>la información en el expediente</w:t>
      </w:r>
      <w:r w:rsidR="006A671A" w:rsidRPr="005036C5">
        <w:rPr>
          <w:rFonts w:asciiTheme="majorHAnsi" w:hAnsiTheme="majorHAnsi"/>
          <w:sz w:val="20"/>
          <w:szCs w:val="20"/>
          <w:lang w:val="es-ES"/>
        </w:rPr>
        <w:t xml:space="preserve"> fue un acto de libre voluntad de la reclamante, puso fin al proceso </w:t>
      </w:r>
      <w:r w:rsidR="004865FE" w:rsidRPr="005036C5">
        <w:rPr>
          <w:rFonts w:asciiTheme="majorHAnsi" w:hAnsiTheme="majorHAnsi"/>
          <w:sz w:val="20"/>
          <w:szCs w:val="20"/>
          <w:lang w:val="es-ES"/>
        </w:rPr>
        <w:t>antes de</w:t>
      </w:r>
      <w:r w:rsidR="006A671A" w:rsidRPr="005036C5">
        <w:rPr>
          <w:rFonts w:asciiTheme="majorHAnsi" w:hAnsiTheme="majorHAnsi"/>
          <w:sz w:val="20"/>
          <w:szCs w:val="20"/>
          <w:lang w:val="es-ES"/>
        </w:rPr>
        <w:t xml:space="preserve"> que el juzgador hubiese </w:t>
      </w:r>
      <w:r w:rsidR="00DD550F" w:rsidRPr="005036C5">
        <w:rPr>
          <w:rFonts w:asciiTheme="majorHAnsi" w:hAnsiTheme="majorHAnsi"/>
          <w:sz w:val="20"/>
          <w:szCs w:val="20"/>
          <w:lang w:val="es-ES"/>
        </w:rPr>
        <w:t>emitido una nueva resolución en cumplimiento de la sentencia de amparo</w:t>
      </w:r>
      <w:r w:rsidR="006A671A" w:rsidRPr="005036C5">
        <w:rPr>
          <w:rFonts w:asciiTheme="majorHAnsi" w:hAnsiTheme="majorHAnsi"/>
          <w:sz w:val="20"/>
          <w:szCs w:val="20"/>
          <w:lang w:val="es-ES"/>
        </w:rPr>
        <w:t>. En este sentido la Comisión concluye que los recursos disponibles no fueron debidamente agotados y no encuentra elementos para aplicar una excepción al requisito de agotamiento de los recursos internos</w:t>
      </w:r>
      <w:r w:rsidR="00F63CAE" w:rsidRPr="005036C5">
        <w:rPr>
          <w:rFonts w:asciiTheme="majorHAnsi" w:hAnsiTheme="majorHAnsi"/>
          <w:sz w:val="20"/>
          <w:szCs w:val="20"/>
          <w:lang w:val="es-ES"/>
        </w:rPr>
        <w:t>.</w:t>
      </w:r>
    </w:p>
    <w:p w14:paraId="38F346B4" w14:textId="2407503F" w:rsidR="006F3BAD" w:rsidRPr="005036C5" w:rsidRDefault="006F3BAD" w:rsidP="006F3B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Theme="majorHAnsi" w:hAnsiTheme="majorHAnsi"/>
          <w:sz w:val="20"/>
          <w:szCs w:val="20"/>
          <w:lang w:val="es-ES"/>
        </w:rPr>
      </w:pPr>
      <w:r w:rsidRPr="005036C5">
        <w:rPr>
          <w:rFonts w:asciiTheme="majorHAnsi" w:hAnsiTheme="majorHAnsi"/>
          <w:sz w:val="20"/>
          <w:szCs w:val="20"/>
          <w:lang w:val="es-ES"/>
        </w:rPr>
        <w:lastRenderedPageBreak/>
        <w:t xml:space="preserve">Además, respecto a </w:t>
      </w:r>
      <w:r w:rsidR="00F80E61" w:rsidRPr="005036C5">
        <w:rPr>
          <w:rFonts w:asciiTheme="majorHAnsi" w:hAnsiTheme="majorHAnsi"/>
          <w:sz w:val="20"/>
          <w:szCs w:val="20"/>
          <w:lang w:val="es-ES"/>
        </w:rPr>
        <w:t>l</w:t>
      </w:r>
      <w:r w:rsidRPr="005036C5">
        <w:rPr>
          <w:rFonts w:asciiTheme="majorHAnsi" w:hAnsiTheme="majorHAnsi"/>
          <w:sz w:val="20"/>
          <w:szCs w:val="20"/>
          <w:lang w:val="es-ES"/>
        </w:rPr>
        <w:t xml:space="preserve">a supuesta vulneración a los derechos consagrados en los artículos 8 y 25 de la Convención </w:t>
      </w:r>
      <w:r w:rsidR="00F80E61" w:rsidRPr="005036C5">
        <w:rPr>
          <w:rFonts w:asciiTheme="majorHAnsi" w:hAnsiTheme="majorHAnsi"/>
          <w:sz w:val="20"/>
          <w:szCs w:val="20"/>
          <w:lang w:val="es-ES"/>
        </w:rPr>
        <w:t>debido a un alegado</w:t>
      </w:r>
      <w:r w:rsidRPr="005036C5">
        <w:rPr>
          <w:rFonts w:asciiTheme="majorHAnsi" w:hAnsiTheme="majorHAnsi"/>
          <w:sz w:val="20"/>
          <w:szCs w:val="20"/>
          <w:lang w:val="es-ES"/>
        </w:rPr>
        <w:t xml:space="preserve"> retardo injustificado en resolver la demanda laboral</w:t>
      </w:r>
      <w:r w:rsidR="00F80E61" w:rsidRPr="005036C5">
        <w:rPr>
          <w:rFonts w:asciiTheme="majorHAnsi" w:hAnsiTheme="majorHAnsi"/>
          <w:sz w:val="20"/>
          <w:szCs w:val="20"/>
          <w:lang w:val="es-ES"/>
        </w:rPr>
        <w:t>, l</w:t>
      </w:r>
      <w:r w:rsidRPr="005036C5">
        <w:rPr>
          <w:rFonts w:asciiTheme="majorHAnsi" w:hAnsiTheme="majorHAnsi"/>
          <w:sz w:val="20"/>
          <w:szCs w:val="20"/>
          <w:lang w:val="es-ES"/>
        </w:rPr>
        <w:t xml:space="preserve">a CIDH observa que </w:t>
      </w:r>
      <w:r w:rsidR="00F80E61" w:rsidRPr="005036C5">
        <w:rPr>
          <w:rFonts w:asciiTheme="majorHAnsi" w:hAnsiTheme="majorHAnsi"/>
          <w:sz w:val="20"/>
          <w:szCs w:val="20"/>
          <w:lang w:val="es-ES"/>
        </w:rPr>
        <w:t>d</w:t>
      </w:r>
      <w:r w:rsidRPr="005036C5">
        <w:rPr>
          <w:rFonts w:asciiTheme="majorHAnsi" w:hAnsiTheme="majorHAnsi"/>
          <w:sz w:val="20"/>
          <w:szCs w:val="20"/>
          <w:lang w:val="es-ES"/>
        </w:rPr>
        <w:t xml:space="preserve">el expediente judicial </w:t>
      </w:r>
      <w:r w:rsidR="00F80E61" w:rsidRPr="005036C5">
        <w:rPr>
          <w:rFonts w:asciiTheme="majorHAnsi" w:hAnsiTheme="majorHAnsi"/>
          <w:sz w:val="20"/>
          <w:szCs w:val="20"/>
          <w:lang w:val="es-ES"/>
        </w:rPr>
        <w:t xml:space="preserve">surge </w:t>
      </w:r>
      <w:r w:rsidRPr="005036C5">
        <w:rPr>
          <w:rFonts w:asciiTheme="majorHAnsi" w:hAnsiTheme="majorHAnsi"/>
          <w:sz w:val="20"/>
          <w:szCs w:val="20"/>
          <w:lang w:val="es-ES"/>
        </w:rPr>
        <w:t>que la presunta víctima no cuestionó la duración del proceso y que los</w:t>
      </w:r>
      <w:r w:rsidR="00CC5B0C" w:rsidRPr="005036C5">
        <w:rPr>
          <w:rFonts w:asciiTheme="majorHAnsi" w:hAnsiTheme="majorHAnsi"/>
          <w:sz w:val="20"/>
          <w:szCs w:val="20"/>
          <w:lang w:val="es-ES"/>
        </w:rPr>
        <w:t xml:space="preserve"> alegados</w:t>
      </w:r>
      <w:r w:rsidRPr="005036C5">
        <w:rPr>
          <w:rFonts w:asciiTheme="majorHAnsi" w:hAnsiTheme="majorHAnsi"/>
          <w:sz w:val="20"/>
          <w:szCs w:val="20"/>
          <w:lang w:val="es-ES"/>
        </w:rPr>
        <w:t xml:space="preserve"> diferimientos ocurrieron </w:t>
      </w:r>
      <w:r w:rsidR="00DD550F" w:rsidRPr="005036C5">
        <w:rPr>
          <w:rFonts w:asciiTheme="majorHAnsi" w:hAnsiTheme="majorHAnsi"/>
          <w:sz w:val="20"/>
          <w:szCs w:val="20"/>
          <w:lang w:val="es-ES"/>
        </w:rPr>
        <w:t xml:space="preserve">en general </w:t>
      </w:r>
      <w:r w:rsidRPr="005036C5">
        <w:rPr>
          <w:rFonts w:asciiTheme="majorHAnsi" w:hAnsiTheme="majorHAnsi"/>
          <w:sz w:val="20"/>
          <w:szCs w:val="20"/>
          <w:lang w:val="es-ES"/>
        </w:rPr>
        <w:t xml:space="preserve">con </w:t>
      </w:r>
      <w:r w:rsidR="00185891" w:rsidRPr="005036C5">
        <w:rPr>
          <w:rFonts w:asciiTheme="majorHAnsi" w:hAnsiTheme="majorHAnsi"/>
          <w:sz w:val="20"/>
          <w:szCs w:val="20"/>
          <w:lang w:val="es-ES"/>
        </w:rPr>
        <w:t>su</w:t>
      </w:r>
      <w:r w:rsidRPr="005036C5">
        <w:rPr>
          <w:rFonts w:asciiTheme="majorHAnsi" w:hAnsiTheme="majorHAnsi"/>
          <w:sz w:val="20"/>
          <w:szCs w:val="20"/>
          <w:lang w:val="es-ES"/>
        </w:rPr>
        <w:t xml:space="preserve"> anuencia</w:t>
      </w:r>
      <w:r w:rsidR="00CC5B0C" w:rsidRPr="005036C5">
        <w:rPr>
          <w:rFonts w:asciiTheme="majorHAnsi" w:hAnsiTheme="majorHAnsi"/>
          <w:sz w:val="20"/>
          <w:szCs w:val="20"/>
          <w:lang w:val="es-ES"/>
        </w:rPr>
        <w:t>,</w:t>
      </w:r>
      <w:r w:rsidRPr="005036C5">
        <w:rPr>
          <w:rFonts w:asciiTheme="majorHAnsi" w:hAnsiTheme="majorHAnsi"/>
          <w:sz w:val="20"/>
          <w:szCs w:val="20"/>
          <w:lang w:val="es-ES"/>
        </w:rPr>
        <w:t xml:space="preserve"> </w:t>
      </w:r>
      <w:r w:rsidR="00CC5B0C" w:rsidRPr="005036C5">
        <w:rPr>
          <w:rFonts w:asciiTheme="majorHAnsi" w:hAnsiTheme="majorHAnsi"/>
          <w:sz w:val="20"/>
          <w:szCs w:val="20"/>
          <w:lang w:val="es-ES"/>
        </w:rPr>
        <w:t>a</w:t>
      </w:r>
      <w:r w:rsidRPr="005036C5">
        <w:rPr>
          <w:rFonts w:asciiTheme="majorHAnsi" w:hAnsiTheme="majorHAnsi"/>
          <w:sz w:val="20"/>
          <w:szCs w:val="20"/>
          <w:lang w:val="es-ES"/>
        </w:rPr>
        <w:t xml:space="preserve"> solicitud suya o de su propia actividad </w:t>
      </w:r>
      <w:r w:rsidR="00912DAD" w:rsidRPr="005036C5">
        <w:rPr>
          <w:rFonts w:asciiTheme="majorHAnsi" w:hAnsiTheme="majorHAnsi"/>
          <w:sz w:val="20"/>
          <w:szCs w:val="20"/>
          <w:lang w:val="es-ES"/>
        </w:rPr>
        <w:t>procesal. Por tanto, la CIDH considera que los recursos internos no han sido agotados con respecto a esta supuesta violación y que tampoco aplic</w:t>
      </w:r>
      <w:r w:rsidR="00185891" w:rsidRPr="005036C5">
        <w:rPr>
          <w:rFonts w:asciiTheme="majorHAnsi" w:hAnsiTheme="majorHAnsi"/>
          <w:sz w:val="20"/>
          <w:szCs w:val="20"/>
          <w:lang w:val="es-ES"/>
        </w:rPr>
        <w:t>a</w:t>
      </w:r>
      <w:r w:rsidR="00912DAD" w:rsidRPr="005036C5">
        <w:rPr>
          <w:rFonts w:asciiTheme="majorHAnsi" w:hAnsiTheme="majorHAnsi"/>
          <w:sz w:val="20"/>
          <w:szCs w:val="20"/>
          <w:lang w:val="es-ES"/>
        </w:rPr>
        <w:t xml:space="preserve"> la excepción del artículo 46.2.c de la Convención.</w:t>
      </w:r>
    </w:p>
    <w:p w14:paraId="6024F5F2" w14:textId="77777777" w:rsidR="006F3BAD" w:rsidRPr="005036C5" w:rsidRDefault="006F3BAD" w:rsidP="006F3B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630"/>
        </w:tabs>
        <w:suppressAutoHyphens/>
        <w:spacing w:after="240"/>
        <w:ind w:left="-90"/>
        <w:jc w:val="both"/>
        <w:rPr>
          <w:rFonts w:asciiTheme="majorHAnsi" w:hAnsiTheme="majorHAnsi"/>
          <w:sz w:val="20"/>
          <w:szCs w:val="20"/>
          <w:lang w:val="es-ES"/>
        </w:rPr>
      </w:pPr>
      <w:r w:rsidRPr="005036C5">
        <w:rPr>
          <w:rFonts w:asciiTheme="majorHAnsi" w:hAnsiTheme="majorHAnsi"/>
          <w:sz w:val="20"/>
          <w:szCs w:val="20"/>
          <w:lang w:val="es-ES"/>
        </w:rPr>
        <w:t>Dado que no se han agotado los recursos internos y no son aplicables las excepciones al requisito de agotamiento de estos recursos, la CIDH concluye que la presente petición es inadmisible en los términos de los artículos 46.1.a y 47.a de la Convención Americana y 31.1 del Reglamento, no siendo necesario proceder con el análisis de los demás requisitos de admisibilidad.</w:t>
      </w:r>
    </w:p>
    <w:p w14:paraId="29BB41F5" w14:textId="77777777" w:rsidR="003239B8" w:rsidRPr="005036C5" w:rsidRDefault="003239B8" w:rsidP="003239B8">
      <w:pPr>
        <w:pStyle w:val="ListParagraph"/>
        <w:spacing w:before="240" w:after="240"/>
        <w:jc w:val="both"/>
        <w:rPr>
          <w:rFonts w:asciiTheme="majorHAnsi" w:hAnsiTheme="majorHAnsi"/>
          <w:b/>
          <w:bCs/>
          <w:sz w:val="20"/>
          <w:szCs w:val="20"/>
          <w:lang w:val="es-ES"/>
        </w:rPr>
      </w:pPr>
      <w:r w:rsidRPr="005036C5">
        <w:rPr>
          <w:rFonts w:asciiTheme="majorHAnsi" w:hAnsiTheme="majorHAnsi"/>
          <w:b/>
          <w:bCs/>
          <w:sz w:val="20"/>
          <w:szCs w:val="20"/>
          <w:lang w:val="es-ES"/>
        </w:rPr>
        <w:t xml:space="preserve">VIII. </w:t>
      </w:r>
      <w:r w:rsidRPr="005036C5">
        <w:rPr>
          <w:rFonts w:asciiTheme="majorHAnsi" w:hAnsiTheme="majorHAnsi"/>
          <w:b/>
          <w:bCs/>
          <w:sz w:val="20"/>
          <w:szCs w:val="20"/>
          <w:lang w:val="es-ES"/>
        </w:rPr>
        <w:tab/>
        <w:t>DECISIÓN</w:t>
      </w:r>
    </w:p>
    <w:p w14:paraId="54095E90" w14:textId="6E51581E" w:rsidR="00E053E9" w:rsidRPr="005036C5" w:rsidRDefault="00E053E9" w:rsidP="00E053E9">
      <w:pPr>
        <w:pStyle w:val="ListParagraph"/>
        <w:numPr>
          <w:ilvl w:val="1"/>
          <w:numId w:val="110"/>
        </w:numPr>
        <w:tabs>
          <w:tab w:val="clear" w:pos="1800"/>
          <w:tab w:val="num" w:pos="0"/>
        </w:tabs>
        <w:suppressAutoHyphens/>
        <w:spacing w:after="240"/>
        <w:ind w:left="0" w:firstLine="720"/>
        <w:jc w:val="both"/>
        <w:rPr>
          <w:rFonts w:asciiTheme="majorHAnsi" w:hAnsiTheme="majorHAnsi"/>
          <w:color w:val="auto"/>
          <w:sz w:val="20"/>
          <w:szCs w:val="20"/>
          <w:lang w:val="es-ES"/>
        </w:rPr>
      </w:pPr>
      <w:r w:rsidRPr="005036C5">
        <w:rPr>
          <w:rFonts w:asciiTheme="majorHAnsi" w:hAnsiTheme="majorHAnsi"/>
          <w:color w:val="auto"/>
          <w:sz w:val="20"/>
          <w:szCs w:val="20"/>
          <w:lang w:val="es-ES"/>
        </w:rPr>
        <w:t>Declarar inadmisible la presente petición;</w:t>
      </w:r>
    </w:p>
    <w:p w14:paraId="067D8EFC" w14:textId="77777777" w:rsidR="00E053E9" w:rsidRPr="005036C5" w:rsidRDefault="00E053E9" w:rsidP="00E053E9">
      <w:pPr>
        <w:pStyle w:val="ListParagraph"/>
        <w:numPr>
          <w:ilvl w:val="1"/>
          <w:numId w:val="110"/>
        </w:numPr>
        <w:tabs>
          <w:tab w:val="clear" w:pos="1800"/>
          <w:tab w:val="num" w:pos="0"/>
        </w:tabs>
        <w:suppressAutoHyphens/>
        <w:spacing w:after="240"/>
        <w:ind w:left="0" w:firstLine="720"/>
        <w:jc w:val="both"/>
        <w:rPr>
          <w:rFonts w:asciiTheme="majorHAnsi" w:hAnsiTheme="majorHAnsi"/>
          <w:color w:val="auto"/>
          <w:sz w:val="20"/>
          <w:szCs w:val="20"/>
          <w:lang w:val="es-ES"/>
        </w:rPr>
      </w:pPr>
      <w:r w:rsidRPr="005036C5">
        <w:rPr>
          <w:rFonts w:asciiTheme="majorHAnsi" w:hAnsiTheme="majorHAnsi"/>
          <w:color w:val="auto"/>
          <w:sz w:val="20"/>
          <w:szCs w:val="20"/>
          <w:lang w:val="es-ES"/>
        </w:rPr>
        <w:t>Notificar a las partes la presente decisión; y</w:t>
      </w:r>
    </w:p>
    <w:p w14:paraId="6AC80CA6" w14:textId="3DD4494F" w:rsidR="00722C9F" w:rsidRDefault="00E053E9" w:rsidP="00974491">
      <w:pPr>
        <w:pStyle w:val="ListParagraph"/>
        <w:numPr>
          <w:ilvl w:val="1"/>
          <w:numId w:val="110"/>
        </w:numPr>
        <w:tabs>
          <w:tab w:val="clear" w:pos="1800"/>
          <w:tab w:val="num" w:pos="0"/>
        </w:tabs>
        <w:suppressAutoHyphens/>
        <w:spacing w:before="240" w:after="240"/>
        <w:ind w:left="0" w:firstLine="720"/>
        <w:jc w:val="both"/>
        <w:rPr>
          <w:rFonts w:asciiTheme="majorHAnsi" w:hAnsiTheme="majorHAnsi"/>
          <w:sz w:val="20"/>
          <w:szCs w:val="20"/>
          <w:lang w:val="es-ES"/>
        </w:rPr>
      </w:pPr>
      <w:r w:rsidRPr="005036C5">
        <w:rPr>
          <w:rFonts w:asciiTheme="majorHAnsi" w:hAnsiTheme="majorHAnsi"/>
          <w:color w:val="auto"/>
          <w:sz w:val="20"/>
          <w:szCs w:val="20"/>
          <w:lang w:val="es-ES"/>
        </w:rPr>
        <w:t>Publicar esta decisión e incluirla en su Informe Anual a la Asamblea General de la Organización de los Estados Americanos.</w:t>
      </w:r>
    </w:p>
    <w:p w14:paraId="74C54E4B" w14:textId="666C9369" w:rsidR="00552E7B" w:rsidRPr="00A37B82" w:rsidRDefault="00552E7B" w:rsidP="00552E7B">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0598A4E" w14:textId="77777777" w:rsidR="00552E7B" w:rsidRPr="00A37B82" w:rsidRDefault="00552E7B" w:rsidP="00552E7B">
      <w:pPr>
        <w:suppressAutoHyphens/>
        <w:ind w:firstLine="720"/>
        <w:jc w:val="both"/>
        <w:rPr>
          <w:rFonts w:asciiTheme="majorHAnsi" w:hAnsiTheme="majorHAnsi" w:cs="Arial"/>
          <w:noProof/>
          <w:spacing w:val="-2"/>
          <w:sz w:val="20"/>
          <w:szCs w:val="20"/>
          <w:lang w:val="es-CL"/>
        </w:rPr>
      </w:pPr>
    </w:p>
    <w:sectPr w:rsidR="00552E7B" w:rsidRPr="00A37B82"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DFD6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F1725" w14:textId="77777777" w:rsidR="001421C0" w:rsidRDefault="001421C0">
      <w:r>
        <w:separator/>
      </w:r>
    </w:p>
  </w:endnote>
  <w:endnote w:type="continuationSeparator" w:id="0">
    <w:p w14:paraId="0BA08F9E" w14:textId="77777777" w:rsidR="001421C0" w:rsidRDefault="0014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94D52" w14:textId="77777777" w:rsidR="007C2425" w:rsidRDefault="007C2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F63CAE" w:rsidRPr="00934A2C" w:rsidRDefault="00F63CA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C2425">
          <w:rPr>
            <w:noProof/>
            <w:sz w:val="16"/>
            <w:szCs w:val="22"/>
          </w:rPr>
          <w:t>1</w:t>
        </w:r>
        <w:r w:rsidRPr="00934A2C">
          <w:rPr>
            <w:noProof/>
            <w:sz w:val="16"/>
            <w:szCs w:val="22"/>
          </w:rPr>
          <w:fldChar w:fldCharType="end"/>
        </w:r>
      </w:p>
    </w:sdtContent>
  </w:sdt>
  <w:p w14:paraId="68530E6A" w14:textId="77777777" w:rsidR="00F63CAE" w:rsidRDefault="00F63C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F63CAE" w:rsidRPr="00934A2C" w:rsidRDefault="00F63CAE">
    <w:pPr>
      <w:pStyle w:val="Footer"/>
      <w:jc w:val="center"/>
      <w:rPr>
        <w:sz w:val="16"/>
        <w:szCs w:val="22"/>
      </w:rPr>
    </w:pPr>
  </w:p>
  <w:p w14:paraId="49059CE3" w14:textId="77777777" w:rsidR="00F63CAE" w:rsidRDefault="00F63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DFF3A" w14:textId="77777777" w:rsidR="001421C0" w:rsidRPr="000F35ED" w:rsidRDefault="001421C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8A28846" w14:textId="77777777" w:rsidR="001421C0" w:rsidRPr="000F35ED" w:rsidRDefault="001421C0" w:rsidP="000F35ED">
      <w:pPr>
        <w:rPr>
          <w:rFonts w:asciiTheme="majorHAnsi" w:hAnsiTheme="majorHAnsi"/>
          <w:sz w:val="16"/>
          <w:szCs w:val="16"/>
        </w:rPr>
      </w:pPr>
      <w:r w:rsidRPr="000F35ED">
        <w:rPr>
          <w:rFonts w:asciiTheme="majorHAnsi" w:hAnsiTheme="majorHAnsi"/>
          <w:sz w:val="16"/>
          <w:szCs w:val="16"/>
        </w:rPr>
        <w:separator/>
      </w:r>
    </w:p>
    <w:p w14:paraId="2E52A4E5" w14:textId="77777777" w:rsidR="001421C0" w:rsidRPr="000F35ED" w:rsidRDefault="001421C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8AC1189" w14:textId="77777777" w:rsidR="001421C0" w:rsidRPr="000F35ED" w:rsidRDefault="001421C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A9BE40B" w14:textId="27A61243" w:rsidR="00F63CAE" w:rsidRPr="005036C5" w:rsidRDefault="00F63CAE" w:rsidP="00684D15">
      <w:pPr>
        <w:pStyle w:val="FootnoteText"/>
        <w:ind w:firstLine="720"/>
        <w:jc w:val="both"/>
        <w:rPr>
          <w:rFonts w:ascii="Cambria" w:hAnsi="Cambria"/>
          <w:sz w:val="16"/>
          <w:szCs w:val="16"/>
          <w:lang w:val="es-ES"/>
        </w:rPr>
      </w:pPr>
      <w:r w:rsidRPr="005036C5">
        <w:rPr>
          <w:rStyle w:val="FootnoteReference"/>
          <w:rFonts w:ascii="Cambria" w:hAnsi="Cambria"/>
          <w:sz w:val="16"/>
          <w:szCs w:val="16"/>
        </w:rPr>
        <w:footnoteRef/>
      </w:r>
      <w:r w:rsidRPr="005036C5">
        <w:rPr>
          <w:rFonts w:ascii="Cambria" w:hAnsi="Cambria"/>
          <w:sz w:val="16"/>
          <w:szCs w:val="16"/>
          <w:lang w:val="es-ES"/>
        </w:rPr>
        <w:t xml:space="preserve"> Conforme a lo dispuesto en el artículo 17.2.a del Reglamento de la Comisión, el Comisionado José Jesús Orozco Henríquez, de nacionalidad mexicana, no participó en el debate ni en la decisión del presente asunto.</w:t>
      </w:r>
    </w:p>
  </w:footnote>
  <w:footnote w:id="3">
    <w:p w14:paraId="495BFA24" w14:textId="0ADD8977" w:rsidR="00F63CAE" w:rsidRPr="005036C5" w:rsidRDefault="00F63CAE" w:rsidP="00684D15">
      <w:pPr>
        <w:pStyle w:val="FootnoteText"/>
        <w:ind w:firstLine="720"/>
        <w:jc w:val="both"/>
        <w:rPr>
          <w:rFonts w:ascii="Cambria" w:hAnsi="Cambria"/>
          <w:sz w:val="16"/>
          <w:szCs w:val="16"/>
          <w:lang w:val="es-ES"/>
        </w:rPr>
      </w:pPr>
      <w:r w:rsidRPr="005036C5">
        <w:rPr>
          <w:rStyle w:val="FootnoteReference"/>
          <w:rFonts w:ascii="Cambria" w:hAnsi="Cambria"/>
          <w:sz w:val="16"/>
          <w:szCs w:val="16"/>
        </w:rPr>
        <w:footnoteRef/>
      </w:r>
      <w:r w:rsidRPr="005036C5">
        <w:rPr>
          <w:rFonts w:ascii="Cambria" w:hAnsi="Cambria"/>
          <w:sz w:val="16"/>
          <w:szCs w:val="16"/>
          <w:lang w:val="es-ES"/>
        </w:rPr>
        <w:t xml:space="preserve"> </w:t>
      </w:r>
      <w:r w:rsidRPr="005036C5">
        <w:rPr>
          <w:rFonts w:ascii="Cambria" w:hAnsi="Cambria"/>
          <w:color w:val="auto"/>
          <w:sz w:val="16"/>
          <w:szCs w:val="16"/>
          <w:lang w:val="es-ES"/>
        </w:rPr>
        <w:t>Las siguientes entidades figuran como co-peticionarias en el presente asunto</w:t>
      </w:r>
      <w:r w:rsidRPr="005036C5">
        <w:rPr>
          <w:rFonts w:ascii="Cambria" w:eastAsia="Arial Unicode MS" w:hAnsi="Cambria" w:cs="Times New Roman"/>
          <w:color w:val="auto"/>
          <w:sz w:val="16"/>
          <w:szCs w:val="16"/>
          <w:lang w:val="es-ES" w:eastAsia="en-US"/>
        </w:rPr>
        <w:t xml:space="preserve">: </w:t>
      </w:r>
      <w:r w:rsidRPr="005036C5">
        <w:rPr>
          <w:rFonts w:ascii="Cambria" w:hAnsi="Cambria"/>
          <w:color w:val="auto"/>
          <w:sz w:val="16"/>
          <w:szCs w:val="16"/>
          <w:lang w:val="es-ES"/>
        </w:rPr>
        <w:t xml:space="preserve">Alianza Cívica A.C.; Asociación Nacional de Locutores de México, A.C.; Fundación Movimiento por la Certidumbre, A.C.; Comité Ejecutivo Nacional de Movimiento México Avanza; Corriente Social Participativa; Junta Nacional México Democrático; Confederación de Jóvenes Mexicanos; Genes Instituto de Género y Salud Sexual, S.C.; Agrupación Política Nacional “Emiliano Zapata”; Comité Nacional de la Asociación Mexicana de Periodistas de Radio y Televisión; Academia Mexicana de Derechos Humanos; Asociación Nacional de Abogados por los Derechos Humanos A.C.; Movimiento Social por la Democracia Nacional; Comité Estatal del Estado de Querétaro; Comité Nacional de Democracia Social A.C.; Foro Nacional Permanente de Legisladores; y el Movimiento Nacional de Crítica Socio-Política CEN.  </w:t>
      </w:r>
    </w:p>
  </w:footnote>
  <w:footnote w:id="4">
    <w:p w14:paraId="09C21232" w14:textId="1924C6E9" w:rsidR="00F63CAE" w:rsidRPr="005036C5" w:rsidRDefault="00F63CAE" w:rsidP="00684D15">
      <w:pPr>
        <w:pStyle w:val="FootnoteText"/>
        <w:ind w:firstLine="720"/>
        <w:jc w:val="both"/>
        <w:rPr>
          <w:rFonts w:ascii="Cambria" w:hAnsi="Cambria"/>
          <w:color w:val="auto"/>
          <w:sz w:val="16"/>
          <w:szCs w:val="16"/>
          <w:lang w:val="es-ES"/>
        </w:rPr>
      </w:pPr>
      <w:r w:rsidRPr="005036C5">
        <w:rPr>
          <w:rStyle w:val="FootnoteReference"/>
          <w:rFonts w:ascii="Cambria" w:hAnsi="Cambria"/>
          <w:color w:val="auto"/>
          <w:sz w:val="16"/>
          <w:szCs w:val="16"/>
        </w:rPr>
        <w:footnoteRef/>
      </w:r>
      <w:r w:rsidRPr="005036C5">
        <w:rPr>
          <w:rFonts w:ascii="Cambria" w:hAnsi="Cambria"/>
          <w:color w:val="auto"/>
          <w:sz w:val="16"/>
          <w:szCs w:val="16"/>
          <w:lang w:val="es-ES"/>
        </w:rPr>
        <w:t xml:space="preserve"> En adelante “Convención Americana” o “Convención”.</w:t>
      </w:r>
    </w:p>
  </w:footnote>
  <w:footnote w:id="5">
    <w:p w14:paraId="2DE77004" w14:textId="1DAED02D" w:rsidR="00F63CAE" w:rsidRPr="005036C5" w:rsidRDefault="00F63CAE" w:rsidP="00684D15">
      <w:pPr>
        <w:pStyle w:val="FootnoteText"/>
        <w:ind w:firstLine="720"/>
        <w:jc w:val="both"/>
        <w:rPr>
          <w:rFonts w:ascii="Cambria" w:hAnsi="Cambria"/>
          <w:color w:val="auto"/>
          <w:sz w:val="16"/>
          <w:szCs w:val="16"/>
          <w:lang w:val="es-ES"/>
        </w:rPr>
      </w:pPr>
      <w:r w:rsidRPr="005036C5">
        <w:rPr>
          <w:rStyle w:val="FootnoteReference"/>
          <w:rFonts w:ascii="Cambria" w:hAnsi="Cambria"/>
          <w:color w:val="auto"/>
          <w:sz w:val="16"/>
          <w:szCs w:val="16"/>
        </w:rPr>
        <w:footnoteRef/>
      </w:r>
      <w:r w:rsidRPr="005036C5">
        <w:rPr>
          <w:rFonts w:ascii="Cambria" w:hAnsi="Cambria"/>
          <w:color w:val="auto"/>
          <w:sz w:val="16"/>
          <w:szCs w:val="16"/>
          <w:lang w:val="es-ES"/>
        </w:rPr>
        <w:t xml:space="preserve"> En adelante “Protocolo de San Salvador”.</w:t>
      </w:r>
    </w:p>
  </w:footnote>
  <w:footnote w:id="6">
    <w:p w14:paraId="09039106" w14:textId="614675C0" w:rsidR="00F63CAE" w:rsidRPr="005036C5" w:rsidRDefault="00F63CAE" w:rsidP="00684D15">
      <w:pPr>
        <w:pStyle w:val="FootnoteText"/>
        <w:ind w:firstLine="720"/>
        <w:jc w:val="both"/>
        <w:rPr>
          <w:rFonts w:ascii="Cambria" w:hAnsi="Cambria"/>
          <w:color w:val="auto"/>
          <w:sz w:val="16"/>
          <w:szCs w:val="16"/>
          <w:lang w:val="es-ES"/>
        </w:rPr>
      </w:pPr>
      <w:r w:rsidRPr="005036C5">
        <w:rPr>
          <w:rStyle w:val="FootnoteReference"/>
          <w:rFonts w:ascii="Cambria" w:hAnsi="Cambria"/>
          <w:color w:val="auto"/>
          <w:sz w:val="16"/>
          <w:szCs w:val="16"/>
        </w:rPr>
        <w:footnoteRef/>
      </w:r>
      <w:r w:rsidRPr="005036C5">
        <w:rPr>
          <w:rFonts w:ascii="Cambria" w:hAnsi="Cambria"/>
          <w:color w:val="auto"/>
          <w:sz w:val="16"/>
          <w:szCs w:val="16"/>
          <w:lang w:val="es-ES"/>
        </w:rPr>
        <w:t xml:space="preserve"> En adelante “Convención </w:t>
      </w:r>
      <w:r w:rsidRPr="005036C5">
        <w:rPr>
          <w:rFonts w:ascii="Cambria" w:hAnsi="Cambria" w:cs="Arial"/>
          <w:color w:val="auto"/>
          <w:sz w:val="16"/>
          <w:szCs w:val="16"/>
          <w:lang w:val="es-ES"/>
        </w:rPr>
        <w:t>de Belém do Pará</w:t>
      </w:r>
      <w:r w:rsidRPr="005036C5">
        <w:rPr>
          <w:rFonts w:ascii="Cambria" w:hAnsi="Cambria"/>
          <w:color w:val="auto"/>
          <w:sz w:val="16"/>
          <w:szCs w:val="16"/>
          <w:lang w:val="es-ES"/>
        </w:rPr>
        <w:t>”.</w:t>
      </w:r>
    </w:p>
  </w:footnote>
  <w:footnote w:id="7">
    <w:p w14:paraId="452D5054" w14:textId="2F4CB5AE" w:rsidR="00F63CAE" w:rsidRPr="005036C5" w:rsidRDefault="00F63CAE" w:rsidP="00684D15">
      <w:pPr>
        <w:pStyle w:val="FootnoteText"/>
        <w:ind w:firstLine="720"/>
        <w:jc w:val="both"/>
        <w:rPr>
          <w:rFonts w:ascii="Cambria" w:hAnsi="Cambria"/>
          <w:sz w:val="16"/>
          <w:szCs w:val="16"/>
          <w:lang w:val="es-ES"/>
        </w:rPr>
      </w:pPr>
      <w:r w:rsidRPr="005036C5">
        <w:rPr>
          <w:rStyle w:val="FootnoteReference"/>
          <w:rFonts w:ascii="Cambria" w:hAnsi="Cambria"/>
          <w:color w:val="auto"/>
          <w:sz w:val="16"/>
          <w:szCs w:val="16"/>
        </w:rPr>
        <w:footnoteRef/>
      </w:r>
      <w:r w:rsidRPr="005036C5">
        <w:rPr>
          <w:rFonts w:ascii="Cambria" w:hAnsi="Cambria"/>
          <w:color w:val="auto"/>
          <w:sz w:val="16"/>
          <w:szCs w:val="16"/>
          <w:lang w:val="es-ES"/>
        </w:rPr>
        <w:t xml:space="preserve"> Artículos </w:t>
      </w:r>
      <w:r w:rsidRPr="005036C5">
        <w:rPr>
          <w:rFonts w:ascii="Cambria" w:hAnsi="Cambria" w:cs="Arial"/>
          <w:color w:val="auto"/>
          <w:sz w:val="16"/>
          <w:szCs w:val="16"/>
          <w:lang w:val="es-ES"/>
        </w:rPr>
        <w:t>1, 3 y 11 de la Convención sobre la Eliminación de Todas las Formas de Discriminación contra la Mujer.</w:t>
      </w:r>
    </w:p>
  </w:footnote>
  <w:footnote w:id="8">
    <w:p w14:paraId="79F07139" w14:textId="77777777" w:rsidR="00F63CAE" w:rsidRPr="005036C5" w:rsidRDefault="00F63CAE" w:rsidP="00684D15">
      <w:pPr>
        <w:pStyle w:val="FootnoteText"/>
        <w:ind w:firstLine="720"/>
        <w:jc w:val="both"/>
        <w:rPr>
          <w:rFonts w:ascii="Cambria" w:hAnsi="Cambria"/>
          <w:sz w:val="16"/>
          <w:szCs w:val="16"/>
          <w:lang w:val="es-ES"/>
        </w:rPr>
      </w:pPr>
      <w:r w:rsidRPr="005036C5">
        <w:rPr>
          <w:rStyle w:val="FootnoteReference"/>
          <w:rFonts w:ascii="Cambria" w:hAnsi="Cambria"/>
          <w:sz w:val="16"/>
          <w:szCs w:val="16"/>
        </w:rPr>
        <w:footnoteRef/>
      </w:r>
      <w:r w:rsidRPr="005036C5">
        <w:rPr>
          <w:rFonts w:ascii="Cambria" w:hAnsi="Cambria"/>
          <w:sz w:val="16"/>
          <w:szCs w:val="16"/>
          <w:lang w:val="es-ES"/>
        </w:rPr>
        <w:t xml:space="preserve"> Las observaciones de cada parte fueron debidamente trasladadas a la parte contraria.</w:t>
      </w:r>
    </w:p>
  </w:footnote>
  <w:footnote w:id="9">
    <w:p w14:paraId="00E81007" w14:textId="502BF2CB" w:rsidR="00B62471" w:rsidRPr="00684D15" w:rsidRDefault="00B62471" w:rsidP="00B62471">
      <w:pPr>
        <w:pStyle w:val="FootnoteText"/>
        <w:ind w:firstLine="720"/>
        <w:jc w:val="both"/>
        <w:rPr>
          <w:rFonts w:ascii="Cambria" w:hAnsi="Cambria"/>
          <w:sz w:val="16"/>
          <w:szCs w:val="16"/>
          <w:lang w:val="es-ES"/>
        </w:rPr>
      </w:pPr>
      <w:r w:rsidRPr="005036C5">
        <w:rPr>
          <w:rStyle w:val="FootnoteReference"/>
          <w:rFonts w:ascii="Cambria" w:hAnsi="Cambria"/>
          <w:color w:val="auto"/>
          <w:sz w:val="16"/>
          <w:szCs w:val="16"/>
        </w:rPr>
        <w:footnoteRef/>
      </w:r>
      <w:r w:rsidRPr="005036C5">
        <w:rPr>
          <w:rFonts w:ascii="Cambria" w:hAnsi="Cambria"/>
          <w:color w:val="auto"/>
          <w:sz w:val="16"/>
          <w:szCs w:val="16"/>
          <w:lang w:val="es-ES"/>
        </w:rPr>
        <w:t xml:space="preserve"> El 30 de diciembre de 2016, la Comisión solicitó a ambas partes una copia simple del acuerdo que puso fin a la demanda laboral para </w:t>
      </w:r>
      <w:r w:rsidR="004865FE" w:rsidRPr="005036C5">
        <w:rPr>
          <w:rFonts w:ascii="Cambria" w:hAnsi="Cambria"/>
          <w:color w:val="auto"/>
          <w:sz w:val="16"/>
          <w:szCs w:val="16"/>
          <w:lang w:val="es-ES"/>
        </w:rPr>
        <w:t xml:space="preserve">revisar </w:t>
      </w:r>
      <w:r w:rsidR="004865FE" w:rsidRPr="005036C5">
        <w:rPr>
          <w:rFonts w:ascii="Cambria" w:hAnsi="Cambria"/>
          <w:i/>
          <w:color w:val="auto"/>
          <w:sz w:val="16"/>
          <w:szCs w:val="16"/>
          <w:lang w:val="es-ES"/>
        </w:rPr>
        <w:t>prima facie</w:t>
      </w:r>
      <w:r w:rsidRPr="005036C5">
        <w:rPr>
          <w:rFonts w:ascii="Cambria" w:hAnsi="Cambria"/>
          <w:color w:val="auto"/>
          <w:sz w:val="16"/>
          <w:szCs w:val="16"/>
          <w:lang w:val="es-ES"/>
        </w:rPr>
        <w:t xml:space="preserve"> los términos de este acuerdo. Sin embargo, las partes sólo proporcionaron el acta de desistimiento, el cual no contiene los términos del acuerdo arribado entre la señora Solórzano y la parte demandada en su demanda laboral</w:t>
      </w:r>
      <w:r w:rsidRPr="005036C5">
        <w:rPr>
          <w:rFonts w:ascii="Cambria" w:hAnsi="Cambria" w:cs="Arial"/>
          <w:color w:val="auto"/>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F63CAE" w:rsidRDefault="00F63CAE" w:rsidP="000A608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F63CAE" w:rsidRDefault="00F63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F63CAE" w:rsidRDefault="00F63CAE"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F63CAE" w:rsidRPr="00EC7D62" w:rsidRDefault="001421C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0934B" w14:textId="77777777" w:rsidR="007C2425" w:rsidRDefault="007C2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12"/>
  </w:num>
  <w:numIdMacAtCleanup w:val="1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IDH Intern 25 (De Oliveira, Thamisa)">
    <w15:presenceInfo w15:providerId="AD" w15:userId="S-1-5-21-1698982329-591668044-1116685130-27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629A"/>
    <w:rsid w:val="0001788C"/>
    <w:rsid w:val="0002129E"/>
    <w:rsid w:val="000337EF"/>
    <w:rsid w:val="00040C3A"/>
    <w:rsid w:val="000419AD"/>
    <w:rsid w:val="000716C5"/>
    <w:rsid w:val="00075E23"/>
    <w:rsid w:val="0009344A"/>
    <w:rsid w:val="00097A85"/>
    <w:rsid w:val="000A392E"/>
    <w:rsid w:val="000A575F"/>
    <w:rsid w:val="000A6082"/>
    <w:rsid w:val="000B4BAD"/>
    <w:rsid w:val="000D10DB"/>
    <w:rsid w:val="000E5EB5"/>
    <w:rsid w:val="000F35ED"/>
    <w:rsid w:val="00107131"/>
    <w:rsid w:val="0010736F"/>
    <w:rsid w:val="00113F73"/>
    <w:rsid w:val="00121CC2"/>
    <w:rsid w:val="00127850"/>
    <w:rsid w:val="00133EE5"/>
    <w:rsid w:val="00140349"/>
    <w:rsid w:val="001421C0"/>
    <w:rsid w:val="0015144A"/>
    <w:rsid w:val="00167A34"/>
    <w:rsid w:val="00185891"/>
    <w:rsid w:val="001902BB"/>
    <w:rsid w:val="00196A08"/>
    <w:rsid w:val="001A1AA8"/>
    <w:rsid w:val="001A3BF9"/>
    <w:rsid w:val="001A3DA2"/>
    <w:rsid w:val="001A7870"/>
    <w:rsid w:val="001B27DB"/>
    <w:rsid w:val="001B3A00"/>
    <w:rsid w:val="001C1B41"/>
    <w:rsid w:val="001C1E1D"/>
    <w:rsid w:val="001D65EF"/>
    <w:rsid w:val="001E49E7"/>
    <w:rsid w:val="001F7201"/>
    <w:rsid w:val="00204888"/>
    <w:rsid w:val="00206235"/>
    <w:rsid w:val="00216A29"/>
    <w:rsid w:val="00223A29"/>
    <w:rsid w:val="002250A3"/>
    <w:rsid w:val="00235217"/>
    <w:rsid w:val="00241473"/>
    <w:rsid w:val="00241DDA"/>
    <w:rsid w:val="00246D1F"/>
    <w:rsid w:val="00247403"/>
    <w:rsid w:val="00247542"/>
    <w:rsid w:val="00252D6A"/>
    <w:rsid w:val="00266B61"/>
    <w:rsid w:val="0026712A"/>
    <w:rsid w:val="002704DB"/>
    <w:rsid w:val="0028201C"/>
    <w:rsid w:val="00297C51"/>
    <w:rsid w:val="002A0AAE"/>
    <w:rsid w:val="002A5820"/>
    <w:rsid w:val="002D2B26"/>
    <w:rsid w:val="002D3642"/>
    <w:rsid w:val="002D7EA2"/>
    <w:rsid w:val="002E187C"/>
    <w:rsid w:val="002F29E3"/>
    <w:rsid w:val="00302733"/>
    <w:rsid w:val="00303402"/>
    <w:rsid w:val="003126A8"/>
    <w:rsid w:val="00314078"/>
    <w:rsid w:val="00314F7C"/>
    <w:rsid w:val="0031535D"/>
    <w:rsid w:val="003239B8"/>
    <w:rsid w:val="0033169F"/>
    <w:rsid w:val="00336A4C"/>
    <w:rsid w:val="00340B60"/>
    <w:rsid w:val="003422ED"/>
    <w:rsid w:val="00344977"/>
    <w:rsid w:val="00346C95"/>
    <w:rsid w:val="00356185"/>
    <w:rsid w:val="00357364"/>
    <w:rsid w:val="003579B9"/>
    <w:rsid w:val="00360380"/>
    <w:rsid w:val="00373A69"/>
    <w:rsid w:val="0037519E"/>
    <w:rsid w:val="00376EA4"/>
    <w:rsid w:val="00386CF0"/>
    <w:rsid w:val="003B70FB"/>
    <w:rsid w:val="003C676B"/>
    <w:rsid w:val="003D16F8"/>
    <w:rsid w:val="003D3BC2"/>
    <w:rsid w:val="003E6CA1"/>
    <w:rsid w:val="00410C05"/>
    <w:rsid w:val="004165C2"/>
    <w:rsid w:val="004169A4"/>
    <w:rsid w:val="00441ECB"/>
    <w:rsid w:val="00445193"/>
    <w:rsid w:val="00462C1B"/>
    <w:rsid w:val="00467B20"/>
    <w:rsid w:val="00467B7E"/>
    <w:rsid w:val="00472597"/>
    <w:rsid w:val="00473BB4"/>
    <w:rsid w:val="00477592"/>
    <w:rsid w:val="00480210"/>
    <w:rsid w:val="004865FE"/>
    <w:rsid w:val="00486F1C"/>
    <w:rsid w:val="0049419D"/>
    <w:rsid w:val="004A579D"/>
    <w:rsid w:val="004C20D2"/>
    <w:rsid w:val="004C2312"/>
    <w:rsid w:val="004C4757"/>
    <w:rsid w:val="004C4B62"/>
    <w:rsid w:val="004C54C9"/>
    <w:rsid w:val="004D48CC"/>
    <w:rsid w:val="004D4ABA"/>
    <w:rsid w:val="004D6025"/>
    <w:rsid w:val="004E2649"/>
    <w:rsid w:val="00501399"/>
    <w:rsid w:val="005036C5"/>
    <w:rsid w:val="0050633D"/>
    <w:rsid w:val="00507BC4"/>
    <w:rsid w:val="005128E4"/>
    <w:rsid w:val="005133DB"/>
    <w:rsid w:val="005227DC"/>
    <w:rsid w:val="00525560"/>
    <w:rsid w:val="00544C49"/>
    <w:rsid w:val="005516A1"/>
    <w:rsid w:val="00552E7B"/>
    <w:rsid w:val="0056111A"/>
    <w:rsid w:val="00563557"/>
    <w:rsid w:val="0057402A"/>
    <w:rsid w:val="005771D0"/>
    <w:rsid w:val="00587C81"/>
    <w:rsid w:val="0059191A"/>
    <w:rsid w:val="005921FF"/>
    <w:rsid w:val="00594711"/>
    <w:rsid w:val="005A24ED"/>
    <w:rsid w:val="005A6D0E"/>
    <w:rsid w:val="005B52B0"/>
    <w:rsid w:val="005B6806"/>
    <w:rsid w:val="005C2A6F"/>
    <w:rsid w:val="005C4225"/>
    <w:rsid w:val="005F0DAD"/>
    <w:rsid w:val="005F0F33"/>
    <w:rsid w:val="005F44BC"/>
    <w:rsid w:val="005F5A31"/>
    <w:rsid w:val="00600DEB"/>
    <w:rsid w:val="00627C9F"/>
    <w:rsid w:val="006311E9"/>
    <w:rsid w:val="00632354"/>
    <w:rsid w:val="00642810"/>
    <w:rsid w:val="0064301B"/>
    <w:rsid w:val="00652333"/>
    <w:rsid w:val="00672A77"/>
    <w:rsid w:val="0068009E"/>
    <w:rsid w:val="00684D15"/>
    <w:rsid w:val="00685924"/>
    <w:rsid w:val="00692219"/>
    <w:rsid w:val="006A17D2"/>
    <w:rsid w:val="006A671A"/>
    <w:rsid w:val="006A73E6"/>
    <w:rsid w:val="006B2D5C"/>
    <w:rsid w:val="006C1B7B"/>
    <w:rsid w:val="006C22C6"/>
    <w:rsid w:val="006C4EB1"/>
    <w:rsid w:val="006E0166"/>
    <w:rsid w:val="006E7B34"/>
    <w:rsid w:val="006F3BAD"/>
    <w:rsid w:val="0070697F"/>
    <w:rsid w:val="0072199C"/>
    <w:rsid w:val="00722C9F"/>
    <w:rsid w:val="0072314C"/>
    <w:rsid w:val="007253B8"/>
    <w:rsid w:val="00725BB5"/>
    <w:rsid w:val="0073741F"/>
    <w:rsid w:val="0076643F"/>
    <w:rsid w:val="00777F63"/>
    <w:rsid w:val="00786F22"/>
    <w:rsid w:val="007A5817"/>
    <w:rsid w:val="007B05C4"/>
    <w:rsid w:val="007B60E9"/>
    <w:rsid w:val="007B6CC3"/>
    <w:rsid w:val="007C2425"/>
    <w:rsid w:val="007C279F"/>
    <w:rsid w:val="007C3334"/>
    <w:rsid w:val="007D2B98"/>
    <w:rsid w:val="007E21BC"/>
    <w:rsid w:val="00803F1C"/>
    <w:rsid w:val="0080600E"/>
    <w:rsid w:val="00815B8A"/>
    <w:rsid w:val="00817612"/>
    <w:rsid w:val="008247E8"/>
    <w:rsid w:val="00824E0A"/>
    <w:rsid w:val="008338A4"/>
    <w:rsid w:val="00837C45"/>
    <w:rsid w:val="008401F3"/>
    <w:rsid w:val="00843744"/>
    <w:rsid w:val="00844730"/>
    <w:rsid w:val="008457C2"/>
    <w:rsid w:val="00857A82"/>
    <w:rsid w:val="00873836"/>
    <w:rsid w:val="00884C7D"/>
    <w:rsid w:val="00885737"/>
    <w:rsid w:val="00887910"/>
    <w:rsid w:val="00890650"/>
    <w:rsid w:val="00897E12"/>
    <w:rsid w:val="008A7E0F"/>
    <w:rsid w:val="008B12F5"/>
    <w:rsid w:val="008D5764"/>
    <w:rsid w:val="008D58AF"/>
    <w:rsid w:val="008D768D"/>
    <w:rsid w:val="008E3759"/>
    <w:rsid w:val="008E3BFE"/>
    <w:rsid w:val="008F1912"/>
    <w:rsid w:val="008F221C"/>
    <w:rsid w:val="0090270B"/>
    <w:rsid w:val="009041DC"/>
    <w:rsid w:val="009100E3"/>
    <w:rsid w:val="00912DAD"/>
    <w:rsid w:val="00917B5A"/>
    <w:rsid w:val="00920A58"/>
    <w:rsid w:val="00920A8C"/>
    <w:rsid w:val="00934A2C"/>
    <w:rsid w:val="00960F46"/>
    <w:rsid w:val="0096706E"/>
    <w:rsid w:val="00974491"/>
    <w:rsid w:val="00975C4E"/>
    <w:rsid w:val="009811FB"/>
    <w:rsid w:val="00981FBA"/>
    <w:rsid w:val="00997BC5"/>
    <w:rsid w:val="009A4F41"/>
    <w:rsid w:val="009B381B"/>
    <w:rsid w:val="009B4334"/>
    <w:rsid w:val="009D1753"/>
    <w:rsid w:val="009D7611"/>
    <w:rsid w:val="009D7E3C"/>
    <w:rsid w:val="009E0B61"/>
    <w:rsid w:val="009E53DE"/>
    <w:rsid w:val="00A106D6"/>
    <w:rsid w:val="00A11E44"/>
    <w:rsid w:val="00A15A41"/>
    <w:rsid w:val="00A328B3"/>
    <w:rsid w:val="00A50425"/>
    <w:rsid w:val="00A50FCF"/>
    <w:rsid w:val="00A528D1"/>
    <w:rsid w:val="00A610CD"/>
    <w:rsid w:val="00A758AA"/>
    <w:rsid w:val="00A82791"/>
    <w:rsid w:val="00A86AF7"/>
    <w:rsid w:val="00A937EB"/>
    <w:rsid w:val="00AA09A2"/>
    <w:rsid w:val="00AA7996"/>
    <w:rsid w:val="00AC19CB"/>
    <w:rsid w:val="00AC3A39"/>
    <w:rsid w:val="00AE19FA"/>
    <w:rsid w:val="00AE5488"/>
    <w:rsid w:val="00AE6F91"/>
    <w:rsid w:val="00AF5571"/>
    <w:rsid w:val="00B019B0"/>
    <w:rsid w:val="00B07341"/>
    <w:rsid w:val="00B27BF3"/>
    <w:rsid w:val="00B30539"/>
    <w:rsid w:val="00B314DB"/>
    <w:rsid w:val="00B33AEC"/>
    <w:rsid w:val="00B361F2"/>
    <w:rsid w:val="00B3718B"/>
    <w:rsid w:val="00B4632A"/>
    <w:rsid w:val="00B530F1"/>
    <w:rsid w:val="00B62471"/>
    <w:rsid w:val="00B80452"/>
    <w:rsid w:val="00B878F3"/>
    <w:rsid w:val="00B93CC7"/>
    <w:rsid w:val="00BA276C"/>
    <w:rsid w:val="00BB306F"/>
    <w:rsid w:val="00BC22D2"/>
    <w:rsid w:val="00BC633A"/>
    <w:rsid w:val="00BC6D88"/>
    <w:rsid w:val="00BD1F40"/>
    <w:rsid w:val="00BD4B89"/>
    <w:rsid w:val="00BD5922"/>
    <w:rsid w:val="00BF02CB"/>
    <w:rsid w:val="00BF6FD8"/>
    <w:rsid w:val="00C014CA"/>
    <w:rsid w:val="00C01CE8"/>
    <w:rsid w:val="00C032F4"/>
    <w:rsid w:val="00C03680"/>
    <w:rsid w:val="00C054DF"/>
    <w:rsid w:val="00C21762"/>
    <w:rsid w:val="00C21FEF"/>
    <w:rsid w:val="00C24543"/>
    <w:rsid w:val="00C256A2"/>
    <w:rsid w:val="00C35B7A"/>
    <w:rsid w:val="00C51515"/>
    <w:rsid w:val="00C5660B"/>
    <w:rsid w:val="00C66B72"/>
    <w:rsid w:val="00C74941"/>
    <w:rsid w:val="00C749CE"/>
    <w:rsid w:val="00C87AC4"/>
    <w:rsid w:val="00C9567A"/>
    <w:rsid w:val="00CA2E36"/>
    <w:rsid w:val="00CB212D"/>
    <w:rsid w:val="00CB2660"/>
    <w:rsid w:val="00CC5B0C"/>
    <w:rsid w:val="00CC5E90"/>
    <w:rsid w:val="00CD046C"/>
    <w:rsid w:val="00CE076C"/>
    <w:rsid w:val="00CE5199"/>
    <w:rsid w:val="00CE66D5"/>
    <w:rsid w:val="00CF637A"/>
    <w:rsid w:val="00D059DE"/>
    <w:rsid w:val="00D05ABD"/>
    <w:rsid w:val="00D13FCE"/>
    <w:rsid w:val="00D306D1"/>
    <w:rsid w:val="00D30726"/>
    <w:rsid w:val="00D30800"/>
    <w:rsid w:val="00D34786"/>
    <w:rsid w:val="00D37BFC"/>
    <w:rsid w:val="00D47A8E"/>
    <w:rsid w:val="00D52D14"/>
    <w:rsid w:val="00D712D3"/>
    <w:rsid w:val="00D71422"/>
    <w:rsid w:val="00D72DC6"/>
    <w:rsid w:val="00D7558D"/>
    <w:rsid w:val="00D81D92"/>
    <w:rsid w:val="00D92221"/>
    <w:rsid w:val="00DA7B5F"/>
    <w:rsid w:val="00DC11E7"/>
    <w:rsid w:val="00DC6E23"/>
    <w:rsid w:val="00DC7023"/>
    <w:rsid w:val="00DC769A"/>
    <w:rsid w:val="00DD3D86"/>
    <w:rsid w:val="00DD550F"/>
    <w:rsid w:val="00DF1EC4"/>
    <w:rsid w:val="00DF38C4"/>
    <w:rsid w:val="00E0340B"/>
    <w:rsid w:val="00E04A90"/>
    <w:rsid w:val="00E053E9"/>
    <w:rsid w:val="00E0551F"/>
    <w:rsid w:val="00E13673"/>
    <w:rsid w:val="00E219C7"/>
    <w:rsid w:val="00E4118C"/>
    <w:rsid w:val="00E43157"/>
    <w:rsid w:val="00E461CE"/>
    <w:rsid w:val="00E7043A"/>
    <w:rsid w:val="00E720CA"/>
    <w:rsid w:val="00E80140"/>
    <w:rsid w:val="00E84EB5"/>
    <w:rsid w:val="00E85662"/>
    <w:rsid w:val="00E8789F"/>
    <w:rsid w:val="00E97B71"/>
    <w:rsid w:val="00EA3D34"/>
    <w:rsid w:val="00EB454D"/>
    <w:rsid w:val="00EC4635"/>
    <w:rsid w:val="00ED546E"/>
    <w:rsid w:val="00ED549D"/>
    <w:rsid w:val="00ED76BE"/>
    <w:rsid w:val="00EE00E9"/>
    <w:rsid w:val="00EE6AA5"/>
    <w:rsid w:val="00EF619B"/>
    <w:rsid w:val="00F00B55"/>
    <w:rsid w:val="00F00F0A"/>
    <w:rsid w:val="00F02AD1"/>
    <w:rsid w:val="00F20E1C"/>
    <w:rsid w:val="00F21281"/>
    <w:rsid w:val="00F253CC"/>
    <w:rsid w:val="00F37106"/>
    <w:rsid w:val="00F519CF"/>
    <w:rsid w:val="00F55452"/>
    <w:rsid w:val="00F56BA5"/>
    <w:rsid w:val="00F60E22"/>
    <w:rsid w:val="00F63CAE"/>
    <w:rsid w:val="00F73C31"/>
    <w:rsid w:val="00F80E61"/>
    <w:rsid w:val="00F81395"/>
    <w:rsid w:val="00F81BB8"/>
    <w:rsid w:val="00F917D1"/>
    <w:rsid w:val="00F91D04"/>
    <w:rsid w:val="00F9653B"/>
    <w:rsid w:val="00FB0E54"/>
    <w:rsid w:val="00FB62CF"/>
    <w:rsid w:val="00FC282E"/>
    <w:rsid w:val="00FD3C3B"/>
    <w:rsid w:val="00FE07DD"/>
    <w:rsid w:val="00FE5D52"/>
    <w:rsid w:val="00FE6B45"/>
    <w:rsid w:val="00FF55F3"/>
    <w:rsid w:val="00FF5851"/>
    <w:rsid w:val="00FF6678"/>
    <w:rsid w:val="00FF7B79"/>
    <w:rsid w:val="00FF7FC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6A8"/>
    <w:rPr>
      <w:sz w:val="16"/>
      <w:szCs w:val="16"/>
    </w:rPr>
  </w:style>
  <w:style w:type="paragraph" w:styleId="CommentText">
    <w:name w:val="annotation text"/>
    <w:basedOn w:val="Normal"/>
    <w:link w:val="CommentTextChar"/>
    <w:uiPriority w:val="99"/>
    <w:semiHidden/>
    <w:unhideWhenUsed/>
    <w:rsid w:val="003126A8"/>
    <w:rPr>
      <w:sz w:val="20"/>
      <w:szCs w:val="20"/>
    </w:rPr>
  </w:style>
  <w:style w:type="character" w:customStyle="1" w:styleId="CommentTextChar">
    <w:name w:val="Comment Text Char"/>
    <w:basedOn w:val="DefaultParagraphFont"/>
    <w:link w:val="CommentText"/>
    <w:uiPriority w:val="99"/>
    <w:semiHidden/>
    <w:rsid w:val="003126A8"/>
    <w:rPr>
      <w:lang w:val="en-US" w:eastAsia="en-US"/>
    </w:rPr>
  </w:style>
  <w:style w:type="paragraph" w:styleId="CommentSubject">
    <w:name w:val="annotation subject"/>
    <w:basedOn w:val="CommentText"/>
    <w:next w:val="CommentText"/>
    <w:link w:val="CommentSubjectChar"/>
    <w:uiPriority w:val="99"/>
    <w:semiHidden/>
    <w:unhideWhenUsed/>
    <w:rsid w:val="00843744"/>
    <w:rPr>
      <w:b/>
      <w:bCs/>
    </w:rPr>
  </w:style>
  <w:style w:type="character" w:customStyle="1" w:styleId="CommentSubjectChar">
    <w:name w:val="Comment Subject Char"/>
    <w:basedOn w:val="CommentTextChar"/>
    <w:link w:val="CommentSubject"/>
    <w:uiPriority w:val="99"/>
    <w:semiHidden/>
    <w:rsid w:val="00843744"/>
    <w:rPr>
      <w:b/>
      <w:bCs/>
      <w:lang w:val="en-US" w:eastAsia="en-US"/>
    </w:rPr>
  </w:style>
  <w:style w:type="paragraph" w:styleId="Revision">
    <w:name w:val="Revision"/>
    <w:hidden/>
    <w:uiPriority w:val="99"/>
    <w:semiHidden/>
    <w:rsid w:val="007C27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6A8"/>
    <w:rPr>
      <w:sz w:val="16"/>
      <w:szCs w:val="16"/>
    </w:rPr>
  </w:style>
  <w:style w:type="paragraph" w:styleId="CommentText">
    <w:name w:val="annotation text"/>
    <w:basedOn w:val="Normal"/>
    <w:link w:val="CommentTextChar"/>
    <w:uiPriority w:val="99"/>
    <w:semiHidden/>
    <w:unhideWhenUsed/>
    <w:rsid w:val="003126A8"/>
    <w:rPr>
      <w:sz w:val="20"/>
      <w:szCs w:val="20"/>
    </w:rPr>
  </w:style>
  <w:style w:type="character" w:customStyle="1" w:styleId="CommentTextChar">
    <w:name w:val="Comment Text Char"/>
    <w:basedOn w:val="DefaultParagraphFont"/>
    <w:link w:val="CommentText"/>
    <w:uiPriority w:val="99"/>
    <w:semiHidden/>
    <w:rsid w:val="003126A8"/>
    <w:rPr>
      <w:lang w:val="en-US" w:eastAsia="en-US"/>
    </w:rPr>
  </w:style>
  <w:style w:type="paragraph" w:styleId="CommentSubject">
    <w:name w:val="annotation subject"/>
    <w:basedOn w:val="CommentText"/>
    <w:next w:val="CommentText"/>
    <w:link w:val="CommentSubjectChar"/>
    <w:uiPriority w:val="99"/>
    <w:semiHidden/>
    <w:unhideWhenUsed/>
    <w:rsid w:val="00843744"/>
    <w:rPr>
      <w:b/>
      <w:bCs/>
    </w:rPr>
  </w:style>
  <w:style w:type="character" w:customStyle="1" w:styleId="CommentSubjectChar">
    <w:name w:val="Comment Subject Char"/>
    <w:basedOn w:val="CommentTextChar"/>
    <w:link w:val="CommentSubject"/>
    <w:uiPriority w:val="99"/>
    <w:semiHidden/>
    <w:rsid w:val="00843744"/>
    <w:rPr>
      <w:b/>
      <w:bCs/>
      <w:lang w:val="en-US" w:eastAsia="en-US"/>
    </w:rPr>
  </w:style>
  <w:style w:type="paragraph" w:styleId="Revision">
    <w:name w:val="Revision"/>
    <w:hidden/>
    <w:uiPriority w:val="99"/>
    <w:semiHidden/>
    <w:rsid w:val="007C27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GillSans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92BF9"/>
    <w:rsid w:val="00394049"/>
    <w:rsid w:val="003C1447"/>
    <w:rsid w:val="004F2DF8"/>
    <w:rsid w:val="005D422D"/>
    <w:rsid w:val="005E44F8"/>
    <w:rsid w:val="006358E8"/>
    <w:rsid w:val="006E0ADB"/>
    <w:rsid w:val="0071172B"/>
    <w:rsid w:val="007320FD"/>
    <w:rsid w:val="0084324F"/>
    <w:rsid w:val="00933A06"/>
    <w:rsid w:val="009A261B"/>
    <w:rsid w:val="00AC15A4"/>
    <w:rsid w:val="00B0336C"/>
    <w:rsid w:val="00DA68CB"/>
    <w:rsid w:val="00EC3E73"/>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2142-6787-43AC-AFA8-5628D9C0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13853</Characters>
  <Application>Microsoft Office Word</Application>
  <DocSecurity>0</DocSecurity>
  <Lines>115</Lines>
  <Paragraphs>32</Paragraphs>
  <ScaleCrop>false</ScaleCrop>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151/17</dc:title>
  <dc:creator/>
  <cp:lastModifiedBy/>
  <cp:revision>1</cp:revision>
  <dcterms:created xsi:type="dcterms:W3CDTF">2018-03-16T11:59:00Z</dcterms:created>
  <dcterms:modified xsi:type="dcterms:W3CDTF">2018-03-16T11:59:00Z</dcterms:modified>
</cp:coreProperties>
</file>