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BD17BD4" w14:textId="60EBA0A9" w:rsidR="00040C3A" w:rsidRPr="00357FF9" w:rsidRDefault="00D306D1" w:rsidP="00C04D34">
      <w:pPr>
        <w:tabs>
          <w:tab w:val="left" w:pos="1440"/>
        </w:tabs>
        <w:ind w:firstLine="720"/>
        <w:jc w:val="both"/>
        <w:rPr>
          <w:rFonts w:asciiTheme="majorHAnsi" w:hAnsiTheme="majorHAnsi" w:cs="Univers"/>
          <w:b/>
          <w:bCs/>
          <w:sz w:val="22"/>
          <w:szCs w:val="22"/>
        </w:rPr>
      </w:pPr>
      <w:r w:rsidRPr="00357FF9">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67DD4BDB" wp14:editId="4A7F53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57FF9">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2741F98D" wp14:editId="290F673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AFB56" w14:textId="51E92C03" w:rsidR="00A90694" w:rsidRDefault="00A90694" w:rsidP="00AE5488">
                            <w:r>
                              <w:rPr>
                                <w:noProof/>
                                <w:lang w:val="en-US"/>
                              </w:rPr>
                              <w:drawing>
                                <wp:inline distT="0" distB="0" distL="0" distR="0" wp14:anchorId="25F9CDB3" wp14:editId="7B5519A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DAAFB56" w14:textId="51E92C03" w:rsidR="00A90694" w:rsidRDefault="00A90694" w:rsidP="00AE5488">
                      <w:r>
                        <w:rPr>
                          <w:noProof/>
                          <w:lang w:val="en-US"/>
                        </w:rPr>
                        <w:drawing>
                          <wp:inline distT="0" distB="0" distL="0" distR="0" wp14:anchorId="25F9CDB3" wp14:editId="7B5519A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E883BDF" w14:textId="77777777" w:rsidR="00040C3A" w:rsidRPr="00357FF9" w:rsidRDefault="00040C3A" w:rsidP="00C04D34">
      <w:pPr>
        <w:tabs>
          <w:tab w:val="left" w:pos="1440"/>
          <w:tab w:val="center" w:pos="5400"/>
        </w:tabs>
        <w:suppressAutoHyphens/>
        <w:ind w:firstLine="720"/>
        <w:jc w:val="both"/>
        <w:rPr>
          <w:rFonts w:asciiTheme="majorHAnsi" w:hAnsiTheme="majorHAnsi"/>
          <w:sz w:val="22"/>
          <w:szCs w:val="22"/>
        </w:rPr>
      </w:pPr>
    </w:p>
    <w:p w14:paraId="5B6DBB44" w14:textId="77777777" w:rsidR="00040C3A" w:rsidRPr="00357FF9" w:rsidRDefault="00040C3A" w:rsidP="00C04D34">
      <w:pPr>
        <w:tabs>
          <w:tab w:val="left" w:pos="1440"/>
          <w:tab w:val="center" w:pos="5400"/>
        </w:tabs>
        <w:suppressAutoHyphens/>
        <w:ind w:firstLine="720"/>
        <w:jc w:val="both"/>
        <w:rPr>
          <w:rFonts w:asciiTheme="majorHAnsi" w:hAnsiTheme="majorHAnsi"/>
          <w:sz w:val="22"/>
          <w:szCs w:val="22"/>
        </w:rPr>
      </w:pPr>
    </w:p>
    <w:p w14:paraId="1BB61711" w14:textId="77777777" w:rsidR="005128E4" w:rsidRPr="00357FF9" w:rsidRDefault="005128E4" w:rsidP="00C04D34">
      <w:pPr>
        <w:tabs>
          <w:tab w:val="left" w:pos="1440"/>
          <w:tab w:val="center" w:pos="5400"/>
        </w:tabs>
        <w:suppressAutoHyphens/>
        <w:ind w:firstLine="720"/>
        <w:rPr>
          <w:rFonts w:asciiTheme="majorHAnsi" w:hAnsiTheme="majorHAnsi"/>
          <w:sz w:val="22"/>
          <w:szCs w:val="22"/>
        </w:rPr>
      </w:pPr>
    </w:p>
    <w:p w14:paraId="339FA837" w14:textId="77777777" w:rsidR="005128E4" w:rsidRPr="00357FF9" w:rsidRDefault="005128E4" w:rsidP="00C04D34">
      <w:pPr>
        <w:tabs>
          <w:tab w:val="left" w:pos="1440"/>
          <w:tab w:val="center" w:pos="5400"/>
        </w:tabs>
        <w:suppressAutoHyphens/>
        <w:ind w:firstLine="720"/>
        <w:rPr>
          <w:rFonts w:asciiTheme="majorHAnsi" w:hAnsiTheme="majorHAnsi"/>
          <w:sz w:val="22"/>
          <w:szCs w:val="22"/>
        </w:rPr>
      </w:pPr>
    </w:p>
    <w:p w14:paraId="0F0512EF" w14:textId="77777777" w:rsidR="005128E4" w:rsidRPr="00357FF9" w:rsidRDefault="005128E4" w:rsidP="00C04D34">
      <w:pPr>
        <w:tabs>
          <w:tab w:val="left" w:pos="1440"/>
          <w:tab w:val="center" w:pos="5400"/>
        </w:tabs>
        <w:suppressAutoHyphens/>
        <w:ind w:firstLine="720"/>
        <w:rPr>
          <w:rFonts w:asciiTheme="majorHAnsi" w:hAnsiTheme="majorHAnsi"/>
          <w:sz w:val="22"/>
          <w:szCs w:val="22"/>
        </w:rPr>
      </w:pPr>
    </w:p>
    <w:p w14:paraId="50B42334" w14:textId="77777777" w:rsidR="00040C3A" w:rsidRPr="00357FF9" w:rsidRDefault="00040C3A" w:rsidP="00C04D34">
      <w:pPr>
        <w:tabs>
          <w:tab w:val="left" w:pos="1440"/>
          <w:tab w:val="center" w:pos="5400"/>
        </w:tabs>
        <w:suppressAutoHyphens/>
        <w:ind w:firstLine="720"/>
        <w:jc w:val="center"/>
        <w:rPr>
          <w:rFonts w:asciiTheme="majorHAnsi" w:hAnsiTheme="majorHAnsi"/>
          <w:sz w:val="22"/>
          <w:szCs w:val="22"/>
        </w:rPr>
      </w:pPr>
    </w:p>
    <w:p w14:paraId="29B76D90" w14:textId="77777777" w:rsidR="00040C3A" w:rsidRPr="00357FF9" w:rsidRDefault="00040C3A" w:rsidP="00C04D34">
      <w:pPr>
        <w:tabs>
          <w:tab w:val="left" w:pos="1440"/>
          <w:tab w:val="center" w:pos="5400"/>
        </w:tabs>
        <w:suppressAutoHyphens/>
        <w:ind w:firstLine="720"/>
        <w:jc w:val="center"/>
        <w:rPr>
          <w:rFonts w:asciiTheme="majorHAnsi" w:hAnsiTheme="majorHAnsi"/>
          <w:sz w:val="22"/>
          <w:szCs w:val="22"/>
        </w:rPr>
      </w:pPr>
    </w:p>
    <w:p w14:paraId="7CF307D3" w14:textId="77777777" w:rsidR="005B52B0" w:rsidRPr="00357FF9" w:rsidRDefault="005B52B0" w:rsidP="00C04D34">
      <w:pPr>
        <w:tabs>
          <w:tab w:val="left" w:pos="1440"/>
          <w:tab w:val="center" w:pos="5400"/>
        </w:tabs>
        <w:suppressAutoHyphens/>
        <w:ind w:firstLine="720"/>
        <w:jc w:val="center"/>
        <w:rPr>
          <w:rFonts w:asciiTheme="majorHAnsi" w:hAnsiTheme="majorHAnsi"/>
          <w:sz w:val="22"/>
          <w:szCs w:val="22"/>
        </w:rPr>
      </w:pPr>
    </w:p>
    <w:p w14:paraId="128013AE" w14:textId="77777777" w:rsidR="005B52B0" w:rsidRPr="00357FF9" w:rsidRDefault="005B52B0" w:rsidP="00C04D34">
      <w:pPr>
        <w:tabs>
          <w:tab w:val="left" w:pos="1440"/>
          <w:tab w:val="center" w:pos="5400"/>
        </w:tabs>
        <w:suppressAutoHyphens/>
        <w:ind w:firstLine="720"/>
        <w:jc w:val="center"/>
        <w:rPr>
          <w:rFonts w:asciiTheme="majorHAnsi" w:hAnsiTheme="majorHAnsi"/>
          <w:sz w:val="22"/>
          <w:szCs w:val="22"/>
        </w:rPr>
      </w:pPr>
    </w:p>
    <w:p w14:paraId="567FAE96" w14:textId="77777777" w:rsidR="005B52B0" w:rsidRPr="00357FF9" w:rsidRDefault="005B52B0" w:rsidP="00C04D34">
      <w:pPr>
        <w:tabs>
          <w:tab w:val="left" w:pos="1440"/>
          <w:tab w:val="center" w:pos="5400"/>
        </w:tabs>
        <w:suppressAutoHyphens/>
        <w:ind w:firstLine="720"/>
        <w:jc w:val="center"/>
        <w:rPr>
          <w:rFonts w:asciiTheme="majorHAnsi" w:hAnsiTheme="majorHAnsi"/>
          <w:sz w:val="22"/>
          <w:szCs w:val="22"/>
        </w:rPr>
      </w:pPr>
    </w:p>
    <w:p w14:paraId="7B59890E" w14:textId="77777777" w:rsidR="00040C3A" w:rsidRPr="00357FF9" w:rsidRDefault="00040C3A" w:rsidP="00C04D34">
      <w:pPr>
        <w:tabs>
          <w:tab w:val="left" w:pos="1440"/>
          <w:tab w:val="center" w:pos="5400"/>
        </w:tabs>
        <w:suppressAutoHyphens/>
        <w:ind w:firstLine="720"/>
        <w:jc w:val="center"/>
        <w:rPr>
          <w:rFonts w:asciiTheme="majorHAnsi" w:hAnsiTheme="majorHAnsi"/>
          <w:sz w:val="22"/>
          <w:szCs w:val="22"/>
        </w:rPr>
      </w:pPr>
    </w:p>
    <w:p w14:paraId="34EBD2C0" w14:textId="77777777" w:rsidR="00040C3A" w:rsidRPr="00357FF9" w:rsidRDefault="00040C3A" w:rsidP="00C04D34">
      <w:pPr>
        <w:tabs>
          <w:tab w:val="left" w:pos="1440"/>
          <w:tab w:val="center" w:pos="5400"/>
        </w:tabs>
        <w:suppressAutoHyphens/>
        <w:ind w:firstLine="720"/>
        <w:jc w:val="center"/>
        <w:rPr>
          <w:rFonts w:asciiTheme="majorHAnsi" w:hAnsiTheme="majorHAnsi"/>
          <w:sz w:val="22"/>
          <w:szCs w:val="22"/>
        </w:rPr>
      </w:pPr>
    </w:p>
    <w:p w14:paraId="5600E28B" w14:textId="77777777" w:rsidR="00040C3A" w:rsidRPr="00357FF9" w:rsidRDefault="003D3BC2" w:rsidP="00C04D34">
      <w:pPr>
        <w:tabs>
          <w:tab w:val="left" w:pos="1440"/>
          <w:tab w:val="center" w:pos="5400"/>
        </w:tabs>
        <w:suppressAutoHyphens/>
        <w:ind w:firstLine="720"/>
        <w:jc w:val="center"/>
        <w:rPr>
          <w:rFonts w:asciiTheme="majorHAnsi" w:hAnsiTheme="majorHAnsi"/>
          <w:sz w:val="22"/>
          <w:szCs w:val="22"/>
        </w:rPr>
      </w:pPr>
      <w:r w:rsidRPr="00357FF9">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4EF7B6BF" wp14:editId="102A8A5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F8BFC" w14:textId="7CF9B99D" w:rsidR="00A90694" w:rsidRPr="00CF140D" w:rsidRDefault="00A90694" w:rsidP="00997BC5">
                            <w:pPr>
                              <w:spacing w:line="276" w:lineRule="auto"/>
                              <w:rPr>
                                <w:rFonts w:asciiTheme="majorHAnsi" w:hAnsiTheme="majorHAnsi" w:cs="Arial"/>
                                <w:b/>
                                <w:bCs/>
                                <w:color w:val="0D0D0D" w:themeColor="text1" w:themeTint="F2"/>
                                <w:sz w:val="36"/>
                                <w:szCs w:val="22"/>
                                <w:lang w:val="es-ES"/>
                              </w:rPr>
                            </w:pPr>
                            <w:r w:rsidRPr="00CF140D">
                              <w:rPr>
                                <w:rFonts w:asciiTheme="majorHAnsi" w:hAnsiTheme="majorHAnsi" w:cs="Arial"/>
                                <w:b/>
                                <w:bCs/>
                                <w:color w:val="0D0D0D" w:themeColor="text1" w:themeTint="F2"/>
                                <w:sz w:val="36"/>
                                <w:szCs w:val="22"/>
                                <w:lang w:val="es-ES"/>
                              </w:rPr>
                              <w:t xml:space="preserve">INFORME </w:t>
                            </w:r>
                            <w:r w:rsidRPr="00CF140D">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w:t>
                            </w:r>
                            <w:r w:rsidR="00CF64A2">
                              <w:rPr>
                                <w:rFonts w:asciiTheme="majorHAnsi" w:hAnsiTheme="majorHAnsi" w:cs="Arial"/>
                                <w:b/>
                                <w:bCs/>
                                <w:color w:val="0D0D0D" w:themeColor="text1" w:themeTint="F2"/>
                                <w:sz w:val="36"/>
                                <w:szCs w:val="22"/>
                                <w:lang w:val="es-ES"/>
                              </w:rPr>
                              <w:t>69</w:t>
                            </w:r>
                            <w:r>
                              <w:rPr>
                                <w:rFonts w:asciiTheme="majorHAnsi" w:hAnsiTheme="majorHAnsi" w:cs="Arial"/>
                                <w:b/>
                                <w:bCs/>
                                <w:color w:val="0D0D0D" w:themeColor="text1" w:themeTint="F2"/>
                                <w:sz w:val="36"/>
                                <w:szCs w:val="22"/>
                                <w:lang w:val="es-ES"/>
                              </w:rPr>
                              <w:t>/15</w:t>
                            </w:r>
                          </w:p>
                          <w:p w14:paraId="565A291F" w14:textId="77777777" w:rsidR="00A90694" w:rsidRPr="007A3EF4" w:rsidRDefault="00A90694" w:rsidP="00997BC5">
                            <w:pPr>
                              <w:spacing w:line="276" w:lineRule="auto"/>
                              <w:rPr>
                                <w:rFonts w:asciiTheme="majorHAnsi" w:hAnsiTheme="majorHAnsi" w:cs="Arial"/>
                                <w:b/>
                                <w:color w:val="0D0D0D" w:themeColor="text1" w:themeTint="F2"/>
                                <w:sz w:val="36"/>
                                <w:szCs w:val="22"/>
                                <w:lang w:val="es-CR"/>
                              </w:rPr>
                            </w:pPr>
                            <w:r>
                              <w:rPr>
                                <w:rFonts w:asciiTheme="majorHAnsi" w:hAnsiTheme="majorHAnsi" w:cs="Arial"/>
                                <w:b/>
                                <w:color w:val="0D0D0D" w:themeColor="text1" w:themeTint="F2"/>
                                <w:sz w:val="36"/>
                                <w:szCs w:val="22"/>
                                <w:lang w:val="es-CR"/>
                              </w:rPr>
                              <w:t>PETICIÓN</w:t>
                            </w:r>
                            <w:r w:rsidRPr="007A3EF4">
                              <w:rPr>
                                <w:rFonts w:asciiTheme="majorHAnsi" w:hAnsiTheme="majorHAnsi" w:cs="Arial"/>
                                <w:b/>
                                <w:color w:val="0D0D0D" w:themeColor="text1" w:themeTint="F2"/>
                                <w:sz w:val="36"/>
                                <w:szCs w:val="22"/>
                                <w:lang w:val="es-CR"/>
                              </w:rPr>
                              <w:t xml:space="preserve"> </w:t>
                            </w:r>
                            <w:r>
                              <w:rPr>
                                <w:rFonts w:asciiTheme="majorHAnsi" w:hAnsiTheme="majorHAnsi" w:cs="Arial"/>
                                <w:b/>
                                <w:color w:val="0D0D0D" w:themeColor="text1" w:themeTint="F2"/>
                                <w:sz w:val="36"/>
                                <w:szCs w:val="22"/>
                                <w:lang w:val="es-CR"/>
                              </w:rPr>
                              <w:t>264-05</w:t>
                            </w:r>
                          </w:p>
                          <w:p w14:paraId="5BE87DA6" w14:textId="77777777" w:rsidR="00A90694" w:rsidRPr="0010736F" w:rsidRDefault="00A9069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DECISI</w:t>
                            </w:r>
                            <w:r>
                              <w:rPr>
                                <w:rFonts w:asciiTheme="majorHAnsi" w:hAnsiTheme="majorHAnsi" w:cs="Arial"/>
                                <w:color w:val="0D0D0D" w:themeColor="text1" w:themeTint="F2"/>
                                <w:szCs w:val="22"/>
                                <w:lang w:val="es-CR"/>
                              </w:rPr>
                              <w:t>ÓN DE</w:t>
                            </w:r>
                            <w:r w:rsidRPr="0010736F">
                              <w:rPr>
                                <w:rFonts w:asciiTheme="majorHAnsi" w:hAnsiTheme="majorHAnsi" w:cs="Arial"/>
                                <w:color w:val="0D0D0D" w:themeColor="text1" w:themeTint="F2"/>
                                <w:szCs w:val="22"/>
                              </w:rPr>
                              <w:t xml:space="preserve"> </w:t>
                            </w:r>
                            <w:r>
                              <w:rPr>
                                <w:rFonts w:asciiTheme="majorHAnsi" w:hAnsiTheme="majorHAnsi" w:cs="Arial"/>
                                <w:color w:val="0D0D0D" w:themeColor="text1" w:themeTint="F2"/>
                                <w:szCs w:val="22"/>
                              </w:rPr>
                              <w:t>ADMISIBILIDAD</w:t>
                            </w:r>
                          </w:p>
                          <w:p w14:paraId="01293F05" w14:textId="77777777" w:rsidR="00A90694" w:rsidRPr="0010736F" w:rsidRDefault="00A90694" w:rsidP="00997BC5">
                            <w:pPr>
                              <w:spacing w:line="276" w:lineRule="auto"/>
                              <w:rPr>
                                <w:rFonts w:asciiTheme="majorHAnsi" w:hAnsiTheme="majorHAnsi" w:cs="Arial"/>
                                <w:color w:val="0D0D0D" w:themeColor="text1" w:themeTint="F2"/>
                                <w:szCs w:val="22"/>
                              </w:rPr>
                            </w:pPr>
                            <w:bookmarkStart w:id="1" w:name="_ftnref1"/>
                          </w:p>
                          <w:bookmarkEnd w:id="1"/>
                          <w:p w14:paraId="26636402" w14:textId="6568C619" w:rsidR="00A90694" w:rsidRDefault="00A9069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JUAN BAUTISTA GUEVARA PÉREZ Y OTROS</w:t>
                            </w:r>
                          </w:p>
                          <w:p w14:paraId="4E005540" w14:textId="1E12D10D" w:rsidR="00A90694" w:rsidRPr="0010736F" w:rsidRDefault="00A9069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rPr>
                              <w:t>VENEZUELA</w:t>
                            </w:r>
                          </w:p>
                          <w:p w14:paraId="7DD36A40" w14:textId="77777777" w:rsidR="00A90694" w:rsidRPr="00AE5488" w:rsidRDefault="00A90694"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46F8BFC" w14:textId="7CF9B99D" w:rsidR="00A90694" w:rsidRPr="00CF140D" w:rsidRDefault="00A90694" w:rsidP="00997BC5">
                      <w:pPr>
                        <w:spacing w:line="276" w:lineRule="auto"/>
                        <w:rPr>
                          <w:rFonts w:asciiTheme="majorHAnsi" w:hAnsiTheme="majorHAnsi" w:cs="Arial"/>
                          <w:b/>
                          <w:bCs/>
                          <w:color w:val="0D0D0D" w:themeColor="text1" w:themeTint="F2"/>
                          <w:sz w:val="36"/>
                          <w:szCs w:val="22"/>
                          <w:lang w:val="es-ES"/>
                        </w:rPr>
                      </w:pPr>
                      <w:r w:rsidRPr="00CF140D">
                        <w:rPr>
                          <w:rFonts w:asciiTheme="majorHAnsi" w:hAnsiTheme="majorHAnsi" w:cs="Arial"/>
                          <w:b/>
                          <w:bCs/>
                          <w:color w:val="0D0D0D" w:themeColor="text1" w:themeTint="F2"/>
                          <w:sz w:val="36"/>
                          <w:szCs w:val="22"/>
                          <w:lang w:val="es-ES"/>
                        </w:rPr>
                        <w:t xml:space="preserve">INFORME </w:t>
                      </w:r>
                      <w:r w:rsidRPr="00CF140D">
                        <w:rPr>
                          <w:rFonts w:asciiTheme="majorHAnsi" w:hAnsiTheme="majorHAnsi" w:cs="Arial"/>
                          <w:b/>
                          <w:bCs/>
                          <w:color w:val="0D0D0D" w:themeColor="text1" w:themeTint="F2"/>
                          <w:sz w:val="36"/>
                          <w:szCs w:val="40"/>
                          <w:lang w:val="es-ES"/>
                        </w:rPr>
                        <w:t>No.</w:t>
                      </w:r>
                      <w:r>
                        <w:rPr>
                          <w:rFonts w:asciiTheme="majorHAnsi" w:hAnsiTheme="majorHAnsi" w:cs="Arial"/>
                          <w:b/>
                          <w:bCs/>
                          <w:color w:val="0D0D0D" w:themeColor="text1" w:themeTint="F2"/>
                          <w:sz w:val="36"/>
                          <w:szCs w:val="22"/>
                          <w:lang w:val="es-ES"/>
                        </w:rPr>
                        <w:t xml:space="preserve"> </w:t>
                      </w:r>
                      <w:r w:rsidR="00CF64A2">
                        <w:rPr>
                          <w:rFonts w:asciiTheme="majorHAnsi" w:hAnsiTheme="majorHAnsi" w:cs="Arial"/>
                          <w:b/>
                          <w:bCs/>
                          <w:color w:val="0D0D0D" w:themeColor="text1" w:themeTint="F2"/>
                          <w:sz w:val="36"/>
                          <w:szCs w:val="22"/>
                          <w:lang w:val="es-ES"/>
                        </w:rPr>
                        <w:t>69</w:t>
                      </w:r>
                      <w:r>
                        <w:rPr>
                          <w:rFonts w:asciiTheme="majorHAnsi" w:hAnsiTheme="majorHAnsi" w:cs="Arial"/>
                          <w:b/>
                          <w:bCs/>
                          <w:color w:val="0D0D0D" w:themeColor="text1" w:themeTint="F2"/>
                          <w:sz w:val="36"/>
                          <w:szCs w:val="22"/>
                          <w:lang w:val="es-ES"/>
                        </w:rPr>
                        <w:t>/15</w:t>
                      </w:r>
                    </w:p>
                    <w:p w14:paraId="565A291F" w14:textId="77777777" w:rsidR="00A90694" w:rsidRPr="007A3EF4" w:rsidRDefault="00A90694" w:rsidP="00997BC5">
                      <w:pPr>
                        <w:spacing w:line="276" w:lineRule="auto"/>
                        <w:rPr>
                          <w:rFonts w:asciiTheme="majorHAnsi" w:hAnsiTheme="majorHAnsi" w:cs="Arial"/>
                          <w:b/>
                          <w:color w:val="0D0D0D" w:themeColor="text1" w:themeTint="F2"/>
                          <w:sz w:val="36"/>
                          <w:szCs w:val="22"/>
                          <w:lang w:val="es-CR"/>
                        </w:rPr>
                      </w:pPr>
                      <w:r>
                        <w:rPr>
                          <w:rFonts w:asciiTheme="majorHAnsi" w:hAnsiTheme="majorHAnsi" w:cs="Arial"/>
                          <w:b/>
                          <w:color w:val="0D0D0D" w:themeColor="text1" w:themeTint="F2"/>
                          <w:sz w:val="36"/>
                          <w:szCs w:val="22"/>
                          <w:lang w:val="es-CR"/>
                        </w:rPr>
                        <w:t>PETICIÓN</w:t>
                      </w:r>
                      <w:r w:rsidRPr="007A3EF4">
                        <w:rPr>
                          <w:rFonts w:asciiTheme="majorHAnsi" w:hAnsiTheme="majorHAnsi" w:cs="Arial"/>
                          <w:b/>
                          <w:color w:val="0D0D0D" w:themeColor="text1" w:themeTint="F2"/>
                          <w:sz w:val="36"/>
                          <w:szCs w:val="22"/>
                          <w:lang w:val="es-CR"/>
                        </w:rPr>
                        <w:t xml:space="preserve"> </w:t>
                      </w:r>
                      <w:r>
                        <w:rPr>
                          <w:rFonts w:asciiTheme="majorHAnsi" w:hAnsiTheme="majorHAnsi" w:cs="Arial"/>
                          <w:b/>
                          <w:color w:val="0D0D0D" w:themeColor="text1" w:themeTint="F2"/>
                          <w:sz w:val="36"/>
                          <w:szCs w:val="22"/>
                          <w:lang w:val="es-CR"/>
                        </w:rPr>
                        <w:t>264-05</w:t>
                      </w:r>
                    </w:p>
                    <w:p w14:paraId="5BE87DA6" w14:textId="77777777" w:rsidR="00A90694" w:rsidRPr="0010736F" w:rsidRDefault="00A9069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DECISI</w:t>
                      </w:r>
                      <w:r>
                        <w:rPr>
                          <w:rFonts w:asciiTheme="majorHAnsi" w:hAnsiTheme="majorHAnsi" w:cs="Arial"/>
                          <w:color w:val="0D0D0D" w:themeColor="text1" w:themeTint="F2"/>
                          <w:szCs w:val="22"/>
                          <w:lang w:val="es-CR"/>
                        </w:rPr>
                        <w:t>ÓN DE</w:t>
                      </w:r>
                      <w:r w:rsidRPr="0010736F">
                        <w:rPr>
                          <w:rFonts w:asciiTheme="majorHAnsi" w:hAnsiTheme="majorHAnsi" w:cs="Arial"/>
                          <w:color w:val="0D0D0D" w:themeColor="text1" w:themeTint="F2"/>
                          <w:szCs w:val="22"/>
                        </w:rPr>
                        <w:t xml:space="preserve"> </w:t>
                      </w:r>
                      <w:r>
                        <w:rPr>
                          <w:rFonts w:asciiTheme="majorHAnsi" w:hAnsiTheme="majorHAnsi" w:cs="Arial"/>
                          <w:color w:val="0D0D0D" w:themeColor="text1" w:themeTint="F2"/>
                          <w:szCs w:val="22"/>
                        </w:rPr>
                        <w:t>ADMISIBILIDAD</w:t>
                      </w:r>
                    </w:p>
                    <w:p w14:paraId="01293F05" w14:textId="77777777" w:rsidR="00A90694" w:rsidRPr="0010736F" w:rsidRDefault="00A90694" w:rsidP="00997BC5">
                      <w:pPr>
                        <w:spacing w:line="276" w:lineRule="auto"/>
                        <w:rPr>
                          <w:rFonts w:asciiTheme="majorHAnsi" w:hAnsiTheme="majorHAnsi" w:cs="Arial"/>
                          <w:color w:val="0D0D0D" w:themeColor="text1" w:themeTint="F2"/>
                          <w:szCs w:val="22"/>
                        </w:rPr>
                      </w:pPr>
                      <w:bookmarkStart w:id="1" w:name="_ftnref1"/>
                    </w:p>
                    <w:bookmarkEnd w:id="1"/>
                    <w:p w14:paraId="26636402" w14:textId="6568C619" w:rsidR="00A90694" w:rsidRDefault="00A9069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JUAN BAUTISTA GUEVARA PÉREZ Y OTROS</w:t>
                      </w:r>
                    </w:p>
                    <w:p w14:paraId="4E005540" w14:textId="1E12D10D" w:rsidR="00A90694" w:rsidRPr="0010736F" w:rsidRDefault="00A9069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rPr>
                        <w:t>VENEZUELA</w:t>
                      </w:r>
                    </w:p>
                    <w:p w14:paraId="7DD36A40" w14:textId="77777777" w:rsidR="00A90694" w:rsidRPr="00AE5488" w:rsidRDefault="00A90694" w:rsidP="007A5817">
                      <w:pPr>
                        <w:rPr>
                          <w:color w:val="0D0D0D" w:themeColor="text1" w:themeTint="F2"/>
                        </w:rPr>
                      </w:pPr>
                    </w:p>
                  </w:txbxContent>
                </v:textbox>
              </v:shape>
            </w:pict>
          </mc:Fallback>
        </mc:AlternateContent>
      </w:r>
      <w:r w:rsidR="004E2649" w:rsidRPr="00357FF9">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4B09F3FC" wp14:editId="57E1F63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36F1E3" w14:textId="11560B29" w:rsidR="00A90694" w:rsidRPr="00935F2D" w:rsidRDefault="00CF64A2"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OEA/Ser.L/V</w:t>
                            </w:r>
                            <w:r w:rsidR="00A90694" w:rsidRPr="00935F2D">
                              <w:rPr>
                                <w:rFonts w:asciiTheme="minorHAnsi" w:hAnsiTheme="minorHAnsi"/>
                                <w:color w:val="FFFFFF" w:themeColor="background1"/>
                                <w:sz w:val="22"/>
                                <w:lang w:val="es-AR"/>
                              </w:rPr>
                              <w:t>/</w:t>
                            </w:r>
                            <w:r>
                              <w:rPr>
                                <w:rFonts w:asciiTheme="minorHAnsi" w:hAnsiTheme="minorHAnsi"/>
                                <w:color w:val="FFFFFF" w:themeColor="background1"/>
                                <w:sz w:val="22"/>
                                <w:lang w:val="es-AR"/>
                              </w:rPr>
                              <w:t>ll.156</w:t>
                            </w:r>
                          </w:p>
                          <w:p w14:paraId="50EA623D" w14:textId="31ADB162" w:rsidR="00A90694" w:rsidRPr="00935F2D" w:rsidRDefault="00A90694" w:rsidP="007A5817">
                            <w:pPr>
                              <w:spacing w:line="276" w:lineRule="auto"/>
                              <w:jc w:val="right"/>
                              <w:rPr>
                                <w:rFonts w:asciiTheme="minorHAnsi" w:hAnsiTheme="minorHAnsi"/>
                                <w:color w:val="FFFFFF" w:themeColor="background1"/>
                                <w:sz w:val="22"/>
                                <w:lang w:val="es-AR"/>
                              </w:rPr>
                            </w:pPr>
                            <w:r w:rsidRPr="00935F2D">
                              <w:rPr>
                                <w:rFonts w:asciiTheme="minorHAnsi" w:hAnsiTheme="minorHAnsi"/>
                                <w:color w:val="FFFFFF" w:themeColor="background1"/>
                                <w:sz w:val="22"/>
                                <w:lang w:val="es-AR"/>
                              </w:rPr>
                              <w:t xml:space="preserve">Doc. </w:t>
                            </w:r>
                            <w:r w:rsidR="00CF64A2">
                              <w:rPr>
                                <w:rFonts w:asciiTheme="minorHAnsi" w:hAnsiTheme="minorHAnsi"/>
                                <w:color w:val="FFFFFF" w:themeColor="background1"/>
                                <w:sz w:val="22"/>
                                <w:lang w:val="es-AR"/>
                              </w:rPr>
                              <w:t>22</w:t>
                            </w:r>
                          </w:p>
                          <w:p w14:paraId="4AC790A8" w14:textId="3EC23A52" w:rsidR="00A90694" w:rsidRPr="004E2649" w:rsidRDefault="00CF64A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28 octubre</w:t>
                            </w:r>
                            <w:r w:rsidR="00A90694">
                              <w:rPr>
                                <w:rFonts w:asciiTheme="minorHAnsi" w:hAnsiTheme="minorHAnsi"/>
                                <w:color w:val="FFFFFF" w:themeColor="background1"/>
                                <w:sz w:val="22"/>
                              </w:rPr>
                              <w:t xml:space="preserve"> 2015</w:t>
                            </w:r>
                          </w:p>
                          <w:p w14:paraId="65055658" w14:textId="77777777" w:rsidR="00A90694" w:rsidRPr="004E2649" w:rsidRDefault="00A90694"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236F1E3" w14:textId="11560B29" w:rsidR="00A90694" w:rsidRPr="00935F2D" w:rsidRDefault="00CF64A2"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OEA/Ser.L/V</w:t>
                      </w:r>
                      <w:r w:rsidR="00A90694" w:rsidRPr="00935F2D">
                        <w:rPr>
                          <w:rFonts w:asciiTheme="minorHAnsi" w:hAnsiTheme="minorHAnsi"/>
                          <w:color w:val="FFFFFF" w:themeColor="background1"/>
                          <w:sz w:val="22"/>
                          <w:lang w:val="es-AR"/>
                        </w:rPr>
                        <w:t>/</w:t>
                      </w:r>
                      <w:r>
                        <w:rPr>
                          <w:rFonts w:asciiTheme="minorHAnsi" w:hAnsiTheme="minorHAnsi"/>
                          <w:color w:val="FFFFFF" w:themeColor="background1"/>
                          <w:sz w:val="22"/>
                          <w:lang w:val="es-AR"/>
                        </w:rPr>
                        <w:t>ll.156</w:t>
                      </w:r>
                    </w:p>
                    <w:p w14:paraId="50EA623D" w14:textId="31ADB162" w:rsidR="00A90694" w:rsidRPr="00935F2D" w:rsidRDefault="00A90694" w:rsidP="007A5817">
                      <w:pPr>
                        <w:spacing w:line="276" w:lineRule="auto"/>
                        <w:jc w:val="right"/>
                        <w:rPr>
                          <w:rFonts w:asciiTheme="minorHAnsi" w:hAnsiTheme="minorHAnsi"/>
                          <w:color w:val="FFFFFF" w:themeColor="background1"/>
                          <w:sz w:val="22"/>
                          <w:lang w:val="es-AR"/>
                        </w:rPr>
                      </w:pPr>
                      <w:r w:rsidRPr="00935F2D">
                        <w:rPr>
                          <w:rFonts w:asciiTheme="minorHAnsi" w:hAnsiTheme="minorHAnsi"/>
                          <w:color w:val="FFFFFF" w:themeColor="background1"/>
                          <w:sz w:val="22"/>
                          <w:lang w:val="es-AR"/>
                        </w:rPr>
                        <w:t xml:space="preserve">Doc. </w:t>
                      </w:r>
                      <w:r w:rsidR="00CF64A2">
                        <w:rPr>
                          <w:rFonts w:asciiTheme="minorHAnsi" w:hAnsiTheme="minorHAnsi"/>
                          <w:color w:val="FFFFFF" w:themeColor="background1"/>
                          <w:sz w:val="22"/>
                          <w:lang w:val="es-AR"/>
                        </w:rPr>
                        <w:t>22</w:t>
                      </w:r>
                    </w:p>
                    <w:p w14:paraId="4AC790A8" w14:textId="3EC23A52" w:rsidR="00A90694" w:rsidRPr="004E2649" w:rsidRDefault="00CF64A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28 octubre</w:t>
                      </w:r>
                      <w:r w:rsidR="00A90694">
                        <w:rPr>
                          <w:rFonts w:asciiTheme="minorHAnsi" w:hAnsiTheme="minorHAnsi"/>
                          <w:color w:val="FFFFFF" w:themeColor="background1"/>
                          <w:sz w:val="22"/>
                        </w:rPr>
                        <w:t xml:space="preserve"> 2015</w:t>
                      </w:r>
                    </w:p>
                    <w:p w14:paraId="65055658" w14:textId="77777777" w:rsidR="00A90694" w:rsidRPr="004E2649" w:rsidRDefault="00A90694"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7AFFE3AE" w14:textId="77777777" w:rsidR="00040C3A" w:rsidRPr="00357FF9" w:rsidRDefault="00040C3A" w:rsidP="00C04D34">
      <w:pPr>
        <w:tabs>
          <w:tab w:val="left" w:pos="1440"/>
          <w:tab w:val="center" w:pos="5400"/>
        </w:tabs>
        <w:suppressAutoHyphens/>
        <w:ind w:firstLine="720"/>
        <w:jc w:val="center"/>
        <w:rPr>
          <w:rFonts w:asciiTheme="majorHAnsi" w:hAnsiTheme="majorHAnsi"/>
          <w:sz w:val="22"/>
          <w:szCs w:val="22"/>
        </w:rPr>
      </w:pPr>
    </w:p>
    <w:p w14:paraId="45CE8DB6" w14:textId="77777777" w:rsidR="00040C3A" w:rsidRPr="00357FF9" w:rsidRDefault="00040C3A" w:rsidP="00C04D34">
      <w:pPr>
        <w:tabs>
          <w:tab w:val="left" w:pos="1440"/>
          <w:tab w:val="center" w:pos="5400"/>
        </w:tabs>
        <w:suppressAutoHyphens/>
        <w:ind w:firstLine="720"/>
        <w:jc w:val="center"/>
        <w:rPr>
          <w:rFonts w:asciiTheme="majorHAnsi" w:hAnsiTheme="majorHAnsi"/>
          <w:sz w:val="22"/>
          <w:szCs w:val="22"/>
        </w:rPr>
      </w:pPr>
    </w:p>
    <w:p w14:paraId="201F5091" w14:textId="77777777" w:rsidR="00040C3A" w:rsidRPr="00357FF9" w:rsidRDefault="00040C3A" w:rsidP="00C04D34">
      <w:pPr>
        <w:tabs>
          <w:tab w:val="left" w:pos="1440"/>
          <w:tab w:val="center" w:pos="5400"/>
        </w:tabs>
        <w:suppressAutoHyphens/>
        <w:ind w:firstLine="720"/>
        <w:jc w:val="center"/>
        <w:rPr>
          <w:rFonts w:asciiTheme="majorHAnsi" w:hAnsiTheme="majorHAnsi" w:cs="Arial"/>
          <w:sz w:val="22"/>
          <w:szCs w:val="22"/>
        </w:rPr>
      </w:pPr>
    </w:p>
    <w:p w14:paraId="6C628F28" w14:textId="77777777" w:rsidR="00040C3A" w:rsidRPr="00357FF9" w:rsidRDefault="00040C3A" w:rsidP="00C04D34">
      <w:pPr>
        <w:tabs>
          <w:tab w:val="left" w:pos="1440"/>
          <w:tab w:val="center" w:pos="5400"/>
        </w:tabs>
        <w:suppressAutoHyphens/>
        <w:ind w:firstLine="720"/>
        <w:jc w:val="center"/>
        <w:rPr>
          <w:rFonts w:asciiTheme="majorHAnsi" w:hAnsiTheme="majorHAnsi"/>
          <w:sz w:val="22"/>
          <w:szCs w:val="22"/>
        </w:rPr>
      </w:pPr>
    </w:p>
    <w:p w14:paraId="1C1AF27C" w14:textId="77777777" w:rsidR="00040C3A" w:rsidRPr="00357FF9" w:rsidRDefault="00040C3A" w:rsidP="00C04D34">
      <w:pPr>
        <w:tabs>
          <w:tab w:val="left" w:pos="1440"/>
          <w:tab w:val="center" w:pos="5400"/>
        </w:tabs>
        <w:suppressAutoHyphens/>
        <w:ind w:firstLine="720"/>
        <w:jc w:val="center"/>
        <w:rPr>
          <w:rFonts w:asciiTheme="majorHAnsi" w:hAnsiTheme="majorHAnsi"/>
          <w:sz w:val="22"/>
          <w:szCs w:val="22"/>
        </w:rPr>
      </w:pPr>
    </w:p>
    <w:p w14:paraId="50D549C0" w14:textId="77777777" w:rsidR="00040C3A" w:rsidRPr="00357FF9" w:rsidRDefault="00040C3A" w:rsidP="00C04D34">
      <w:pPr>
        <w:tabs>
          <w:tab w:val="left" w:pos="1440"/>
          <w:tab w:val="center" w:pos="5400"/>
        </w:tabs>
        <w:suppressAutoHyphens/>
        <w:ind w:firstLine="720"/>
        <w:jc w:val="center"/>
        <w:rPr>
          <w:rFonts w:asciiTheme="majorHAnsi" w:hAnsiTheme="majorHAnsi"/>
          <w:sz w:val="22"/>
          <w:szCs w:val="22"/>
        </w:rPr>
      </w:pPr>
    </w:p>
    <w:p w14:paraId="217B2843" w14:textId="77777777" w:rsidR="00040C3A" w:rsidRPr="00357FF9" w:rsidRDefault="00040C3A" w:rsidP="00C04D34">
      <w:pPr>
        <w:tabs>
          <w:tab w:val="left" w:pos="1440"/>
          <w:tab w:val="center" w:pos="5400"/>
        </w:tabs>
        <w:suppressAutoHyphens/>
        <w:ind w:firstLine="720"/>
        <w:jc w:val="center"/>
        <w:rPr>
          <w:rFonts w:asciiTheme="majorHAnsi" w:hAnsiTheme="majorHAnsi"/>
          <w:sz w:val="22"/>
          <w:szCs w:val="22"/>
        </w:rPr>
      </w:pPr>
    </w:p>
    <w:p w14:paraId="0CC46032" w14:textId="77777777" w:rsidR="005128E4" w:rsidRPr="00357FF9" w:rsidRDefault="005128E4" w:rsidP="00C04D34">
      <w:pPr>
        <w:tabs>
          <w:tab w:val="left" w:pos="1440"/>
          <w:tab w:val="center" w:pos="5400"/>
        </w:tabs>
        <w:suppressAutoHyphens/>
        <w:ind w:firstLine="720"/>
        <w:jc w:val="center"/>
        <w:rPr>
          <w:rFonts w:asciiTheme="majorHAnsi" w:hAnsiTheme="majorHAnsi"/>
          <w:sz w:val="22"/>
          <w:szCs w:val="22"/>
        </w:rPr>
      </w:pPr>
    </w:p>
    <w:p w14:paraId="64AB0713" w14:textId="77777777" w:rsidR="00040C3A" w:rsidRPr="00357FF9" w:rsidRDefault="00040C3A" w:rsidP="00C04D34">
      <w:pPr>
        <w:tabs>
          <w:tab w:val="left" w:pos="1440"/>
          <w:tab w:val="center" w:pos="5400"/>
        </w:tabs>
        <w:suppressAutoHyphens/>
        <w:ind w:firstLine="720"/>
        <w:jc w:val="center"/>
        <w:rPr>
          <w:rFonts w:asciiTheme="majorHAnsi" w:hAnsiTheme="majorHAnsi"/>
          <w:sz w:val="22"/>
          <w:szCs w:val="22"/>
        </w:rPr>
      </w:pPr>
    </w:p>
    <w:p w14:paraId="103B447D" w14:textId="77777777" w:rsidR="005128E4" w:rsidRPr="00357FF9" w:rsidRDefault="005128E4" w:rsidP="00C04D34">
      <w:pPr>
        <w:tabs>
          <w:tab w:val="left" w:pos="1440"/>
          <w:tab w:val="center" w:pos="5400"/>
        </w:tabs>
        <w:suppressAutoHyphens/>
        <w:ind w:firstLine="720"/>
        <w:jc w:val="center"/>
        <w:rPr>
          <w:rFonts w:asciiTheme="majorHAnsi" w:hAnsiTheme="majorHAnsi"/>
          <w:sz w:val="22"/>
          <w:szCs w:val="22"/>
        </w:rPr>
      </w:pPr>
    </w:p>
    <w:p w14:paraId="4CBF280E" w14:textId="77777777" w:rsidR="005128E4" w:rsidRPr="00357FF9" w:rsidRDefault="005128E4" w:rsidP="00C04D34">
      <w:pPr>
        <w:tabs>
          <w:tab w:val="left" w:pos="1440"/>
          <w:tab w:val="center" w:pos="5400"/>
        </w:tabs>
        <w:suppressAutoHyphens/>
        <w:ind w:firstLine="720"/>
        <w:jc w:val="center"/>
        <w:rPr>
          <w:rFonts w:asciiTheme="majorHAnsi" w:hAnsiTheme="majorHAnsi"/>
          <w:sz w:val="22"/>
          <w:szCs w:val="22"/>
        </w:rPr>
      </w:pPr>
    </w:p>
    <w:p w14:paraId="5C708736" w14:textId="77777777" w:rsidR="005128E4" w:rsidRPr="00357FF9" w:rsidRDefault="005128E4" w:rsidP="00C04D34">
      <w:pPr>
        <w:tabs>
          <w:tab w:val="left" w:pos="1440"/>
          <w:tab w:val="center" w:pos="5400"/>
        </w:tabs>
        <w:suppressAutoHyphens/>
        <w:ind w:firstLine="720"/>
        <w:jc w:val="center"/>
        <w:rPr>
          <w:rFonts w:asciiTheme="majorHAnsi" w:hAnsiTheme="majorHAnsi"/>
          <w:sz w:val="22"/>
          <w:szCs w:val="22"/>
        </w:rPr>
      </w:pPr>
    </w:p>
    <w:p w14:paraId="6400128F" w14:textId="77777777" w:rsidR="00040C3A" w:rsidRPr="00357FF9" w:rsidRDefault="00040C3A" w:rsidP="00C04D34">
      <w:pPr>
        <w:tabs>
          <w:tab w:val="left" w:pos="1440"/>
          <w:tab w:val="center" w:pos="5400"/>
        </w:tabs>
        <w:suppressAutoHyphens/>
        <w:ind w:firstLine="720"/>
        <w:jc w:val="center"/>
        <w:rPr>
          <w:rFonts w:asciiTheme="majorHAnsi" w:hAnsiTheme="majorHAnsi"/>
          <w:sz w:val="22"/>
          <w:szCs w:val="22"/>
        </w:rPr>
      </w:pPr>
    </w:p>
    <w:p w14:paraId="71D4E006" w14:textId="77777777" w:rsidR="00040C3A" w:rsidRPr="00357FF9" w:rsidRDefault="00040C3A" w:rsidP="00C04D34">
      <w:pPr>
        <w:tabs>
          <w:tab w:val="left" w:pos="1440"/>
          <w:tab w:val="center" w:pos="5400"/>
        </w:tabs>
        <w:suppressAutoHyphens/>
        <w:ind w:firstLine="720"/>
        <w:jc w:val="center"/>
        <w:rPr>
          <w:rFonts w:asciiTheme="majorHAnsi" w:hAnsiTheme="majorHAnsi"/>
          <w:sz w:val="22"/>
          <w:szCs w:val="22"/>
        </w:rPr>
      </w:pPr>
    </w:p>
    <w:p w14:paraId="0EA32B7C"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24C7FDB4"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275CAB13"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291BB2B9"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26A42D3D"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03684253"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51C5105D"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1011B20E"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11E876A4"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1E1C23DB"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38985DD4"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48545C9D"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6771E1A1"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16E9BB3A"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1FC05C77" w14:textId="77777777" w:rsidR="00A50FCF" w:rsidRPr="00357FF9" w:rsidRDefault="0090270B" w:rsidP="00C04D34">
      <w:pPr>
        <w:tabs>
          <w:tab w:val="left" w:pos="1440"/>
          <w:tab w:val="center" w:pos="5400"/>
        </w:tabs>
        <w:suppressAutoHyphens/>
        <w:ind w:firstLine="720"/>
        <w:jc w:val="center"/>
        <w:rPr>
          <w:rFonts w:asciiTheme="majorHAnsi" w:hAnsiTheme="majorHAnsi"/>
          <w:sz w:val="18"/>
          <w:szCs w:val="22"/>
        </w:rPr>
      </w:pPr>
      <w:r w:rsidRPr="00357FF9">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12AF9CDC" wp14:editId="7621679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C7FBB" w14:textId="7307D58F" w:rsidR="00A90694" w:rsidRPr="00890650" w:rsidRDefault="00A90694" w:rsidP="00247403">
                            <w:pPr>
                              <w:tabs>
                                <w:tab w:val="center" w:pos="5400"/>
                              </w:tabs>
                              <w:suppressAutoHyphens/>
                              <w:spacing w:before="60"/>
                              <w:rPr>
                                <w:rFonts w:asciiTheme="majorHAnsi" w:hAnsiTheme="majorHAnsi" w:cs="Univers"/>
                                <w:color w:val="0D0D0D" w:themeColor="text1" w:themeTint="F2"/>
                                <w:sz w:val="18"/>
                                <w:szCs w:val="20"/>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F64A2">
                              <w:rPr>
                                <w:rFonts w:asciiTheme="majorHAnsi" w:hAnsiTheme="majorHAnsi"/>
                                <w:color w:val="0D0D0D" w:themeColor="text1" w:themeTint="F2"/>
                                <w:sz w:val="18"/>
                                <w:szCs w:val="20"/>
                                <w:lang w:val="es-ES"/>
                              </w:rPr>
                              <w:t>2053</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 xml:space="preserve">elebrada el </w:t>
                            </w:r>
                            <w:r w:rsidR="00CF64A2">
                              <w:rPr>
                                <w:rFonts w:asciiTheme="majorHAnsi" w:hAnsiTheme="majorHAnsi"/>
                                <w:color w:val="0D0D0D" w:themeColor="text1" w:themeTint="F2"/>
                                <w:sz w:val="18"/>
                                <w:szCs w:val="20"/>
                                <w:lang w:val="es-ES"/>
                              </w:rPr>
                              <w:t>28</w:t>
                            </w:r>
                            <w:r>
                              <w:rPr>
                                <w:rFonts w:asciiTheme="majorHAnsi" w:hAnsiTheme="majorHAnsi"/>
                                <w:color w:val="0D0D0D" w:themeColor="text1" w:themeTint="F2"/>
                                <w:sz w:val="18"/>
                                <w:szCs w:val="20"/>
                                <w:lang w:val="es-ES"/>
                              </w:rPr>
                              <w:t xml:space="preserve"> de </w:t>
                            </w:r>
                            <w:r w:rsidR="00CF64A2">
                              <w:rPr>
                                <w:rFonts w:asciiTheme="majorHAnsi" w:hAnsiTheme="majorHAnsi"/>
                                <w:color w:val="0D0D0D" w:themeColor="text1" w:themeTint="F2"/>
                                <w:sz w:val="18"/>
                                <w:szCs w:val="20"/>
                                <w:lang w:val="es-ES"/>
                              </w:rPr>
                              <w:t>octubre</w:t>
                            </w:r>
                            <w:r>
                              <w:rPr>
                                <w:rFonts w:asciiTheme="majorHAnsi" w:hAnsiTheme="majorHAnsi"/>
                                <w:color w:val="0D0D0D" w:themeColor="text1" w:themeTint="F2"/>
                                <w:sz w:val="18"/>
                                <w:szCs w:val="20"/>
                                <w:lang w:val="es-ES"/>
                              </w:rPr>
                              <w:t xml:space="preserve"> de 2015</w:t>
                            </w:r>
                            <w:r w:rsidRPr="00890650">
                              <w:rPr>
                                <w:rFonts w:asciiTheme="majorHAnsi" w:hAnsiTheme="majorHAnsi"/>
                                <w:color w:val="0D0D0D" w:themeColor="text1" w:themeTint="F2"/>
                                <w:sz w:val="18"/>
                                <w:szCs w:val="20"/>
                                <w:lang w:val="es-ES"/>
                              </w:rPr>
                              <w:br/>
                            </w:r>
                            <w:r w:rsidR="00CF64A2">
                              <w:rPr>
                                <w:rFonts w:asciiTheme="majorHAnsi" w:hAnsiTheme="majorHAnsi" w:cs="Univers"/>
                                <w:color w:val="0D0D0D" w:themeColor="text1" w:themeTint="F2"/>
                                <w:sz w:val="18"/>
                                <w:szCs w:val="20"/>
                              </w:rPr>
                              <w:t>156</w:t>
                            </w:r>
                            <w:r w:rsidRPr="00890650">
                              <w:rPr>
                                <w:rFonts w:asciiTheme="majorHAnsi" w:hAnsiTheme="majorHAnsi" w:cs="Univers"/>
                                <w:color w:val="0D0D0D" w:themeColor="text1" w:themeTint="F2"/>
                                <w:sz w:val="18"/>
                                <w:szCs w:val="20"/>
                              </w:rPr>
                              <w:t xml:space="preserve"> período ordinario de sesiones</w:t>
                            </w:r>
                            <w:r w:rsidR="00CF64A2">
                              <w:rPr>
                                <w:rFonts w:asciiTheme="majorHAnsi" w:hAnsiTheme="majorHAnsi" w:cs="Univers"/>
                                <w:color w:val="0D0D0D" w:themeColor="text1" w:themeTint="F2"/>
                                <w:sz w:val="18"/>
                                <w:szCs w:val="20"/>
                              </w:rPr>
                              <w:t>.</w:t>
                            </w:r>
                          </w:p>
                          <w:p w14:paraId="71DCF489" w14:textId="77777777" w:rsidR="00A90694" w:rsidRPr="007A5817" w:rsidRDefault="00A9069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49E102C" w14:textId="77777777" w:rsidR="00A90694" w:rsidRPr="00167A34" w:rsidRDefault="00A9069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F9C7FBB" w14:textId="7307D58F" w:rsidR="00A90694" w:rsidRPr="00890650" w:rsidRDefault="00A90694" w:rsidP="00247403">
                      <w:pPr>
                        <w:tabs>
                          <w:tab w:val="center" w:pos="5400"/>
                        </w:tabs>
                        <w:suppressAutoHyphens/>
                        <w:spacing w:before="60"/>
                        <w:rPr>
                          <w:rFonts w:asciiTheme="majorHAnsi" w:hAnsiTheme="majorHAnsi" w:cs="Univers"/>
                          <w:color w:val="0D0D0D" w:themeColor="text1" w:themeTint="F2"/>
                          <w:sz w:val="18"/>
                          <w:szCs w:val="20"/>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F64A2">
                        <w:rPr>
                          <w:rFonts w:asciiTheme="majorHAnsi" w:hAnsiTheme="majorHAnsi"/>
                          <w:color w:val="0D0D0D" w:themeColor="text1" w:themeTint="F2"/>
                          <w:sz w:val="18"/>
                          <w:szCs w:val="20"/>
                          <w:lang w:val="es-ES"/>
                        </w:rPr>
                        <w:t>2053</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 xml:space="preserve">elebrada el </w:t>
                      </w:r>
                      <w:r w:rsidR="00CF64A2">
                        <w:rPr>
                          <w:rFonts w:asciiTheme="majorHAnsi" w:hAnsiTheme="majorHAnsi"/>
                          <w:color w:val="0D0D0D" w:themeColor="text1" w:themeTint="F2"/>
                          <w:sz w:val="18"/>
                          <w:szCs w:val="20"/>
                          <w:lang w:val="es-ES"/>
                        </w:rPr>
                        <w:t>28</w:t>
                      </w:r>
                      <w:r>
                        <w:rPr>
                          <w:rFonts w:asciiTheme="majorHAnsi" w:hAnsiTheme="majorHAnsi"/>
                          <w:color w:val="0D0D0D" w:themeColor="text1" w:themeTint="F2"/>
                          <w:sz w:val="18"/>
                          <w:szCs w:val="20"/>
                          <w:lang w:val="es-ES"/>
                        </w:rPr>
                        <w:t xml:space="preserve"> de </w:t>
                      </w:r>
                      <w:r w:rsidR="00CF64A2">
                        <w:rPr>
                          <w:rFonts w:asciiTheme="majorHAnsi" w:hAnsiTheme="majorHAnsi"/>
                          <w:color w:val="0D0D0D" w:themeColor="text1" w:themeTint="F2"/>
                          <w:sz w:val="18"/>
                          <w:szCs w:val="20"/>
                          <w:lang w:val="es-ES"/>
                        </w:rPr>
                        <w:t>octubre</w:t>
                      </w:r>
                      <w:r>
                        <w:rPr>
                          <w:rFonts w:asciiTheme="majorHAnsi" w:hAnsiTheme="majorHAnsi"/>
                          <w:color w:val="0D0D0D" w:themeColor="text1" w:themeTint="F2"/>
                          <w:sz w:val="18"/>
                          <w:szCs w:val="20"/>
                          <w:lang w:val="es-ES"/>
                        </w:rPr>
                        <w:t xml:space="preserve"> de 2015</w:t>
                      </w:r>
                      <w:r w:rsidRPr="00890650">
                        <w:rPr>
                          <w:rFonts w:asciiTheme="majorHAnsi" w:hAnsiTheme="majorHAnsi"/>
                          <w:color w:val="0D0D0D" w:themeColor="text1" w:themeTint="F2"/>
                          <w:sz w:val="18"/>
                          <w:szCs w:val="20"/>
                          <w:lang w:val="es-ES"/>
                        </w:rPr>
                        <w:br/>
                      </w:r>
                      <w:r w:rsidR="00CF64A2">
                        <w:rPr>
                          <w:rFonts w:asciiTheme="majorHAnsi" w:hAnsiTheme="majorHAnsi" w:cs="Univers"/>
                          <w:color w:val="0D0D0D" w:themeColor="text1" w:themeTint="F2"/>
                          <w:sz w:val="18"/>
                          <w:szCs w:val="20"/>
                        </w:rPr>
                        <w:t>156</w:t>
                      </w:r>
                      <w:r w:rsidRPr="00890650">
                        <w:rPr>
                          <w:rFonts w:asciiTheme="majorHAnsi" w:hAnsiTheme="majorHAnsi" w:cs="Univers"/>
                          <w:color w:val="0D0D0D" w:themeColor="text1" w:themeTint="F2"/>
                          <w:sz w:val="18"/>
                          <w:szCs w:val="20"/>
                        </w:rPr>
                        <w:t xml:space="preserve"> período ordinario de sesiones</w:t>
                      </w:r>
                      <w:r w:rsidR="00CF64A2">
                        <w:rPr>
                          <w:rFonts w:asciiTheme="majorHAnsi" w:hAnsiTheme="majorHAnsi" w:cs="Univers"/>
                          <w:color w:val="0D0D0D" w:themeColor="text1" w:themeTint="F2"/>
                          <w:sz w:val="18"/>
                          <w:szCs w:val="20"/>
                        </w:rPr>
                        <w:t>.</w:t>
                      </w:r>
                    </w:p>
                    <w:p w14:paraId="71DCF489" w14:textId="77777777" w:rsidR="00A90694" w:rsidRPr="007A5817" w:rsidRDefault="00A90694" w:rsidP="00247403">
                      <w:pPr>
                        <w:tabs>
                          <w:tab w:val="center" w:pos="5400"/>
                        </w:tabs>
                        <w:suppressAutoHyphens/>
                        <w:spacing w:before="60"/>
                        <w:rPr>
                          <w:rFonts w:asciiTheme="minorHAnsi" w:hAnsiTheme="minorHAnsi" w:cs="Univers"/>
                          <w:color w:val="0D0D0D" w:themeColor="text1" w:themeTint="F2"/>
                          <w:sz w:val="20"/>
                          <w:szCs w:val="20"/>
                          <w:lang w:val="es-ES"/>
                        </w:rPr>
                      </w:pPr>
                    </w:p>
                    <w:p w14:paraId="449E102C" w14:textId="77777777" w:rsidR="00A90694" w:rsidRPr="00167A34" w:rsidRDefault="00A9069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1A80425"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15B3BACA"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2B118577"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5A39F4E7"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7C75377A" w14:textId="77777777" w:rsidR="00A50FCF" w:rsidRPr="00357FF9" w:rsidRDefault="0090270B" w:rsidP="00C04D34">
      <w:pPr>
        <w:tabs>
          <w:tab w:val="left" w:pos="1440"/>
          <w:tab w:val="center" w:pos="5400"/>
        </w:tabs>
        <w:suppressAutoHyphens/>
        <w:ind w:firstLine="720"/>
        <w:jc w:val="center"/>
        <w:rPr>
          <w:rFonts w:asciiTheme="majorHAnsi" w:hAnsiTheme="majorHAnsi"/>
          <w:sz w:val="18"/>
          <w:szCs w:val="22"/>
        </w:rPr>
      </w:pPr>
      <w:r w:rsidRPr="00357FF9">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7A8F99CA" wp14:editId="720BD27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772F1" w14:textId="754E2202" w:rsidR="00A90694" w:rsidRPr="007A3EF4" w:rsidRDefault="00A90694" w:rsidP="00113F73">
                            <w:pPr>
                              <w:spacing w:line="276" w:lineRule="auto"/>
                              <w:rPr>
                                <w:rFonts w:asciiTheme="majorHAnsi" w:hAnsiTheme="majorHAnsi"/>
                                <w:color w:val="595959" w:themeColor="text1" w:themeTint="A6"/>
                                <w:sz w:val="18"/>
                                <w:szCs w:val="18"/>
                                <w:lang w:val="es-CR"/>
                              </w:rPr>
                            </w:pPr>
                            <w:r w:rsidRPr="00CF64A2">
                              <w:rPr>
                                <w:rFonts w:asciiTheme="majorHAnsi" w:hAnsiTheme="majorHAnsi"/>
                                <w:b/>
                                <w:color w:val="595959" w:themeColor="text1" w:themeTint="A6"/>
                                <w:sz w:val="18"/>
                                <w:szCs w:val="18"/>
                                <w:lang w:val="es-ES"/>
                              </w:rPr>
                              <w:t>Citar como:</w:t>
                            </w:r>
                            <w:r w:rsidRPr="00CF64A2">
                              <w:rPr>
                                <w:rFonts w:asciiTheme="majorHAnsi" w:hAnsiTheme="majorHAnsi"/>
                                <w:color w:val="595959" w:themeColor="text1" w:themeTint="A6"/>
                                <w:sz w:val="18"/>
                                <w:szCs w:val="18"/>
                                <w:lang w:val="es-ES"/>
                              </w:rPr>
                              <w:t xml:space="preserve"> CIDH, Informe No</w:t>
                            </w:r>
                            <w:r w:rsidR="00CF64A2" w:rsidRPr="00CF64A2">
                              <w:rPr>
                                <w:rFonts w:asciiTheme="majorHAnsi" w:hAnsiTheme="majorHAnsi"/>
                                <w:color w:val="595959" w:themeColor="text1" w:themeTint="A6"/>
                                <w:sz w:val="18"/>
                                <w:szCs w:val="18"/>
                                <w:lang w:val="es-ES"/>
                              </w:rPr>
                              <w:t>. 69/15</w:t>
                            </w:r>
                            <w:r>
                              <w:rPr>
                                <w:rFonts w:asciiTheme="majorHAnsi" w:hAnsiTheme="majorHAnsi"/>
                                <w:color w:val="595959" w:themeColor="text1" w:themeTint="A6"/>
                                <w:sz w:val="18"/>
                                <w:szCs w:val="18"/>
                              </w:rPr>
                              <w:t>, Petición 264-05. Admisibilidad. Juan Bautista Guevara Pérez y otros. Venezuela.</w:t>
                            </w:r>
                            <w:r w:rsidR="00CF64A2">
                              <w:rPr>
                                <w:rFonts w:asciiTheme="majorHAnsi" w:hAnsiTheme="majorHAnsi"/>
                                <w:color w:val="595959" w:themeColor="text1" w:themeTint="A6"/>
                                <w:sz w:val="18"/>
                                <w:szCs w:val="18"/>
                              </w:rPr>
                              <w:t>28 de octubre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83772F1" w14:textId="754E2202" w:rsidR="00A90694" w:rsidRPr="007A3EF4" w:rsidRDefault="00A90694" w:rsidP="00113F73">
                      <w:pPr>
                        <w:spacing w:line="276" w:lineRule="auto"/>
                        <w:rPr>
                          <w:rFonts w:asciiTheme="majorHAnsi" w:hAnsiTheme="majorHAnsi"/>
                          <w:color w:val="595959" w:themeColor="text1" w:themeTint="A6"/>
                          <w:sz w:val="18"/>
                          <w:szCs w:val="18"/>
                          <w:lang w:val="es-CR"/>
                        </w:rPr>
                      </w:pPr>
                      <w:r w:rsidRPr="00CF64A2">
                        <w:rPr>
                          <w:rFonts w:asciiTheme="majorHAnsi" w:hAnsiTheme="majorHAnsi"/>
                          <w:b/>
                          <w:color w:val="595959" w:themeColor="text1" w:themeTint="A6"/>
                          <w:sz w:val="18"/>
                          <w:szCs w:val="18"/>
                          <w:lang w:val="es-ES"/>
                        </w:rPr>
                        <w:t>Citar como:</w:t>
                      </w:r>
                      <w:r w:rsidRPr="00CF64A2">
                        <w:rPr>
                          <w:rFonts w:asciiTheme="majorHAnsi" w:hAnsiTheme="majorHAnsi"/>
                          <w:color w:val="595959" w:themeColor="text1" w:themeTint="A6"/>
                          <w:sz w:val="18"/>
                          <w:szCs w:val="18"/>
                          <w:lang w:val="es-ES"/>
                        </w:rPr>
                        <w:t xml:space="preserve"> CIDH, Informe No</w:t>
                      </w:r>
                      <w:r w:rsidR="00CF64A2" w:rsidRPr="00CF64A2">
                        <w:rPr>
                          <w:rFonts w:asciiTheme="majorHAnsi" w:hAnsiTheme="majorHAnsi"/>
                          <w:color w:val="595959" w:themeColor="text1" w:themeTint="A6"/>
                          <w:sz w:val="18"/>
                          <w:szCs w:val="18"/>
                          <w:lang w:val="es-ES"/>
                        </w:rPr>
                        <w:t>. 69/15</w:t>
                      </w:r>
                      <w:r>
                        <w:rPr>
                          <w:rFonts w:asciiTheme="majorHAnsi" w:hAnsiTheme="majorHAnsi"/>
                          <w:color w:val="595959" w:themeColor="text1" w:themeTint="A6"/>
                          <w:sz w:val="18"/>
                          <w:szCs w:val="18"/>
                        </w:rPr>
                        <w:t>, Petición 264-05. Admisibilidad. Juan Bautista Guevara Pérez y otros. Venezuela.</w:t>
                      </w:r>
                      <w:r w:rsidR="00CF64A2">
                        <w:rPr>
                          <w:rFonts w:asciiTheme="majorHAnsi" w:hAnsiTheme="majorHAnsi"/>
                          <w:color w:val="595959" w:themeColor="text1" w:themeTint="A6"/>
                          <w:sz w:val="18"/>
                          <w:szCs w:val="18"/>
                        </w:rPr>
                        <w:t>28 de octubre de 2015.</w:t>
                      </w:r>
                    </w:p>
                  </w:txbxContent>
                </v:textbox>
              </v:shape>
            </w:pict>
          </mc:Fallback>
        </mc:AlternateContent>
      </w:r>
    </w:p>
    <w:p w14:paraId="37DE434C" w14:textId="77777777" w:rsidR="00A50FCF" w:rsidRPr="00357FF9" w:rsidRDefault="00A50FCF" w:rsidP="00C04D34">
      <w:pPr>
        <w:tabs>
          <w:tab w:val="left" w:pos="1440"/>
          <w:tab w:val="center" w:pos="5400"/>
        </w:tabs>
        <w:suppressAutoHyphens/>
        <w:ind w:firstLine="720"/>
        <w:jc w:val="center"/>
        <w:rPr>
          <w:rFonts w:asciiTheme="majorHAnsi" w:hAnsiTheme="majorHAnsi"/>
          <w:sz w:val="18"/>
          <w:szCs w:val="22"/>
        </w:rPr>
      </w:pPr>
    </w:p>
    <w:p w14:paraId="64C89DBD" w14:textId="77777777" w:rsidR="0090270B" w:rsidRPr="00357FF9" w:rsidRDefault="00D306D1" w:rsidP="00C04D34">
      <w:pPr>
        <w:tabs>
          <w:tab w:val="left" w:pos="1440"/>
          <w:tab w:val="center" w:pos="5400"/>
        </w:tabs>
        <w:suppressAutoHyphens/>
        <w:ind w:firstLine="720"/>
        <w:jc w:val="center"/>
        <w:rPr>
          <w:rFonts w:asciiTheme="majorHAnsi" w:hAnsiTheme="majorHAnsi"/>
          <w:b/>
          <w:sz w:val="20"/>
        </w:rPr>
      </w:pPr>
      <w:r w:rsidRPr="00357FF9">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4A970C35" wp14:editId="1FBC1E6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505D5" w14:textId="77777777" w:rsidR="00A90694" w:rsidRPr="00D72DC6" w:rsidRDefault="00A90694"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0AC5FC67" wp14:editId="6870C21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1B505D5" w14:textId="77777777" w:rsidR="00A90694" w:rsidRPr="00D72DC6" w:rsidRDefault="00A90694"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0AC5FC67" wp14:editId="6870C21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357FF9">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EE72465" wp14:editId="546BFB6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2CAAA" w14:textId="77777777" w:rsidR="00A90694" w:rsidRPr="004B7EB6" w:rsidRDefault="00A9069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EE2CAAA" w14:textId="77777777" w:rsidR="00A90694" w:rsidRPr="004B7EB6" w:rsidRDefault="00A9069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F584169" w14:textId="77777777" w:rsidR="0070697F" w:rsidRPr="00357FF9" w:rsidRDefault="0070697F" w:rsidP="00C04D34">
      <w:pPr>
        <w:tabs>
          <w:tab w:val="left" w:pos="1440"/>
          <w:tab w:val="center" w:pos="5400"/>
        </w:tabs>
        <w:suppressAutoHyphens/>
        <w:ind w:firstLine="720"/>
        <w:jc w:val="center"/>
        <w:rPr>
          <w:rFonts w:asciiTheme="majorHAnsi" w:hAnsiTheme="majorHAnsi"/>
          <w:b/>
          <w:sz w:val="20"/>
        </w:rPr>
        <w:sectPr w:rsidR="0070697F" w:rsidRPr="00357FF9"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7D24C9B" w14:textId="0D3BE72E" w:rsidR="00CF140D" w:rsidRPr="00357FF9" w:rsidRDefault="00CF140D" w:rsidP="00C04D34">
      <w:pPr>
        <w:tabs>
          <w:tab w:val="left" w:pos="1440"/>
        </w:tabs>
        <w:ind w:firstLine="720"/>
        <w:jc w:val="center"/>
        <w:rPr>
          <w:rFonts w:ascii="Cambria" w:hAnsi="Cambria"/>
          <w:sz w:val="18"/>
          <w:szCs w:val="18"/>
        </w:rPr>
      </w:pPr>
      <w:r w:rsidRPr="00357FF9">
        <w:rPr>
          <w:rFonts w:ascii="Cambria" w:hAnsi="Cambria"/>
          <w:b/>
          <w:bCs/>
          <w:sz w:val="18"/>
          <w:szCs w:val="18"/>
        </w:rPr>
        <w:lastRenderedPageBreak/>
        <w:t xml:space="preserve">INFORME No. </w:t>
      </w:r>
      <w:r w:rsidR="00CF64A2">
        <w:rPr>
          <w:rFonts w:ascii="Cambria" w:hAnsi="Cambria"/>
          <w:b/>
          <w:bCs/>
          <w:sz w:val="18"/>
          <w:szCs w:val="18"/>
        </w:rPr>
        <w:t>69</w:t>
      </w:r>
      <w:r w:rsidRPr="00357FF9">
        <w:rPr>
          <w:rFonts w:ascii="Cambria" w:hAnsi="Cambria"/>
          <w:b/>
          <w:bCs/>
          <w:sz w:val="18"/>
          <w:szCs w:val="18"/>
        </w:rPr>
        <w:t>/1</w:t>
      </w:r>
      <w:r w:rsidR="00D979F7" w:rsidRPr="00357FF9">
        <w:rPr>
          <w:rFonts w:ascii="Cambria" w:hAnsi="Cambria"/>
          <w:b/>
          <w:bCs/>
          <w:sz w:val="18"/>
          <w:szCs w:val="18"/>
        </w:rPr>
        <w:t>5</w:t>
      </w:r>
    </w:p>
    <w:p w14:paraId="59D1D310" w14:textId="77777777" w:rsidR="00CF140D" w:rsidRPr="00357FF9" w:rsidRDefault="00D979F7" w:rsidP="00C04D34">
      <w:pPr>
        <w:tabs>
          <w:tab w:val="left" w:pos="1440"/>
        </w:tabs>
        <w:ind w:firstLine="720"/>
        <w:jc w:val="center"/>
        <w:rPr>
          <w:rFonts w:ascii="Cambria" w:hAnsi="Cambria"/>
          <w:sz w:val="18"/>
          <w:szCs w:val="18"/>
        </w:rPr>
      </w:pPr>
      <w:r w:rsidRPr="00357FF9">
        <w:rPr>
          <w:rFonts w:ascii="Cambria" w:hAnsi="Cambria"/>
          <w:sz w:val="18"/>
          <w:szCs w:val="18"/>
        </w:rPr>
        <w:t>PETICIÓN 264-05</w:t>
      </w:r>
    </w:p>
    <w:p w14:paraId="619AF749" w14:textId="77777777" w:rsidR="00CF140D" w:rsidRPr="00357FF9" w:rsidRDefault="00CF140D" w:rsidP="00C04D34">
      <w:pPr>
        <w:tabs>
          <w:tab w:val="left" w:pos="1440"/>
        </w:tabs>
        <w:ind w:firstLine="720"/>
        <w:jc w:val="center"/>
        <w:rPr>
          <w:rFonts w:ascii="Cambria" w:hAnsi="Cambria"/>
          <w:sz w:val="18"/>
          <w:szCs w:val="18"/>
        </w:rPr>
      </w:pPr>
      <w:r w:rsidRPr="00357FF9">
        <w:rPr>
          <w:rFonts w:ascii="Cambria" w:hAnsi="Cambria"/>
          <w:sz w:val="18"/>
          <w:szCs w:val="18"/>
        </w:rPr>
        <w:t>ADMISIBILIDAD</w:t>
      </w:r>
    </w:p>
    <w:p w14:paraId="110D89A2" w14:textId="77777777" w:rsidR="00CF140D" w:rsidRPr="00357FF9" w:rsidRDefault="00D979F7" w:rsidP="00C04D34">
      <w:pPr>
        <w:tabs>
          <w:tab w:val="left" w:pos="1440"/>
        </w:tabs>
        <w:ind w:firstLine="720"/>
        <w:jc w:val="center"/>
        <w:rPr>
          <w:rFonts w:ascii="Cambria" w:hAnsi="Cambria"/>
          <w:sz w:val="18"/>
          <w:szCs w:val="18"/>
        </w:rPr>
      </w:pPr>
      <w:r w:rsidRPr="00357FF9">
        <w:rPr>
          <w:rFonts w:ascii="Cambria" w:hAnsi="Cambria"/>
          <w:sz w:val="18"/>
          <w:szCs w:val="18"/>
        </w:rPr>
        <w:t>JUAN BAUTISTA GUEVARA PEREZ Y OTROS</w:t>
      </w:r>
    </w:p>
    <w:p w14:paraId="4F65C4B9" w14:textId="77777777" w:rsidR="00CF140D" w:rsidRPr="00357FF9" w:rsidRDefault="00D979F7" w:rsidP="00C04D34">
      <w:pPr>
        <w:tabs>
          <w:tab w:val="left" w:pos="1440"/>
        </w:tabs>
        <w:ind w:firstLine="720"/>
        <w:jc w:val="center"/>
        <w:rPr>
          <w:rFonts w:ascii="Cambria" w:hAnsi="Cambria"/>
          <w:sz w:val="18"/>
          <w:szCs w:val="18"/>
        </w:rPr>
      </w:pPr>
      <w:r w:rsidRPr="00357FF9">
        <w:rPr>
          <w:rFonts w:ascii="Cambria" w:hAnsi="Cambria"/>
          <w:sz w:val="18"/>
          <w:szCs w:val="18"/>
        </w:rPr>
        <w:t>VENEZUELA</w:t>
      </w:r>
    </w:p>
    <w:p w14:paraId="0E38C1E1" w14:textId="41C1368D" w:rsidR="00CF140D" w:rsidRPr="00357FF9" w:rsidRDefault="00CF64A2" w:rsidP="00C04D34">
      <w:pPr>
        <w:tabs>
          <w:tab w:val="left" w:pos="1440"/>
        </w:tabs>
        <w:ind w:firstLine="720"/>
        <w:jc w:val="center"/>
        <w:rPr>
          <w:rFonts w:ascii="Cambria" w:hAnsi="Cambria"/>
          <w:sz w:val="18"/>
          <w:szCs w:val="18"/>
        </w:rPr>
      </w:pPr>
      <w:r>
        <w:rPr>
          <w:rFonts w:ascii="Cambria" w:hAnsi="Cambria"/>
          <w:sz w:val="18"/>
          <w:szCs w:val="18"/>
        </w:rPr>
        <w:t>28 DE OCTUBRE DE</w:t>
      </w:r>
      <w:r w:rsidR="00D979F7" w:rsidRPr="00927154">
        <w:rPr>
          <w:rFonts w:ascii="Cambria" w:hAnsi="Cambria"/>
          <w:sz w:val="18"/>
          <w:szCs w:val="18"/>
        </w:rPr>
        <w:t xml:space="preserve"> </w:t>
      </w:r>
      <w:r w:rsidR="00927154" w:rsidRPr="00927154">
        <w:rPr>
          <w:rFonts w:ascii="Cambria" w:hAnsi="Cambria"/>
          <w:sz w:val="18"/>
          <w:szCs w:val="18"/>
        </w:rPr>
        <w:t>de</w:t>
      </w:r>
      <w:r w:rsidR="00D979F7" w:rsidRPr="00927154">
        <w:rPr>
          <w:rFonts w:ascii="Cambria" w:hAnsi="Cambria"/>
          <w:sz w:val="18"/>
          <w:szCs w:val="18"/>
        </w:rPr>
        <w:t xml:space="preserve"> 2015</w:t>
      </w:r>
    </w:p>
    <w:p w14:paraId="327291F5" w14:textId="77777777" w:rsidR="00CF140D" w:rsidRPr="00357FF9" w:rsidRDefault="00CF140D" w:rsidP="00C04D34">
      <w:pPr>
        <w:tabs>
          <w:tab w:val="left" w:pos="1440"/>
        </w:tabs>
        <w:ind w:firstLine="720"/>
        <w:jc w:val="both"/>
        <w:rPr>
          <w:rFonts w:ascii="Cambria" w:hAnsi="Cambria"/>
          <w:b/>
          <w:bCs/>
          <w:sz w:val="20"/>
          <w:szCs w:val="20"/>
        </w:rPr>
      </w:pPr>
    </w:p>
    <w:p w14:paraId="705626D6" w14:textId="77777777" w:rsidR="00CF140D" w:rsidRPr="00357FF9" w:rsidRDefault="00CF140D" w:rsidP="00C04D34">
      <w:pPr>
        <w:tabs>
          <w:tab w:val="left" w:pos="1440"/>
        </w:tabs>
        <w:ind w:firstLine="720"/>
        <w:jc w:val="both"/>
        <w:rPr>
          <w:rFonts w:ascii="Cambria" w:hAnsi="Cambria"/>
          <w:sz w:val="20"/>
          <w:szCs w:val="20"/>
        </w:rPr>
      </w:pPr>
    </w:p>
    <w:p w14:paraId="341CE0D8" w14:textId="77777777" w:rsidR="00CF140D" w:rsidRPr="00357FF9" w:rsidRDefault="00CF140D" w:rsidP="00C04D34">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0"/>
        <w:ind w:left="0" w:firstLine="720"/>
        <w:rPr>
          <w:rFonts w:ascii="Cambria" w:hAnsi="Cambria"/>
          <w:sz w:val="20"/>
          <w:szCs w:val="20"/>
        </w:rPr>
      </w:pPr>
      <w:r w:rsidRPr="00357FF9">
        <w:rPr>
          <w:rFonts w:ascii="Cambria" w:hAnsi="Cambria"/>
          <w:sz w:val="20"/>
          <w:szCs w:val="20"/>
        </w:rPr>
        <w:t>RESUMEN</w:t>
      </w:r>
    </w:p>
    <w:p w14:paraId="6E532CA4" w14:textId="4ECDFA32" w:rsidR="00CF140D" w:rsidRPr="00357FF9" w:rsidRDefault="004122FE" w:rsidP="004122FE">
      <w:pPr>
        <w:tabs>
          <w:tab w:val="left" w:pos="1440"/>
        </w:tabs>
        <w:ind w:firstLine="720"/>
        <w:jc w:val="both"/>
        <w:rPr>
          <w:rFonts w:ascii="Cambria" w:hAnsi="Cambria"/>
          <w:sz w:val="20"/>
          <w:szCs w:val="20"/>
        </w:rPr>
      </w:pPr>
      <w:r>
        <w:rPr>
          <w:rFonts w:ascii="Cambria" w:hAnsi="Cambria"/>
          <w:sz w:val="20"/>
          <w:szCs w:val="20"/>
        </w:rPr>
        <w:t> </w:t>
      </w:r>
    </w:p>
    <w:p w14:paraId="33D23A12" w14:textId="118FDE8B" w:rsidR="004122FE" w:rsidRPr="00357FF9" w:rsidRDefault="004122FE" w:rsidP="004122F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sidRPr="00357FF9">
        <w:rPr>
          <w:rFonts w:ascii="Cambria" w:hAnsi="Cambria"/>
          <w:sz w:val="20"/>
          <w:szCs w:val="20"/>
        </w:rPr>
        <w:t>El 20 de marzo de 2005 la Comisión Interamericana de Derechos Humanos (en adelante “Comisión Interamericana”, “</w:t>
      </w:r>
      <w:r w:rsidRPr="00357FF9">
        <w:rPr>
          <w:rFonts w:ascii="Cambria" w:hAnsi="Cambria"/>
          <w:sz w:val="20"/>
        </w:rPr>
        <w:t>Comisión</w:t>
      </w:r>
      <w:r w:rsidRPr="00357FF9">
        <w:rPr>
          <w:rFonts w:ascii="Cambria" w:hAnsi="Cambria"/>
          <w:sz w:val="20"/>
          <w:szCs w:val="20"/>
        </w:rPr>
        <w:t>” o “CIDH”) recibió una petición presentada por Jackeline Sandoval Escobar, Rafael Arturo Parra Saluzzo y José Gregorio Mena</w:t>
      </w:r>
      <w:r w:rsidRPr="00357FF9">
        <w:rPr>
          <w:rStyle w:val="FootnoteReference"/>
          <w:rFonts w:ascii="Cambria" w:hAnsi="Cambria"/>
          <w:sz w:val="20"/>
          <w:szCs w:val="20"/>
        </w:rPr>
        <w:footnoteReference w:id="2"/>
      </w:r>
      <w:r w:rsidR="00781037">
        <w:rPr>
          <w:rFonts w:ascii="Cambria" w:hAnsi="Cambria"/>
          <w:sz w:val="20"/>
          <w:szCs w:val="20"/>
        </w:rPr>
        <w:t>,</w:t>
      </w:r>
      <w:r w:rsidRPr="00357FF9">
        <w:rPr>
          <w:rFonts w:ascii="Cambria" w:hAnsi="Cambria"/>
          <w:sz w:val="20"/>
          <w:szCs w:val="20"/>
        </w:rPr>
        <w:t xml:space="preserve"> en la cual alega</w:t>
      </w:r>
      <w:r w:rsidR="00781037">
        <w:rPr>
          <w:rFonts w:ascii="Cambria" w:hAnsi="Cambria"/>
          <w:sz w:val="20"/>
          <w:szCs w:val="20"/>
        </w:rPr>
        <w:t>ban</w:t>
      </w:r>
      <w:r w:rsidRPr="00357FF9">
        <w:rPr>
          <w:rFonts w:ascii="Cambria" w:hAnsi="Cambria"/>
          <w:sz w:val="20"/>
          <w:szCs w:val="20"/>
        </w:rPr>
        <w:t xml:space="preserve"> la responsabilidad internacional de la República Bolivariana de Venezuela (en adelante “el Estado”, “el Estado venezolano” o “Venezuela”) por </w:t>
      </w:r>
      <w:r w:rsidR="00E24D70">
        <w:rPr>
          <w:rFonts w:ascii="Cambria" w:hAnsi="Cambria"/>
          <w:sz w:val="20"/>
          <w:szCs w:val="20"/>
        </w:rPr>
        <w:t xml:space="preserve">los alegados actos de </w:t>
      </w:r>
      <w:r w:rsidR="00E24D70" w:rsidRPr="002351F5">
        <w:rPr>
          <w:rFonts w:ascii="Cambria" w:hAnsi="Cambria"/>
          <w:sz w:val="20"/>
          <w:szCs w:val="20"/>
        </w:rPr>
        <w:t>desaparición forzada</w:t>
      </w:r>
      <w:r w:rsidR="00E24D70">
        <w:rPr>
          <w:rFonts w:ascii="Cambria" w:hAnsi="Cambria"/>
          <w:sz w:val="20"/>
          <w:szCs w:val="20"/>
        </w:rPr>
        <w:t>, detención ilegal y arbitraria, torturas, y difamación pública en perjuicio de</w:t>
      </w:r>
      <w:r w:rsidRPr="00357FF9">
        <w:rPr>
          <w:rFonts w:ascii="Cambria" w:hAnsi="Cambria"/>
          <w:sz w:val="20"/>
          <w:szCs w:val="20"/>
        </w:rPr>
        <w:t xml:space="preserve"> Juan Bautista Guevara Rodríguez</w:t>
      </w:r>
      <w:r>
        <w:rPr>
          <w:rFonts w:ascii="Cambria" w:hAnsi="Cambria"/>
          <w:sz w:val="20"/>
          <w:szCs w:val="20"/>
        </w:rPr>
        <w:t>,</w:t>
      </w:r>
      <w:r w:rsidRPr="00357FF9">
        <w:rPr>
          <w:rFonts w:ascii="Cambria" w:hAnsi="Cambria"/>
          <w:sz w:val="20"/>
          <w:szCs w:val="20"/>
        </w:rPr>
        <w:t xml:space="preserve"> Otoniel José Guevara Pérez</w:t>
      </w:r>
      <w:r>
        <w:rPr>
          <w:rFonts w:ascii="Cambria" w:hAnsi="Cambria"/>
          <w:sz w:val="20"/>
          <w:szCs w:val="20"/>
        </w:rPr>
        <w:t xml:space="preserve"> y</w:t>
      </w:r>
      <w:r w:rsidRPr="00357FF9">
        <w:rPr>
          <w:rFonts w:ascii="Cambria" w:hAnsi="Cambria"/>
          <w:sz w:val="20"/>
          <w:szCs w:val="20"/>
        </w:rPr>
        <w:t xml:space="preserve"> Rolando Jesús Guevara Pérez (en adelante</w:t>
      </w:r>
      <w:r>
        <w:rPr>
          <w:rFonts w:ascii="Cambria" w:hAnsi="Cambria"/>
          <w:sz w:val="20"/>
          <w:szCs w:val="20"/>
        </w:rPr>
        <w:t xml:space="preserve"> también,</w:t>
      </w:r>
      <w:r w:rsidRPr="00357FF9">
        <w:rPr>
          <w:rFonts w:ascii="Cambria" w:hAnsi="Cambria"/>
          <w:sz w:val="20"/>
          <w:szCs w:val="20"/>
        </w:rPr>
        <w:t xml:space="preserve"> “las presuntas víctimas”)</w:t>
      </w:r>
      <w:r w:rsidR="00E24D70">
        <w:rPr>
          <w:rFonts w:ascii="Cambria" w:hAnsi="Cambria"/>
          <w:sz w:val="20"/>
          <w:szCs w:val="20"/>
        </w:rPr>
        <w:t>. Asimismo, por</w:t>
      </w:r>
      <w:r w:rsidR="004C2497">
        <w:rPr>
          <w:rFonts w:ascii="Cambria" w:hAnsi="Cambria"/>
          <w:sz w:val="20"/>
          <w:szCs w:val="20"/>
        </w:rPr>
        <w:t xml:space="preserve"> la </w:t>
      </w:r>
      <w:r w:rsidR="00E24D70">
        <w:rPr>
          <w:rFonts w:ascii="Cambria" w:hAnsi="Cambria"/>
          <w:sz w:val="20"/>
          <w:szCs w:val="20"/>
        </w:rPr>
        <w:t xml:space="preserve">alegada </w:t>
      </w:r>
      <w:r w:rsidR="004C2497">
        <w:rPr>
          <w:rFonts w:ascii="Cambria" w:hAnsi="Cambria"/>
          <w:sz w:val="20"/>
          <w:szCs w:val="20"/>
        </w:rPr>
        <w:t xml:space="preserve">existencia de </w:t>
      </w:r>
      <w:r w:rsidR="006941C8">
        <w:rPr>
          <w:rFonts w:ascii="Cambria" w:hAnsi="Cambria"/>
          <w:sz w:val="20"/>
          <w:szCs w:val="20"/>
        </w:rPr>
        <w:t xml:space="preserve">una serie de </w:t>
      </w:r>
      <w:r w:rsidRPr="00357FF9">
        <w:rPr>
          <w:rFonts w:ascii="Cambria" w:hAnsi="Cambria"/>
          <w:sz w:val="20"/>
          <w:szCs w:val="20"/>
        </w:rPr>
        <w:t xml:space="preserve">irregularidades </w:t>
      </w:r>
      <w:r w:rsidR="004C2497">
        <w:rPr>
          <w:rFonts w:ascii="Cambria" w:hAnsi="Cambria"/>
          <w:sz w:val="20"/>
          <w:szCs w:val="20"/>
        </w:rPr>
        <w:t xml:space="preserve">y anomalías </w:t>
      </w:r>
      <w:r w:rsidR="006941C8">
        <w:rPr>
          <w:rFonts w:ascii="Cambria" w:hAnsi="Cambria"/>
          <w:sz w:val="20"/>
          <w:szCs w:val="20"/>
        </w:rPr>
        <w:t xml:space="preserve">que habrían tenido lugar </w:t>
      </w:r>
      <w:r w:rsidR="004C2497">
        <w:rPr>
          <w:rFonts w:ascii="Cambria" w:hAnsi="Cambria"/>
          <w:sz w:val="20"/>
          <w:szCs w:val="20"/>
        </w:rPr>
        <w:t xml:space="preserve">durante la tramitación de los procesos judiciales </w:t>
      </w:r>
      <w:r w:rsidR="00E24D70">
        <w:rPr>
          <w:rFonts w:ascii="Cambria" w:hAnsi="Cambria"/>
          <w:sz w:val="20"/>
          <w:szCs w:val="20"/>
        </w:rPr>
        <w:t>relacionados con los hechos denunciados</w:t>
      </w:r>
      <w:r w:rsidR="004C2497">
        <w:rPr>
          <w:rFonts w:ascii="Cambria" w:hAnsi="Cambria"/>
          <w:sz w:val="20"/>
          <w:szCs w:val="20"/>
        </w:rPr>
        <w:t>.</w:t>
      </w:r>
    </w:p>
    <w:p w14:paraId="230AA26D" w14:textId="77777777" w:rsidR="004122FE" w:rsidRPr="00357FF9" w:rsidRDefault="004122FE" w:rsidP="004122FE">
      <w:pPr>
        <w:tabs>
          <w:tab w:val="left" w:pos="1440"/>
        </w:tabs>
        <w:ind w:firstLine="720"/>
        <w:jc w:val="both"/>
        <w:rPr>
          <w:rFonts w:ascii="Cambria" w:hAnsi="Cambria"/>
          <w:sz w:val="20"/>
        </w:rPr>
      </w:pPr>
    </w:p>
    <w:p w14:paraId="6A05F9ED" w14:textId="729F08C8" w:rsidR="004122FE" w:rsidRPr="00357FF9" w:rsidRDefault="004122FE" w:rsidP="004122F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sidRPr="00357FF9">
        <w:rPr>
          <w:rFonts w:ascii="Cambria" w:hAnsi="Cambria"/>
          <w:sz w:val="20"/>
          <w:szCs w:val="20"/>
        </w:rPr>
        <w:t xml:space="preserve">El Estado </w:t>
      </w:r>
      <w:r>
        <w:rPr>
          <w:rFonts w:ascii="Cambria" w:hAnsi="Cambria"/>
          <w:sz w:val="20"/>
          <w:szCs w:val="20"/>
        </w:rPr>
        <w:t xml:space="preserve">solicitó a la Comisión que declarara </w:t>
      </w:r>
      <w:r w:rsidR="000A6870">
        <w:rPr>
          <w:rFonts w:ascii="Cambria" w:hAnsi="Cambria"/>
          <w:sz w:val="20"/>
          <w:szCs w:val="20"/>
        </w:rPr>
        <w:t xml:space="preserve">inadmisible </w:t>
      </w:r>
      <w:r>
        <w:rPr>
          <w:rFonts w:ascii="Cambria" w:hAnsi="Cambria"/>
          <w:sz w:val="20"/>
          <w:szCs w:val="20"/>
        </w:rPr>
        <w:t xml:space="preserve">la presente petición </w:t>
      </w:r>
      <w:r w:rsidR="000A6870">
        <w:rPr>
          <w:rFonts w:ascii="Cambria" w:hAnsi="Cambria"/>
          <w:sz w:val="20"/>
          <w:szCs w:val="20"/>
        </w:rPr>
        <w:t>por considerar que</w:t>
      </w:r>
      <w:r>
        <w:rPr>
          <w:rFonts w:ascii="Cambria" w:hAnsi="Cambria"/>
          <w:sz w:val="20"/>
          <w:szCs w:val="20"/>
        </w:rPr>
        <w:t xml:space="preserve"> no se habrían agotado </w:t>
      </w:r>
      <w:r w:rsidRPr="00357FF9">
        <w:rPr>
          <w:rFonts w:ascii="Cambria" w:hAnsi="Cambria"/>
          <w:sz w:val="20"/>
          <w:szCs w:val="20"/>
        </w:rPr>
        <w:t xml:space="preserve">los recursos </w:t>
      </w:r>
      <w:r w:rsidR="000A6870">
        <w:rPr>
          <w:rFonts w:ascii="Cambria" w:hAnsi="Cambria"/>
          <w:sz w:val="20"/>
          <w:szCs w:val="20"/>
        </w:rPr>
        <w:t>judiciales internos</w:t>
      </w:r>
      <w:r>
        <w:rPr>
          <w:rFonts w:ascii="Cambria" w:hAnsi="Cambria"/>
          <w:sz w:val="20"/>
          <w:szCs w:val="20"/>
        </w:rPr>
        <w:t xml:space="preserve">, </w:t>
      </w:r>
      <w:r w:rsidRPr="00357FF9">
        <w:rPr>
          <w:rFonts w:ascii="Cambria" w:hAnsi="Cambria"/>
          <w:sz w:val="20"/>
          <w:szCs w:val="20"/>
        </w:rPr>
        <w:t xml:space="preserve">tanto en </w:t>
      </w:r>
      <w:r>
        <w:rPr>
          <w:rFonts w:ascii="Cambria" w:hAnsi="Cambria"/>
          <w:sz w:val="20"/>
          <w:szCs w:val="20"/>
        </w:rPr>
        <w:t xml:space="preserve">lo que se refiere al </w:t>
      </w:r>
      <w:r w:rsidRPr="00357FF9">
        <w:rPr>
          <w:rFonts w:ascii="Cambria" w:hAnsi="Cambria"/>
          <w:sz w:val="20"/>
          <w:szCs w:val="20"/>
        </w:rPr>
        <w:t xml:space="preserve">proceso penal </w:t>
      </w:r>
      <w:r>
        <w:rPr>
          <w:rFonts w:ascii="Cambria" w:hAnsi="Cambria"/>
          <w:sz w:val="20"/>
          <w:szCs w:val="20"/>
        </w:rPr>
        <w:t xml:space="preserve">seguido contra las presuntas víctimas, como en lo referido a la investigación sobre </w:t>
      </w:r>
      <w:r w:rsidR="000A6870">
        <w:rPr>
          <w:rFonts w:ascii="Cambria" w:hAnsi="Cambria"/>
          <w:sz w:val="20"/>
          <w:szCs w:val="20"/>
        </w:rPr>
        <w:t xml:space="preserve">los alegados actos de </w:t>
      </w:r>
      <w:r>
        <w:rPr>
          <w:rFonts w:ascii="Cambria" w:hAnsi="Cambria"/>
          <w:sz w:val="20"/>
          <w:szCs w:val="20"/>
        </w:rPr>
        <w:t xml:space="preserve"> torturas </w:t>
      </w:r>
      <w:r w:rsidR="000A6870">
        <w:rPr>
          <w:rFonts w:ascii="Cambria" w:hAnsi="Cambria"/>
          <w:sz w:val="20"/>
          <w:szCs w:val="20"/>
        </w:rPr>
        <w:t>de los que éstas habrían sido víctimas</w:t>
      </w:r>
      <w:r w:rsidRPr="005B14EC">
        <w:rPr>
          <w:rFonts w:ascii="Cambria" w:hAnsi="Cambria"/>
          <w:sz w:val="20"/>
          <w:szCs w:val="20"/>
        </w:rPr>
        <w:t xml:space="preserve">. Asimismo, el Estado </w:t>
      </w:r>
      <w:r w:rsidR="00B60E63">
        <w:rPr>
          <w:rFonts w:ascii="Cambria" w:hAnsi="Cambria"/>
          <w:sz w:val="20"/>
          <w:szCs w:val="20"/>
        </w:rPr>
        <w:t xml:space="preserve">alegó </w:t>
      </w:r>
      <w:r w:rsidRPr="005B14EC">
        <w:rPr>
          <w:rFonts w:ascii="Cambria" w:hAnsi="Cambria"/>
          <w:sz w:val="20"/>
          <w:szCs w:val="20"/>
        </w:rPr>
        <w:t>que no es responsable por la</w:t>
      </w:r>
      <w:r w:rsidR="00B34055">
        <w:rPr>
          <w:rFonts w:ascii="Cambria" w:hAnsi="Cambria"/>
          <w:sz w:val="20"/>
          <w:szCs w:val="20"/>
        </w:rPr>
        <w:t xml:space="preserve">s </w:t>
      </w:r>
      <w:r w:rsidR="00B60E63">
        <w:rPr>
          <w:rFonts w:ascii="Cambria" w:hAnsi="Cambria"/>
          <w:sz w:val="20"/>
          <w:szCs w:val="20"/>
        </w:rPr>
        <w:t>alegadas violaciones a los derechos humanos de los peticionarios</w:t>
      </w:r>
      <w:r w:rsidRPr="005B14EC">
        <w:rPr>
          <w:rFonts w:ascii="Cambria" w:hAnsi="Cambria"/>
          <w:sz w:val="20"/>
          <w:szCs w:val="20"/>
        </w:rPr>
        <w:t>.</w:t>
      </w:r>
      <w:r w:rsidRPr="00357FF9">
        <w:rPr>
          <w:rFonts w:ascii="Cambria" w:hAnsi="Cambria"/>
          <w:sz w:val="20"/>
          <w:szCs w:val="20"/>
        </w:rPr>
        <w:t xml:space="preserve"> </w:t>
      </w:r>
    </w:p>
    <w:p w14:paraId="0251DA22" w14:textId="77777777" w:rsidR="004122FE" w:rsidRPr="00357FF9" w:rsidRDefault="004122FE" w:rsidP="004122FE">
      <w:pPr>
        <w:tabs>
          <w:tab w:val="left" w:pos="1440"/>
        </w:tabs>
        <w:ind w:firstLine="720"/>
        <w:jc w:val="both"/>
        <w:rPr>
          <w:rFonts w:ascii="Cambria" w:hAnsi="Cambria"/>
          <w:sz w:val="20"/>
        </w:rPr>
      </w:pPr>
    </w:p>
    <w:p w14:paraId="192A0672" w14:textId="2FA646E4" w:rsidR="004122FE" w:rsidRPr="004122FE" w:rsidRDefault="004122FE" w:rsidP="004122FE">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rPr>
      </w:pPr>
      <w:r w:rsidRPr="00EA642E">
        <w:rPr>
          <w:rFonts w:ascii="Cambria" w:hAnsi="Cambria"/>
          <w:sz w:val="20"/>
        </w:rPr>
        <w:t>Sin prejuzgar sobre el fondo de</w:t>
      </w:r>
      <w:r>
        <w:rPr>
          <w:rFonts w:ascii="Cambria" w:hAnsi="Cambria"/>
          <w:sz w:val="20"/>
        </w:rPr>
        <w:t>l asunto</w:t>
      </w:r>
      <w:r w:rsidRPr="00EA642E">
        <w:rPr>
          <w:rFonts w:ascii="Cambria" w:hAnsi="Cambria"/>
          <w:sz w:val="20"/>
        </w:rPr>
        <w:t>, tras analizar las posiciones de las partes y en cumplimiento de los requisitos previstos en los artículos 46 y 47 de la Convención, la Comisión decide declarar el caso admisible a efectos del examen sobre la</w:t>
      </w:r>
      <w:r w:rsidR="00781037">
        <w:rPr>
          <w:rFonts w:ascii="Cambria" w:hAnsi="Cambria"/>
          <w:sz w:val="20"/>
        </w:rPr>
        <w:t>s</w:t>
      </w:r>
      <w:r w:rsidRPr="00EA642E">
        <w:rPr>
          <w:rFonts w:ascii="Cambria" w:hAnsi="Cambria"/>
          <w:sz w:val="20"/>
        </w:rPr>
        <w:t xml:space="preserve"> presunta</w:t>
      </w:r>
      <w:r w:rsidR="00781037">
        <w:rPr>
          <w:rFonts w:ascii="Cambria" w:hAnsi="Cambria"/>
          <w:sz w:val="20"/>
        </w:rPr>
        <w:t>s</w:t>
      </w:r>
      <w:r w:rsidRPr="00EA642E">
        <w:rPr>
          <w:rFonts w:ascii="Cambria" w:hAnsi="Cambria"/>
          <w:sz w:val="20"/>
        </w:rPr>
        <w:t xml:space="preserve"> violaci</w:t>
      </w:r>
      <w:r w:rsidR="00781037">
        <w:rPr>
          <w:rFonts w:ascii="Cambria" w:hAnsi="Cambria"/>
          <w:sz w:val="20"/>
        </w:rPr>
        <w:t>o</w:t>
      </w:r>
      <w:r w:rsidRPr="00EA642E">
        <w:rPr>
          <w:rFonts w:ascii="Cambria" w:hAnsi="Cambria"/>
          <w:sz w:val="20"/>
        </w:rPr>
        <w:t>n</w:t>
      </w:r>
      <w:r w:rsidR="00781037">
        <w:rPr>
          <w:rFonts w:ascii="Cambria" w:hAnsi="Cambria"/>
          <w:sz w:val="20"/>
        </w:rPr>
        <w:t>es</w:t>
      </w:r>
      <w:r w:rsidRPr="00EA642E">
        <w:rPr>
          <w:rFonts w:ascii="Cambria" w:hAnsi="Cambria"/>
          <w:sz w:val="20"/>
        </w:rPr>
        <w:t xml:space="preserve"> </w:t>
      </w:r>
      <w:r w:rsidR="009B4F2C">
        <w:rPr>
          <w:rFonts w:ascii="Cambria" w:hAnsi="Cambria"/>
          <w:sz w:val="20"/>
        </w:rPr>
        <w:t>a los derechos contenidos en los</w:t>
      </w:r>
      <w:r w:rsidRPr="00EA642E">
        <w:rPr>
          <w:rFonts w:ascii="Cambria" w:hAnsi="Cambria"/>
          <w:sz w:val="20"/>
          <w:szCs w:val="20"/>
        </w:rPr>
        <w:t xml:space="preserve"> </w:t>
      </w:r>
      <w:r>
        <w:rPr>
          <w:rFonts w:ascii="Cambria" w:hAnsi="Cambria"/>
          <w:sz w:val="20"/>
          <w:szCs w:val="20"/>
        </w:rPr>
        <w:t>artículos</w:t>
      </w:r>
      <w:r w:rsidR="00684FBB">
        <w:rPr>
          <w:rFonts w:ascii="Cambria" w:hAnsi="Cambria"/>
          <w:sz w:val="20"/>
          <w:szCs w:val="20"/>
        </w:rPr>
        <w:t xml:space="preserve"> 3</w:t>
      </w:r>
      <w:r w:rsidR="009B4F2C">
        <w:rPr>
          <w:rFonts w:ascii="Cambria" w:hAnsi="Cambria"/>
          <w:sz w:val="20"/>
          <w:szCs w:val="20"/>
        </w:rPr>
        <w:t xml:space="preserve"> (reconocimiento de la personalidad jurídica)</w:t>
      </w:r>
      <w:r w:rsidR="00684FBB">
        <w:rPr>
          <w:rFonts w:ascii="Cambria" w:hAnsi="Cambria"/>
          <w:sz w:val="20"/>
          <w:szCs w:val="20"/>
        </w:rPr>
        <w:t>,</w:t>
      </w:r>
      <w:r>
        <w:rPr>
          <w:rFonts w:ascii="Cambria" w:hAnsi="Cambria"/>
          <w:sz w:val="20"/>
          <w:szCs w:val="20"/>
        </w:rPr>
        <w:t xml:space="preserve"> </w:t>
      </w:r>
      <w:r w:rsidR="0093407B" w:rsidRPr="00357FF9">
        <w:rPr>
          <w:rFonts w:ascii="Cambria" w:hAnsi="Cambria"/>
          <w:sz w:val="20"/>
          <w:szCs w:val="20"/>
        </w:rPr>
        <w:t>5</w:t>
      </w:r>
      <w:r w:rsidR="009B4F2C">
        <w:rPr>
          <w:rFonts w:ascii="Cambria" w:hAnsi="Cambria"/>
          <w:sz w:val="20"/>
          <w:szCs w:val="20"/>
        </w:rPr>
        <w:t xml:space="preserve"> (integridad personal)</w:t>
      </w:r>
      <w:r w:rsidR="0093407B" w:rsidRPr="00357FF9">
        <w:rPr>
          <w:rFonts w:ascii="Cambria" w:hAnsi="Cambria"/>
          <w:sz w:val="20"/>
          <w:szCs w:val="20"/>
        </w:rPr>
        <w:t>, 7</w:t>
      </w:r>
      <w:r w:rsidR="009B4F2C">
        <w:rPr>
          <w:rFonts w:ascii="Cambria" w:hAnsi="Cambria"/>
          <w:sz w:val="20"/>
          <w:szCs w:val="20"/>
        </w:rPr>
        <w:t xml:space="preserve"> (libertad personal)</w:t>
      </w:r>
      <w:r w:rsidR="0093407B" w:rsidRPr="00357FF9">
        <w:rPr>
          <w:rFonts w:ascii="Cambria" w:hAnsi="Cambria"/>
          <w:sz w:val="20"/>
          <w:szCs w:val="20"/>
        </w:rPr>
        <w:t>, 8</w:t>
      </w:r>
      <w:r w:rsidR="009B4F2C">
        <w:rPr>
          <w:rFonts w:ascii="Cambria" w:hAnsi="Cambria"/>
          <w:sz w:val="20"/>
          <w:szCs w:val="20"/>
        </w:rPr>
        <w:t xml:space="preserve"> (garantías judiciales)</w:t>
      </w:r>
      <w:r w:rsidR="0093407B" w:rsidRPr="00357FF9">
        <w:rPr>
          <w:rFonts w:ascii="Cambria" w:hAnsi="Cambria"/>
          <w:sz w:val="20"/>
          <w:szCs w:val="20"/>
        </w:rPr>
        <w:t>, 9</w:t>
      </w:r>
      <w:r w:rsidR="009B4F2C">
        <w:rPr>
          <w:rFonts w:ascii="Cambria" w:hAnsi="Cambria"/>
          <w:sz w:val="20"/>
          <w:szCs w:val="20"/>
        </w:rPr>
        <w:t xml:space="preserve"> (principio de legalidad y de retroactividad)</w:t>
      </w:r>
      <w:r w:rsidR="0093407B">
        <w:rPr>
          <w:rFonts w:ascii="Cambria" w:hAnsi="Cambria"/>
          <w:sz w:val="20"/>
          <w:szCs w:val="20"/>
        </w:rPr>
        <w:t>,</w:t>
      </w:r>
      <w:r w:rsidR="0093407B" w:rsidRPr="00357FF9">
        <w:rPr>
          <w:rFonts w:ascii="Cambria" w:hAnsi="Cambria"/>
          <w:sz w:val="20"/>
          <w:szCs w:val="20"/>
        </w:rPr>
        <w:t xml:space="preserve"> </w:t>
      </w:r>
      <w:r w:rsidR="0093407B">
        <w:rPr>
          <w:rFonts w:ascii="Cambria" w:hAnsi="Cambria"/>
          <w:sz w:val="20"/>
          <w:szCs w:val="20"/>
        </w:rPr>
        <w:t xml:space="preserve">11 </w:t>
      </w:r>
      <w:r w:rsidR="009B4F2C">
        <w:rPr>
          <w:rFonts w:ascii="Cambria" w:hAnsi="Cambria"/>
          <w:sz w:val="20"/>
          <w:szCs w:val="20"/>
        </w:rPr>
        <w:t xml:space="preserve">(protección de la honra y de la dignidad) </w:t>
      </w:r>
      <w:r w:rsidR="0093407B" w:rsidRPr="00357FF9">
        <w:rPr>
          <w:rFonts w:ascii="Cambria" w:hAnsi="Cambria"/>
          <w:sz w:val="20"/>
          <w:szCs w:val="20"/>
        </w:rPr>
        <w:t xml:space="preserve">y 25 </w:t>
      </w:r>
      <w:r w:rsidR="001405D2">
        <w:rPr>
          <w:rFonts w:ascii="Cambria" w:hAnsi="Cambria"/>
          <w:sz w:val="20"/>
          <w:szCs w:val="20"/>
        </w:rPr>
        <w:t xml:space="preserve">(protección judicial) </w:t>
      </w:r>
      <w:r w:rsidRPr="00EA642E">
        <w:rPr>
          <w:rFonts w:ascii="Cambria" w:hAnsi="Cambria"/>
          <w:sz w:val="20"/>
          <w:szCs w:val="20"/>
        </w:rPr>
        <w:t>de la Convención</w:t>
      </w:r>
      <w:r w:rsidR="007C5179">
        <w:rPr>
          <w:rFonts w:ascii="Cambria" w:hAnsi="Cambria"/>
          <w:sz w:val="20"/>
          <w:szCs w:val="20"/>
        </w:rPr>
        <w:t xml:space="preserve"> Americana sobre Derechos Humanos (en adelante “la Convención Americana” o “la Convención”</w:t>
      </w:r>
      <w:r w:rsidR="0093407B">
        <w:rPr>
          <w:rFonts w:ascii="Cambria" w:hAnsi="Cambria"/>
          <w:sz w:val="20"/>
          <w:szCs w:val="20"/>
        </w:rPr>
        <w:t>,</w:t>
      </w:r>
      <w:r w:rsidRPr="00EA642E">
        <w:rPr>
          <w:rFonts w:ascii="Cambria" w:hAnsi="Cambria"/>
          <w:sz w:val="20"/>
          <w:szCs w:val="20"/>
        </w:rPr>
        <w:t xml:space="preserve"> en </w:t>
      </w:r>
      <w:r w:rsidR="0093407B">
        <w:rPr>
          <w:rFonts w:ascii="Cambria" w:hAnsi="Cambria"/>
          <w:sz w:val="20"/>
          <w:szCs w:val="20"/>
        </w:rPr>
        <w:t>relación</w:t>
      </w:r>
      <w:r>
        <w:rPr>
          <w:rFonts w:ascii="Cambria" w:hAnsi="Cambria"/>
          <w:sz w:val="20"/>
          <w:szCs w:val="20"/>
        </w:rPr>
        <w:t xml:space="preserve"> </w:t>
      </w:r>
      <w:r w:rsidRPr="00EA642E">
        <w:rPr>
          <w:rFonts w:ascii="Cambria" w:hAnsi="Cambria"/>
          <w:sz w:val="20"/>
          <w:szCs w:val="20"/>
        </w:rPr>
        <w:t xml:space="preserve">con </w:t>
      </w:r>
      <w:r>
        <w:rPr>
          <w:rFonts w:ascii="Cambria" w:hAnsi="Cambria"/>
          <w:sz w:val="20"/>
          <w:szCs w:val="20"/>
        </w:rPr>
        <w:t>el</w:t>
      </w:r>
      <w:r w:rsidRPr="00EA642E">
        <w:rPr>
          <w:rFonts w:ascii="Cambria" w:hAnsi="Cambria"/>
          <w:sz w:val="20"/>
          <w:szCs w:val="20"/>
        </w:rPr>
        <w:t xml:space="preserve"> artículo 1.1</w:t>
      </w:r>
      <w:r>
        <w:rPr>
          <w:rFonts w:ascii="Cambria" w:hAnsi="Cambria"/>
          <w:sz w:val="20"/>
          <w:szCs w:val="20"/>
        </w:rPr>
        <w:t xml:space="preserve"> del mismo instrumento</w:t>
      </w:r>
      <w:r w:rsidRPr="00EA642E">
        <w:rPr>
          <w:rFonts w:ascii="Cambria" w:hAnsi="Cambria"/>
          <w:sz w:val="20"/>
          <w:szCs w:val="20"/>
        </w:rPr>
        <w:t>, en perjuic</w:t>
      </w:r>
      <w:r>
        <w:rPr>
          <w:rFonts w:ascii="Cambria" w:hAnsi="Cambria"/>
          <w:sz w:val="20"/>
          <w:szCs w:val="20"/>
        </w:rPr>
        <w:t xml:space="preserve">io de </w:t>
      </w:r>
      <w:r w:rsidR="0093407B" w:rsidRPr="009C2C37">
        <w:rPr>
          <w:rFonts w:ascii="Cambria" w:hAnsi="Cambria"/>
          <w:sz w:val="20"/>
          <w:szCs w:val="20"/>
        </w:rPr>
        <w:t>Rolando Jesús y Otoniel José Gu</w:t>
      </w:r>
      <w:r w:rsidR="0093407B">
        <w:rPr>
          <w:rFonts w:ascii="Cambria" w:hAnsi="Cambria"/>
          <w:sz w:val="20"/>
          <w:szCs w:val="20"/>
        </w:rPr>
        <w:t>evara Pérez,</w:t>
      </w:r>
      <w:r w:rsidR="0093407B" w:rsidRPr="009C2C37">
        <w:rPr>
          <w:rFonts w:ascii="Cambria" w:hAnsi="Cambria"/>
          <w:sz w:val="20"/>
          <w:szCs w:val="20"/>
        </w:rPr>
        <w:t xml:space="preserve"> Juan Bautista Guevara Rodríguez y sus familiares</w:t>
      </w:r>
      <w:r>
        <w:rPr>
          <w:rFonts w:ascii="Cambria" w:hAnsi="Cambria"/>
          <w:sz w:val="20"/>
          <w:szCs w:val="20"/>
        </w:rPr>
        <w:t xml:space="preserve">. </w:t>
      </w:r>
      <w:r w:rsidR="00B60E63">
        <w:rPr>
          <w:rFonts w:asciiTheme="majorHAnsi" w:hAnsiTheme="majorHAnsi"/>
          <w:sz w:val="20"/>
          <w:szCs w:val="20"/>
          <w:lang w:val="es-AR"/>
        </w:rPr>
        <w:t xml:space="preserve">Así como </w:t>
      </w:r>
      <w:r w:rsidR="009A28A8" w:rsidRPr="005758BA">
        <w:rPr>
          <w:rFonts w:asciiTheme="majorHAnsi" w:hAnsiTheme="majorHAnsi"/>
          <w:sz w:val="20"/>
          <w:szCs w:val="20"/>
          <w:lang w:val="es-AR"/>
        </w:rPr>
        <w:t xml:space="preserve">los artículos </w:t>
      </w:r>
      <w:r w:rsidR="009A28A8">
        <w:rPr>
          <w:rFonts w:asciiTheme="majorHAnsi" w:hAnsiTheme="majorHAnsi"/>
          <w:sz w:val="20"/>
          <w:szCs w:val="20"/>
          <w:lang w:val="es-AR"/>
        </w:rPr>
        <w:t>1</w:t>
      </w:r>
      <w:r w:rsidR="00E94439">
        <w:rPr>
          <w:rFonts w:asciiTheme="majorHAnsi" w:hAnsiTheme="majorHAnsi"/>
          <w:sz w:val="20"/>
          <w:szCs w:val="20"/>
          <w:lang w:val="es-AR"/>
        </w:rPr>
        <w:t xml:space="preserve"> </w:t>
      </w:r>
      <w:r w:rsidR="009A28A8">
        <w:rPr>
          <w:rFonts w:asciiTheme="majorHAnsi" w:hAnsiTheme="majorHAnsi"/>
          <w:sz w:val="20"/>
          <w:szCs w:val="20"/>
          <w:lang w:val="es-AR"/>
        </w:rPr>
        <w:t>y 11</w:t>
      </w:r>
      <w:r w:rsidR="00913908" w:rsidRPr="005758BA">
        <w:rPr>
          <w:rFonts w:asciiTheme="majorHAnsi" w:hAnsiTheme="majorHAnsi"/>
          <w:sz w:val="20"/>
          <w:szCs w:val="20"/>
          <w:lang w:val="es-AR"/>
        </w:rPr>
        <w:t xml:space="preserve"> de la Convención Interamericana sobre Desaparición Forzada de Personas</w:t>
      </w:r>
      <w:r w:rsidR="00B60E63">
        <w:rPr>
          <w:rFonts w:asciiTheme="majorHAnsi" w:hAnsiTheme="majorHAnsi"/>
          <w:sz w:val="20"/>
          <w:szCs w:val="20"/>
          <w:lang w:val="es-AR"/>
        </w:rPr>
        <w:t>;</w:t>
      </w:r>
      <w:r w:rsidR="00913908" w:rsidRPr="005758BA">
        <w:rPr>
          <w:rFonts w:asciiTheme="majorHAnsi" w:hAnsiTheme="majorHAnsi"/>
          <w:sz w:val="20"/>
          <w:szCs w:val="20"/>
          <w:lang w:val="es-AR"/>
        </w:rPr>
        <w:t xml:space="preserve"> y los artículos 1</w:t>
      </w:r>
      <w:r w:rsidR="00913908">
        <w:rPr>
          <w:rFonts w:asciiTheme="majorHAnsi" w:hAnsiTheme="majorHAnsi"/>
          <w:sz w:val="20"/>
          <w:szCs w:val="20"/>
          <w:lang w:val="es-AR"/>
        </w:rPr>
        <w:t>, 6</w:t>
      </w:r>
      <w:r w:rsidR="00913908" w:rsidRPr="005758BA">
        <w:rPr>
          <w:rFonts w:asciiTheme="majorHAnsi" w:hAnsiTheme="majorHAnsi"/>
          <w:sz w:val="20"/>
          <w:szCs w:val="20"/>
          <w:lang w:val="es-AR"/>
        </w:rPr>
        <w:t xml:space="preserve"> y 8 de la </w:t>
      </w:r>
      <w:r w:rsidR="00913908" w:rsidRPr="005758BA">
        <w:rPr>
          <w:rFonts w:asciiTheme="majorHAnsi" w:hAnsiTheme="majorHAnsi"/>
          <w:bCs/>
          <w:sz w:val="20"/>
          <w:szCs w:val="20"/>
          <w:lang w:val="es-AR"/>
        </w:rPr>
        <w:t>Convención Interamericana para Prevenir y Sancionar la Tortura</w:t>
      </w:r>
      <w:r w:rsidRPr="00931817">
        <w:rPr>
          <w:rFonts w:ascii="Cambria" w:hAnsi="Cambria"/>
          <w:sz w:val="20"/>
          <w:szCs w:val="20"/>
        </w:rPr>
        <w:t>. Por último, decide notificar el informe a las partes y ordenar su publicación en su Informe Anual a la Asamblea</w:t>
      </w:r>
      <w:r w:rsidRPr="00EA642E">
        <w:rPr>
          <w:rFonts w:ascii="Cambria" w:hAnsi="Cambria"/>
          <w:sz w:val="20"/>
          <w:szCs w:val="20"/>
        </w:rPr>
        <w:t xml:space="preserve"> General de la </w:t>
      </w:r>
      <w:r w:rsidR="00781037">
        <w:rPr>
          <w:rFonts w:ascii="Cambria" w:hAnsi="Cambria"/>
          <w:sz w:val="20"/>
          <w:szCs w:val="20"/>
        </w:rPr>
        <w:t>Orga</w:t>
      </w:r>
      <w:r w:rsidR="00B34055">
        <w:rPr>
          <w:rFonts w:ascii="Cambria" w:hAnsi="Cambria"/>
          <w:sz w:val="20"/>
          <w:szCs w:val="20"/>
        </w:rPr>
        <w:t>nización de Estados Americanos</w:t>
      </w:r>
      <w:r w:rsidRPr="005507E2">
        <w:rPr>
          <w:rFonts w:ascii="Cambria" w:hAnsi="Cambria"/>
          <w:sz w:val="20"/>
          <w:szCs w:val="20"/>
        </w:rPr>
        <w:t>.</w:t>
      </w:r>
      <w:r w:rsidRPr="00EA642E">
        <w:rPr>
          <w:rFonts w:ascii="Cambria" w:hAnsi="Cambria"/>
          <w:sz w:val="20"/>
          <w:szCs w:val="20"/>
        </w:rPr>
        <w:t xml:space="preserve"> </w:t>
      </w:r>
      <w:r w:rsidR="0093407B">
        <w:rPr>
          <w:rFonts w:ascii="Cambria" w:hAnsi="Cambria"/>
          <w:sz w:val="20"/>
          <w:szCs w:val="20"/>
        </w:rPr>
        <w:t xml:space="preserve"> </w:t>
      </w:r>
    </w:p>
    <w:p w14:paraId="4DF17084" w14:textId="77777777" w:rsidR="004122FE" w:rsidRPr="005507E2" w:rsidRDefault="004122FE" w:rsidP="004122FE">
      <w:pPr>
        <w:pStyle w:val="ListParagraph"/>
        <w:rPr>
          <w:sz w:val="20"/>
          <w:lang w:val="es-AR"/>
        </w:rPr>
      </w:pPr>
    </w:p>
    <w:p w14:paraId="427648A7" w14:textId="77777777" w:rsidR="004122FE" w:rsidRPr="00357FF9" w:rsidRDefault="004122FE" w:rsidP="004122FE">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0"/>
        <w:ind w:left="0" w:firstLine="720"/>
        <w:rPr>
          <w:rFonts w:ascii="Cambria" w:hAnsi="Cambria"/>
          <w:bCs w:val="0"/>
          <w:sz w:val="20"/>
          <w:szCs w:val="20"/>
        </w:rPr>
      </w:pPr>
      <w:r w:rsidRPr="00357FF9">
        <w:rPr>
          <w:rFonts w:ascii="Cambria" w:hAnsi="Cambria"/>
          <w:bCs w:val="0"/>
          <w:sz w:val="20"/>
          <w:szCs w:val="20"/>
        </w:rPr>
        <w:t xml:space="preserve">TRÁMITE ANTE LA COMISIÓN </w:t>
      </w:r>
    </w:p>
    <w:p w14:paraId="31876FA1" w14:textId="77777777" w:rsidR="004122FE" w:rsidRPr="004122FE" w:rsidRDefault="004122FE" w:rsidP="004122F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rPr>
      </w:pPr>
    </w:p>
    <w:p w14:paraId="07E47AA8" w14:textId="3A6E8721" w:rsidR="00CF140D" w:rsidRPr="00FC3063" w:rsidRDefault="00CF140D" w:rsidP="00C04D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FC3063">
        <w:rPr>
          <w:rFonts w:ascii="Cambria" w:hAnsi="Cambria"/>
          <w:sz w:val="20"/>
          <w:szCs w:val="20"/>
        </w:rPr>
        <w:t xml:space="preserve">La Comisión recibió la petición el </w:t>
      </w:r>
      <w:r w:rsidR="005359C7" w:rsidRPr="00FC3063">
        <w:rPr>
          <w:rFonts w:ascii="Cambria" w:hAnsi="Cambria"/>
          <w:sz w:val="20"/>
          <w:szCs w:val="20"/>
        </w:rPr>
        <w:t>20 de marzo de 2005</w:t>
      </w:r>
      <w:r w:rsidR="00CF4495" w:rsidRPr="00FC3063">
        <w:rPr>
          <w:rFonts w:ascii="Cambria" w:hAnsi="Cambria"/>
          <w:sz w:val="20"/>
          <w:szCs w:val="20"/>
        </w:rPr>
        <w:t xml:space="preserve"> </w:t>
      </w:r>
      <w:r w:rsidRPr="00FC3063">
        <w:rPr>
          <w:rFonts w:ascii="Cambria" w:hAnsi="Cambria"/>
          <w:sz w:val="20"/>
          <w:szCs w:val="20"/>
        </w:rPr>
        <w:t>y le asignó el número</w:t>
      </w:r>
      <w:r w:rsidR="008A6BDF" w:rsidRPr="00FC3063">
        <w:rPr>
          <w:rFonts w:ascii="Cambria" w:hAnsi="Cambria"/>
          <w:sz w:val="20"/>
          <w:szCs w:val="20"/>
        </w:rPr>
        <w:t xml:space="preserve"> </w:t>
      </w:r>
      <w:r w:rsidR="005359C7" w:rsidRPr="00FC3063">
        <w:rPr>
          <w:rFonts w:ascii="Cambria" w:hAnsi="Cambria"/>
          <w:sz w:val="20"/>
          <w:szCs w:val="20"/>
        </w:rPr>
        <w:t>264-05</w:t>
      </w:r>
      <w:r w:rsidRPr="00FC3063">
        <w:rPr>
          <w:rFonts w:ascii="Cambria" w:hAnsi="Cambria"/>
          <w:sz w:val="20"/>
          <w:szCs w:val="20"/>
        </w:rPr>
        <w:t xml:space="preserve">. </w:t>
      </w:r>
      <w:r w:rsidRPr="00FC3063">
        <w:rPr>
          <w:rFonts w:ascii="Cambria" w:hAnsi="Cambria" w:cs="Univers"/>
          <w:sz w:val="20"/>
          <w:szCs w:val="20"/>
        </w:rPr>
        <w:t>El</w:t>
      </w:r>
      <w:r w:rsidR="005359C7" w:rsidRPr="00FC3063">
        <w:rPr>
          <w:rFonts w:ascii="Cambria" w:hAnsi="Cambria" w:cs="Univers"/>
          <w:sz w:val="20"/>
          <w:szCs w:val="20"/>
        </w:rPr>
        <w:t xml:space="preserve"> 2 de julio de 2008</w:t>
      </w:r>
      <w:r w:rsidR="005507E2">
        <w:rPr>
          <w:rFonts w:ascii="Cambria" w:hAnsi="Cambria" w:cs="Univers"/>
          <w:sz w:val="20"/>
          <w:szCs w:val="20"/>
        </w:rPr>
        <w:t>,</w:t>
      </w:r>
      <w:r w:rsidR="005359C7" w:rsidRPr="00FC3063">
        <w:rPr>
          <w:rFonts w:ascii="Cambria" w:hAnsi="Cambria" w:cs="Univers"/>
          <w:sz w:val="20"/>
          <w:szCs w:val="20"/>
        </w:rPr>
        <w:t xml:space="preserve"> la</w:t>
      </w:r>
      <w:r w:rsidRPr="00FC3063">
        <w:rPr>
          <w:rFonts w:ascii="Cambria" w:hAnsi="Cambria" w:cs="Univers"/>
          <w:sz w:val="20"/>
          <w:szCs w:val="20"/>
        </w:rPr>
        <w:t xml:space="preserve"> Comisión transmitió </w:t>
      </w:r>
      <w:r w:rsidR="00263183">
        <w:rPr>
          <w:rFonts w:ascii="Cambria" w:hAnsi="Cambria" w:cs="Univers"/>
          <w:sz w:val="20"/>
          <w:szCs w:val="20"/>
        </w:rPr>
        <w:t xml:space="preserve">al Estado </w:t>
      </w:r>
      <w:r w:rsidRPr="00FC3063">
        <w:rPr>
          <w:rFonts w:ascii="Cambria" w:hAnsi="Cambria" w:cs="Univers"/>
          <w:sz w:val="20"/>
          <w:szCs w:val="20"/>
        </w:rPr>
        <w:t xml:space="preserve">las partes pertinentes </w:t>
      </w:r>
      <w:r w:rsidR="00263183">
        <w:rPr>
          <w:rFonts w:ascii="Cambria" w:hAnsi="Cambria" w:cs="Univers"/>
          <w:sz w:val="20"/>
          <w:szCs w:val="20"/>
        </w:rPr>
        <w:t>de la petición, dándole el plazo de dos meses para presentar su respuesta, de acuerdo con el artículo 30.3 del Reglamento entonces vigente</w:t>
      </w:r>
      <w:r w:rsidR="003C1C8B">
        <w:rPr>
          <w:rFonts w:ascii="Cambria" w:hAnsi="Cambria" w:cs="Univers"/>
          <w:sz w:val="20"/>
          <w:szCs w:val="20"/>
        </w:rPr>
        <w:t>.</w:t>
      </w:r>
      <w:r w:rsidRPr="00FC3063">
        <w:rPr>
          <w:rFonts w:ascii="Cambria" w:hAnsi="Cambria" w:cs="Univers"/>
          <w:sz w:val="20"/>
          <w:szCs w:val="20"/>
        </w:rPr>
        <w:t xml:space="preserve"> </w:t>
      </w:r>
      <w:r w:rsidR="003C1C8B" w:rsidRPr="00FC3063">
        <w:rPr>
          <w:rFonts w:ascii="Cambria" w:hAnsi="Cambria" w:cs="Univers"/>
          <w:sz w:val="20"/>
          <w:szCs w:val="20"/>
        </w:rPr>
        <w:t>La</w:t>
      </w:r>
      <w:r w:rsidR="00833313">
        <w:rPr>
          <w:rFonts w:ascii="Cambria" w:hAnsi="Cambria" w:cs="Univers"/>
          <w:sz w:val="20"/>
          <w:szCs w:val="20"/>
        </w:rPr>
        <w:t xml:space="preserve">s observaciones </w:t>
      </w:r>
      <w:r w:rsidR="003C1C8B" w:rsidRPr="00FC3063">
        <w:rPr>
          <w:rFonts w:ascii="Cambria" w:hAnsi="Cambria" w:cs="Univers"/>
          <w:sz w:val="20"/>
          <w:szCs w:val="20"/>
        </w:rPr>
        <w:t>del Estado fue</w:t>
      </w:r>
      <w:r w:rsidR="00833313">
        <w:rPr>
          <w:rFonts w:ascii="Cambria" w:hAnsi="Cambria" w:cs="Univers"/>
          <w:sz w:val="20"/>
          <w:szCs w:val="20"/>
        </w:rPr>
        <w:t xml:space="preserve">ron </w:t>
      </w:r>
      <w:r w:rsidR="003C1C8B" w:rsidRPr="00FC3063">
        <w:rPr>
          <w:rFonts w:ascii="Cambria" w:hAnsi="Cambria" w:cs="Univers"/>
          <w:sz w:val="20"/>
          <w:szCs w:val="20"/>
        </w:rPr>
        <w:t>recibida</w:t>
      </w:r>
      <w:r w:rsidR="00833313">
        <w:rPr>
          <w:rFonts w:ascii="Cambria" w:hAnsi="Cambria" w:cs="Univers"/>
          <w:sz w:val="20"/>
          <w:szCs w:val="20"/>
        </w:rPr>
        <w:t>s</w:t>
      </w:r>
      <w:r w:rsidR="003C1C8B" w:rsidRPr="00FC3063">
        <w:rPr>
          <w:rFonts w:ascii="Cambria" w:hAnsi="Cambria" w:cs="Univers"/>
          <w:sz w:val="20"/>
          <w:szCs w:val="20"/>
        </w:rPr>
        <w:t xml:space="preserve"> el 19 de marzo de 2009.</w:t>
      </w:r>
      <w:r w:rsidR="003C1C8B" w:rsidRPr="00FC3063">
        <w:rPr>
          <w:rFonts w:ascii="Cambria" w:hAnsi="Cambria"/>
          <w:sz w:val="20"/>
          <w:szCs w:val="20"/>
        </w:rPr>
        <w:t xml:space="preserve"> </w:t>
      </w:r>
    </w:p>
    <w:p w14:paraId="634221DF" w14:textId="77777777" w:rsidR="00CF140D" w:rsidRPr="00357FF9" w:rsidRDefault="00CF140D" w:rsidP="00C04D34">
      <w:pPr>
        <w:tabs>
          <w:tab w:val="left" w:pos="1440"/>
        </w:tabs>
        <w:ind w:firstLine="720"/>
        <w:jc w:val="both"/>
        <w:rPr>
          <w:rFonts w:ascii="Cambria" w:hAnsi="Cambria"/>
          <w:sz w:val="20"/>
          <w:szCs w:val="20"/>
        </w:rPr>
      </w:pPr>
    </w:p>
    <w:p w14:paraId="646F3335" w14:textId="5792C3E2" w:rsidR="00EB5653" w:rsidRPr="00263183" w:rsidRDefault="00177F90" w:rsidP="00EB565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sz w:val="20"/>
          <w:szCs w:val="20"/>
          <w:lang w:val="es-ES"/>
        </w:rPr>
      </w:pPr>
      <w:r w:rsidRPr="00263183">
        <w:rPr>
          <w:rFonts w:ascii="Cambria" w:hAnsi="Cambria"/>
          <w:sz w:val="20"/>
          <w:szCs w:val="20"/>
        </w:rPr>
        <w:t xml:space="preserve">La CIDH recibió información </w:t>
      </w:r>
      <w:r w:rsidR="00FC3063" w:rsidRPr="00263183">
        <w:rPr>
          <w:rFonts w:ascii="Cambria" w:hAnsi="Cambria"/>
          <w:sz w:val="20"/>
          <w:szCs w:val="20"/>
        </w:rPr>
        <w:t xml:space="preserve">adicional </w:t>
      </w:r>
      <w:r w:rsidRPr="00263183">
        <w:rPr>
          <w:rFonts w:ascii="Cambria" w:hAnsi="Cambria"/>
          <w:sz w:val="20"/>
          <w:szCs w:val="20"/>
        </w:rPr>
        <w:t xml:space="preserve">de </w:t>
      </w:r>
      <w:r w:rsidR="00833313" w:rsidRPr="00263183">
        <w:rPr>
          <w:rFonts w:ascii="Cambria" w:hAnsi="Cambria"/>
          <w:sz w:val="20"/>
          <w:szCs w:val="20"/>
        </w:rPr>
        <w:t xml:space="preserve">parte de </w:t>
      </w:r>
      <w:r w:rsidRPr="00263183">
        <w:rPr>
          <w:rFonts w:ascii="Cambria" w:hAnsi="Cambria"/>
          <w:sz w:val="20"/>
          <w:szCs w:val="20"/>
        </w:rPr>
        <w:t xml:space="preserve">los </w:t>
      </w:r>
      <w:r w:rsidR="00CF140D" w:rsidRPr="00263183">
        <w:rPr>
          <w:rFonts w:ascii="Cambria" w:hAnsi="Cambria"/>
          <w:sz w:val="20"/>
          <w:szCs w:val="20"/>
        </w:rPr>
        <w:t xml:space="preserve">peticionarios </w:t>
      </w:r>
      <w:r w:rsidR="00263183" w:rsidRPr="00263183">
        <w:rPr>
          <w:rFonts w:ascii="Cambria" w:hAnsi="Cambria"/>
          <w:sz w:val="20"/>
          <w:szCs w:val="20"/>
        </w:rPr>
        <w:t>en las siguientes fechas:</w:t>
      </w:r>
      <w:r w:rsidR="00FC3063" w:rsidRPr="00263183">
        <w:rPr>
          <w:rFonts w:ascii="Cambria" w:hAnsi="Cambria"/>
          <w:sz w:val="20"/>
          <w:szCs w:val="20"/>
        </w:rPr>
        <w:t xml:space="preserve"> 11 de mayo de 2009,</w:t>
      </w:r>
      <w:r w:rsidR="00B42AC9" w:rsidRPr="00263183">
        <w:rPr>
          <w:rFonts w:ascii="Cambria" w:hAnsi="Cambria"/>
          <w:sz w:val="20"/>
          <w:szCs w:val="20"/>
        </w:rPr>
        <w:t xml:space="preserve"> 5 de octubre de 2010</w:t>
      </w:r>
      <w:r w:rsidR="00FC3063" w:rsidRPr="00263183">
        <w:rPr>
          <w:rFonts w:ascii="Cambria" w:hAnsi="Cambria"/>
          <w:sz w:val="20"/>
          <w:szCs w:val="20"/>
        </w:rPr>
        <w:t>,</w:t>
      </w:r>
      <w:r w:rsidR="00B42AC9" w:rsidRPr="00263183">
        <w:rPr>
          <w:rFonts w:ascii="Cambria" w:hAnsi="Cambria"/>
          <w:sz w:val="20"/>
          <w:szCs w:val="20"/>
        </w:rPr>
        <w:t xml:space="preserve"> 12 de enero de 2011</w:t>
      </w:r>
      <w:r w:rsidR="00FC3063" w:rsidRPr="00263183">
        <w:rPr>
          <w:rFonts w:ascii="Cambria" w:hAnsi="Cambria"/>
          <w:sz w:val="20"/>
          <w:szCs w:val="20"/>
        </w:rPr>
        <w:t xml:space="preserve">, </w:t>
      </w:r>
      <w:r w:rsidR="00B42AC9" w:rsidRPr="00263183">
        <w:rPr>
          <w:rFonts w:ascii="Cambria" w:hAnsi="Cambria"/>
          <w:sz w:val="20"/>
          <w:szCs w:val="20"/>
        </w:rPr>
        <w:t>2</w:t>
      </w:r>
      <w:r w:rsidR="00FC3063" w:rsidRPr="00263183">
        <w:rPr>
          <w:rFonts w:ascii="Cambria" w:hAnsi="Cambria"/>
          <w:sz w:val="20"/>
          <w:szCs w:val="20"/>
        </w:rPr>
        <w:t xml:space="preserve"> de mayo de 2012</w:t>
      </w:r>
      <w:r w:rsidR="00B42AC9" w:rsidRPr="00263183">
        <w:rPr>
          <w:rFonts w:ascii="Cambria" w:hAnsi="Cambria"/>
          <w:sz w:val="20"/>
          <w:szCs w:val="20"/>
        </w:rPr>
        <w:t>, 16</w:t>
      </w:r>
      <w:r w:rsidR="00FC3063" w:rsidRPr="00263183">
        <w:rPr>
          <w:rFonts w:ascii="Cambria" w:hAnsi="Cambria"/>
          <w:sz w:val="20"/>
          <w:szCs w:val="20"/>
        </w:rPr>
        <w:t xml:space="preserve"> de mayo de 2012,</w:t>
      </w:r>
      <w:r w:rsidR="00B42AC9" w:rsidRPr="00263183">
        <w:rPr>
          <w:rFonts w:ascii="Cambria" w:hAnsi="Cambria"/>
          <w:sz w:val="20"/>
          <w:szCs w:val="20"/>
        </w:rPr>
        <w:t xml:space="preserve"> 21 </w:t>
      </w:r>
      <w:r w:rsidR="00B42AC9" w:rsidRPr="00263183">
        <w:rPr>
          <w:rFonts w:ascii="Cambria" w:hAnsi="Cambria"/>
          <w:sz w:val="20"/>
          <w:szCs w:val="20"/>
        </w:rPr>
        <w:lastRenderedPageBreak/>
        <w:t xml:space="preserve">de mayo de </w:t>
      </w:r>
      <w:r w:rsidR="005566C1" w:rsidRPr="00263183">
        <w:rPr>
          <w:rFonts w:ascii="Cambria" w:hAnsi="Cambria"/>
          <w:sz w:val="20"/>
          <w:szCs w:val="20"/>
        </w:rPr>
        <w:t>2012 y 25 de junio de 2012.</w:t>
      </w:r>
      <w:r w:rsidR="00FA1384" w:rsidRPr="00263183">
        <w:rPr>
          <w:rFonts w:ascii="Cambria" w:hAnsi="Cambria"/>
          <w:sz w:val="20"/>
          <w:szCs w:val="20"/>
        </w:rPr>
        <w:t xml:space="preserve"> </w:t>
      </w:r>
      <w:r w:rsidR="00263183" w:rsidRPr="00263183">
        <w:rPr>
          <w:rFonts w:ascii="Cambria" w:hAnsi="Cambria"/>
          <w:sz w:val="20"/>
          <w:szCs w:val="20"/>
        </w:rPr>
        <w:t>Y</w:t>
      </w:r>
      <w:r w:rsidR="001405D2">
        <w:rPr>
          <w:rFonts w:ascii="Cambria" w:hAnsi="Cambria"/>
          <w:sz w:val="20"/>
          <w:szCs w:val="20"/>
        </w:rPr>
        <w:t>,</w:t>
      </w:r>
      <w:r w:rsidR="00263183" w:rsidRPr="00263183">
        <w:rPr>
          <w:rFonts w:ascii="Cambria" w:hAnsi="Cambria"/>
          <w:sz w:val="20"/>
          <w:szCs w:val="20"/>
        </w:rPr>
        <w:t xml:space="preserve"> por parte del Estado, </w:t>
      </w:r>
      <w:r w:rsidR="001405D2">
        <w:rPr>
          <w:rFonts w:ascii="Cambria" w:hAnsi="Cambria"/>
          <w:sz w:val="20"/>
          <w:szCs w:val="20"/>
        </w:rPr>
        <w:t xml:space="preserve">se recibieron comunicaciones </w:t>
      </w:r>
      <w:r w:rsidR="00263183" w:rsidRPr="00263183">
        <w:rPr>
          <w:rFonts w:ascii="Cambria" w:hAnsi="Cambria"/>
          <w:sz w:val="20"/>
          <w:szCs w:val="20"/>
        </w:rPr>
        <w:t xml:space="preserve">el 23 de agosto de 2010 y el 20 de julio de 2012. </w:t>
      </w:r>
      <w:r w:rsidR="00263183">
        <w:rPr>
          <w:rFonts w:ascii="Cambria" w:hAnsi="Cambria"/>
          <w:sz w:val="20"/>
          <w:szCs w:val="20"/>
          <w:lang w:val="es-ES"/>
        </w:rPr>
        <w:t>La</w:t>
      </w:r>
      <w:r w:rsidR="00263183" w:rsidRPr="00263183">
        <w:rPr>
          <w:rFonts w:ascii="Cambria" w:hAnsi="Cambria"/>
          <w:sz w:val="20"/>
          <w:szCs w:val="20"/>
          <w:lang w:val="es-ES"/>
        </w:rPr>
        <w:t xml:space="preserve"> información remitida </w:t>
      </w:r>
      <w:r w:rsidR="00263183" w:rsidRPr="00263183">
        <w:rPr>
          <w:rFonts w:ascii="Cambria" w:hAnsi="Cambria" w:cs="Arial"/>
          <w:sz w:val="20"/>
          <w:szCs w:val="20"/>
          <w:lang w:val="es-ES"/>
        </w:rPr>
        <w:t>por cada una de las partes fue debidamente traslada</w:t>
      </w:r>
      <w:r w:rsidR="00E94439">
        <w:rPr>
          <w:rFonts w:ascii="Cambria" w:hAnsi="Cambria" w:cs="Arial"/>
          <w:sz w:val="20"/>
          <w:szCs w:val="20"/>
          <w:lang w:val="es-ES"/>
        </w:rPr>
        <w:t>da</w:t>
      </w:r>
      <w:r w:rsidR="00263183" w:rsidRPr="00263183">
        <w:rPr>
          <w:rFonts w:ascii="Cambria" w:hAnsi="Cambria" w:cs="Arial"/>
          <w:sz w:val="20"/>
          <w:szCs w:val="20"/>
          <w:lang w:val="es-ES"/>
        </w:rPr>
        <w:t xml:space="preserve"> a la contraparte.</w:t>
      </w:r>
    </w:p>
    <w:p w14:paraId="4D79F4C9" w14:textId="594BAA81" w:rsidR="000E28DF" w:rsidRPr="00263183" w:rsidRDefault="000E28DF" w:rsidP="0026318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6DFD5282" w14:textId="77777777" w:rsidR="000E28DF" w:rsidRPr="008418D4" w:rsidRDefault="000E28DF" w:rsidP="00C04D34">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0"/>
        <w:ind w:left="0" w:firstLine="720"/>
        <w:rPr>
          <w:rFonts w:ascii="Cambria" w:hAnsi="Cambria"/>
          <w:sz w:val="20"/>
          <w:szCs w:val="20"/>
        </w:rPr>
      </w:pPr>
      <w:r w:rsidRPr="008418D4">
        <w:rPr>
          <w:rFonts w:ascii="Cambria" w:hAnsi="Cambria"/>
          <w:sz w:val="20"/>
          <w:szCs w:val="20"/>
        </w:rPr>
        <w:t xml:space="preserve">POSICIÓN </w:t>
      </w:r>
      <w:r w:rsidRPr="008418D4">
        <w:rPr>
          <w:rFonts w:ascii="Cambria" w:hAnsi="Cambria"/>
          <w:bCs w:val="0"/>
          <w:sz w:val="20"/>
          <w:szCs w:val="20"/>
        </w:rPr>
        <w:t>DE LAS PARTES</w:t>
      </w:r>
    </w:p>
    <w:p w14:paraId="2A5333F9" w14:textId="77777777" w:rsidR="00B640EB" w:rsidRPr="008418D4" w:rsidRDefault="00B640EB" w:rsidP="00C04D34">
      <w:pPr>
        <w:pStyle w:val="Heading2"/>
        <w:numPr>
          <w:ilvl w:val="0"/>
          <w:numId w:val="0"/>
        </w:numPr>
        <w:tabs>
          <w:tab w:val="left" w:pos="1440"/>
        </w:tabs>
        <w:ind w:firstLine="720"/>
      </w:pPr>
    </w:p>
    <w:p w14:paraId="54FD9CEA" w14:textId="77777777" w:rsidR="008F2353" w:rsidRPr="008418D4" w:rsidRDefault="000E28DF" w:rsidP="00C04D34">
      <w:pPr>
        <w:pStyle w:val="Heading2"/>
        <w:tabs>
          <w:tab w:val="left" w:pos="1440"/>
        </w:tabs>
        <w:ind w:left="0" w:firstLine="720"/>
      </w:pPr>
      <w:r w:rsidRPr="008418D4">
        <w:t>Los peticionarios</w:t>
      </w:r>
    </w:p>
    <w:p w14:paraId="716432F2" w14:textId="77777777" w:rsidR="00FC3063" w:rsidRPr="008418D4" w:rsidRDefault="00FC3063" w:rsidP="000A44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50CC496D" w14:textId="48247496" w:rsidR="00C411D8" w:rsidRPr="008418D4" w:rsidRDefault="008A2242" w:rsidP="00C04D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8418D4">
        <w:rPr>
          <w:rFonts w:ascii="Cambria" w:hAnsi="Cambria"/>
          <w:sz w:val="20"/>
          <w:szCs w:val="20"/>
        </w:rPr>
        <w:t>Los peticionarios presentan como presuntas víctimas</w:t>
      </w:r>
      <w:r w:rsidR="008B1F6F">
        <w:rPr>
          <w:rFonts w:ascii="Cambria" w:hAnsi="Cambria"/>
          <w:sz w:val="20"/>
          <w:szCs w:val="20"/>
        </w:rPr>
        <w:t xml:space="preserve"> </w:t>
      </w:r>
      <w:r w:rsidRPr="008418D4">
        <w:rPr>
          <w:rFonts w:ascii="Cambria" w:hAnsi="Cambria"/>
          <w:sz w:val="20"/>
          <w:szCs w:val="20"/>
        </w:rPr>
        <w:t xml:space="preserve">a Otoniel José Guevara Pérez, quien se desempeñaba como </w:t>
      </w:r>
      <w:r w:rsidRPr="008418D4">
        <w:rPr>
          <w:rFonts w:ascii="Cambria" w:hAnsi="Cambria"/>
          <w:sz w:val="20"/>
          <w:szCs w:val="20"/>
          <w:lang w:val="es-AR"/>
        </w:rPr>
        <w:t>Director de Secretaría de la Dirección de los Servicios de Inteligencia y Prevención (</w:t>
      </w:r>
      <w:r w:rsidR="00DF4FAA" w:rsidRPr="008418D4">
        <w:rPr>
          <w:rFonts w:ascii="Cambria" w:hAnsi="Cambria"/>
          <w:sz w:val="20"/>
          <w:szCs w:val="20"/>
          <w:lang w:val="es-AR"/>
        </w:rPr>
        <w:t>en adelante, “</w:t>
      </w:r>
      <w:r w:rsidRPr="008418D4">
        <w:rPr>
          <w:rFonts w:ascii="Cambria" w:hAnsi="Cambria"/>
          <w:sz w:val="20"/>
          <w:szCs w:val="20"/>
          <w:lang w:val="es-AR"/>
        </w:rPr>
        <w:t>DISIP</w:t>
      </w:r>
      <w:r w:rsidR="00DF4FAA" w:rsidRPr="008418D4">
        <w:rPr>
          <w:rFonts w:ascii="Cambria" w:hAnsi="Cambria"/>
          <w:sz w:val="20"/>
          <w:szCs w:val="20"/>
          <w:lang w:val="es-AR"/>
        </w:rPr>
        <w:t>”</w:t>
      </w:r>
      <w:r w:rsidRPr="008418D4">
        <w:rPr>
          <w:rFonts w:ascii="Cambria" w:hAnsi="Cambria"/>
          <w:sz w:val="20"/>
          <w:szCs w:val="20"/>
          <w:lang w:val="es-AR"/>
        </w:rPr>
        <w:t xml:space="preserve">); </w:t>
      </w:r>
      <w:r w:rsidR="00913E59">
        <w:rPr>
          <w:rFonts w:ascii="Cambria" w:hAnsi="Cambria"/>
          <w:sz w:val="20"/>
          <w:szCs w:val="20"/>
          <w:lang w:val="es-AR"/>
        </w:rPr>
        <w:t xml:space="preserve">a </w:t>
      </w:r>
      <w:r w:rsidR="00422FDD" w:rsidRPr="008418D4">
        <w:rPr>
          <w:rFonts w:ascii="Cambria" w:hAnsi="Cambria"/>
          <w:sz w:val="20"/>
          <w:szCs w:val="20"/>
        </w:rPr>
        <w:t xml:space="preserve">Rolando Jesús Guevara Pérez, hermano de </w:t>
      </w:r>
      <w:r w:rsidR="007C6977">
        <w:rPr>
          <w:rFonts w:ascii="Cambria" w:hAnsi="Cambria"/>
          <w:sz w:val="20"/>
          <w:szCs w:val="20"/>
        </w:rPr>
        <w:t>aquel</w:t>
      </w:r>
      <w:r w:rsidR="00913E59">
        <w:rPr>
          <w:rFonts w:ascii="Cambria" w:hAnsi="Cambria"/>
          <w:sz w:val="20"/>
          <w:szCs w:val="20"/>
        </w:rPr>
        <w:t>,</w:t>
      </w:r>
      <w:r w:rsidR="00422FDD" w:rsidRPr="008418D4">
        <w:rPr>
          <w:rFonts w:ascii="Cambria" w:hAnsi="Cambria"/>
          <w:sz w:val="20"/>
          <w:szCs w:val="20"/>
        </w:rPr>
        <w:t xml:space="preserve"> y </w:t>
      </w:r>
      <w:r w:rsidR="00D26983" w:rsidRPr="008418D4">
        <w:rPr>
          <w:rFonts w:ascii="Cambria" w:hAnsi="Cambria"/>
          <w:sz w:val="20"/>
          <w:szCs w:val="20"/>
        </w:rPr>
        <w:t>quien</w:t>
      </w:r>
      <w:r w:rsidR="00422FDD" w:rsidRPr="008418D4">
        <w:rPr>
          <w:rFonts w:ascii="Cambria" w:hAnsi="Cambria"/>
          <w:sz w:val="20"/>
          <w:szCs w:val="20"/>
        </w:rPr>
        <w:t xml:space="preserve"> para el momento de los hechos se encontraba </w:t>
      </w:r>
      <w:r w:rsidR="00422FDD" w:rsidRPr="008418D4">
        <w:rPr>
          <w:rFonts w:ascii="Cambria" w:hAnsi="Cambria"/>
          <w:sz w:val="20"/>
          <w:szCs w:val="20"/>
          <w:lang w:val="es-AR"/>
        </w:rPr>
        <w:t>jubilado de su cargo de Jefe de la División contra Homicidios del Cuerpo</w:t>
      </w:r>
      <w:r w:rsidR="007C6977">
        <w:rPr>
          <w:rFonts w:ascii="Cambria" w:hAnsi="Cambria"/>
          <w:sz w:val="20"/>
          <w:szCs w:val="20"/>
          <w:lang w:val="es-AR"/>
        </w:rPr>
        <w:t xml:space="preserve"> T</w:t>
      </w:r>
      <w:r w:rsidR="00913E59">
        <w:rPr>
          <w:rFonts w:ascii="Cambria" w:hAnsi="Cambria"/>
          <w:sz w:val="20"/>
          <w:szCs w:val="20"/>
          <w:lang w:val="es-AR"/>
        </w:rPr>
        <w:t>écnico de la Policía Judicial;</w:t>
      </w:r>
      <w:r w:rsidR="00422FDD" w:rsidRPr="008418D4">
        <w:rPr>
          <w:rFonts w:ascii="Cambria" w:hAnsi="Cambria"/>
          <w:sz w:val="20"/>
          <w:szCs w:val="20"/>
          <w:lang w:val="es-AR"/>
        </w:rPr>
        <w:t xml:space="preserve"> y</w:t>
      </w:r>
      <w:r w:rsidR="00422FDD" w:rsidRPr="008418D4">
        <w:rPr>
          <w:rFonts w:ascii="Cambria" w:hAnsi="Cambria"/>
          <w:sz w:val="20"/>
          <w:szCs w:val="20"/>
        </w:rPr>
        <w:t xml:space="preserve"> </w:t>
      </w:r>
      <w:r w:rsidRPr="008418D4">
        <w:rPr>
          <w:rFonts w:ascii="Cambria" w:hAnsi="Cambria"/>
          <w:sz w:val="20"/>
          <w:szCs w:val="20"/>
        </w:rPr>
        <w:t xml:space="preserve">Juan Bautista Guevara Rodríguez, </w:t>
      </w:r>
      <w:r w:rsidR="00422FDD" w:rsidRPr="008418D4">
        <w:rPr>
          <w:rFonts w:ascii="Cambria" w:hAnsi="Cambria"/>
          <w:sz w:val="20"/>
          <w:szCs w:val="20"/>
        </w:rPr>
        <w:t>primo de Otoniel José y Rolando Jesús</w:t>
      </w:r>
      <w:r w:rsidR="00781037">
        <w:rPr>
          <w:rFonts w:ascii="Cambria" w:hAnsi="Cambria"/>
          <w:sz w:val="20"/>
          <w:szCs w:val="20"/>
        </w:rPr>
        <w:t>,</w:t>
      </w:r>
      <w:r w:rsidR="00422FDD" w:rsidRPr="008418D4">
        <w:rPr>
          <w:rFonts w:ascii="Cambria" w:hAnsi="Cambria"/>
          <w:sz w:val="20"/>
          <w:szCs w:val="20"/>
        </w:rPr>
        <w:t xml:space="preserve"> y </w:t>
      </w:r>
      <w:r w:rsidRPr="008418D4">
        <w:rPr>
          <w:rFonts w:ascii="Cambria" w:hAnsi="Cambria"/>
          <w:sz w:val="20"/>
          <w:szCs w:val="20"/>
        </w:rPr>
        <w:t xml:space="preserve">quien al momento de los hechos se desempeñaba como </w:t>
      </w:r>
      <w:r w:rsidRPr="008418D4">
        <w:rPr>
          <w:rFonts w:ascii="Cambria" w:hAnsi="Cambria"/>
          <w:sz w:val="20"/>
          <w:szCs w:val="20"/>
          <w:lang w:val="es-AR"/>
        </w:rPr>
        <w:t>Inspector del Cuerpo de Investigaciones Científicas Penales y Criminalísticas</w:t>
      </w:r>
      <w:r w:rsidR="00422FDD" w:rsidRPr="008418D4">
        <w:rPr>
          <w:rFonts w:ascii="Cambria" w:hAnsi="Cambria"/>
          <w:sz w:val="20"/>
          <w:szCs w:val="20"/>
          <w:lang w:val="es-AR"/>
        </w:rPr>
        <w:t xml:space="preserve">. Los hechos </w:t>
      </w:r>
      <w:r w:rsidR="007C6977">
        <w:rPr>
          <w:rFonts w:ascii="Cambria" w:hAnsi="Cambria"/>
          <w:sz w:val="20"/>
          <w:szCs w:val="20"/>
          <w:lang w:val="es-AR"/>
        </w:rPr>
        <w:t>planteados en</w:t>
      </w:r>
      <w:r w:rsidR="00781037">
        <w:rPr>
          <w:rFonts w:ascii="Cambria" w:hAnsi="Cambria"/>
          <w:sz w:val="20"/>
          <w:szCs w:val="20"/>
          <w:lang w:val="es-AR"/>
        </w:rPr>
        <w:t xml:space="preserve"> la </w:t>
      </w:r>
      <w:r w:rsidR="00422FDD" w:rsidRPr="008418D4">
        <w:rPr>
          <w:rFonts w:ascii="Cambria" w:hAnsi="Cambria"/>
          <w:sz w:val="20"/>
          <w:szCs w:val="20"/>
          <w:lang w:val="es-AR"/>
        </w:rPr>
        <w:t xml:space="preserve">presente petición habrían tenido lugar </w:t>
      </w:r>
      <w:r w:rsidR="00007E5A" w:rsidRPr="008418D4">
        <w:rPr>
          <w:rFonts w:ascii="Cambria" w:hAnsi="Cambria"/>
          <w:sz w:val="20"/>
          <w:szCs w:val="20"/>
          <w:lang w:val="es-AR"/>
        </w:rPr>
        <w:t xml:space="preserve">durante los días posteriores al asesinato del fiscal </w:t>
      </w:r>
      <w:r w:rsidR="00695971" w:rsidRPr="008418D4">
        <w:rPr>
          <w:rFonts w:ascii="Cambria" w:hAnsi="Cambria"/>
          <w:sz w:val="20"/>
          <w:szCs w:val="20"/>
          <w:lang w:val="es-AR"/>
        </w:rPr>
        <w:t>Danilo Baltasar</w:t>
      </w:r>
      <w:r w:rsidR="00007E5A" w:rsidRPr="008418D4">
        <w:rPr>
          <w:rFonts w:ascii="Cambria" w:hAnsi="Cambria"/>
          <w:sz w:val="20"/>
          <w:szCs w:val="20"/>
          <w:lang w:val="es-AR"/>
        </w:rPr>
        <w:t xml:space="preserve"> Anderson </w:t>
      </w:r>
      <w:r w:rsidR="0087430B" w:rsidRPr="008418D4">
        <w:rPr>
          <w:rFonts w:ascii="Cambria" w:hAnsi="Cambria"/>
          <w:sz w:val="20"/>
          <w:szCs w:val="20"/>
          <w:lang w:val="es-AR"/>
        </w:rPr>
        <w:t>—</w:t>
      </w:r>
      <w:r w:rsidR="0087430B" w:rsidRPr="008418D4">
        <w:rPr>
          <w:rFonts w:ascii="Cambria" w:hAnsi="Cambria"/>
          <w:sz w:val="20"/>
          <w:szCs w:val="20"/>
        </w:rPr>
        <w:t>ocurrido el 18 de noviembre de 2004 en la ciudad de Caracas—</w:t>
      </w:r>
      <w:r w:rsidR="0087430B" w:rsidRPr="008418D4">
        <w:rPr>
          <w:rFonts w:ascii="Cambria" w:hAnsi="Cambria"/>
          <w:sz w:val="20"/>
          <w:szCs w:val="20"/>
          <w:lang w:val="es-AR"/>
        </w:rPr>
        <w:t xml:space="preserve"> </w:t>
      </w:r>
      <w:r w:rsidR="00007E5A" w:rsidRPr="008418D4">
        <w:rPr>
          <w:rFonts w:ascii="Cambria" w:hAnsi="Cambria"/>
          <w:sz w:val="20"/>
          <w:szCs w:val="20"/>
          <w:lang w:val="es-AR"/>
        </w:rPr>
        <w:t xml:space="preserve">y en el marco </w:t>
      </w:r>
      <w:r w:rsidR="0087430B" w:rsidRPr="008418D4">
        <w:rPr>
          <w:rFonts w:ascii="Cambria" w:hAnsi="Cambria"/>
          <w:sz w:val="20"/>
          <w:szCs w:val="20"/>
          <w:lang w:val="es-AR"/>
        </w:rPr>
        <w:t xml:space="preserve">de </w:t>
      </w:r>
      <w:r w:rsidR="00007E5A" w:rsidRPr="008418D4">
        <w:rPr>
          <w:rFonts w:ascii="Cambria" w:hAnsi="Cambria"/>
          <w:sz w:val="20"/>
          <w:szCs w:val="20"/>
          <w:lang w:val="es-AR"/>
        </w:rPr>
        <w:t xml:space="preserve">los procesos que se habrían </w:t>
      </w:r>
      <w:r w:rsidR="00BD078A" w:rsidRPr="008418D4">
        <w:rPr>
          <w:rFonts w:ascii="Cambria" w:hAnsi="Cambria"/>
          <w:sz w:val="20"/>
          <w:szCs w:val="20"/>
          <w:lang w:val="es-AR"/>
        </w:rPr>
        <w:t>sustanciado</w:t>
      </w:r>
      <w:r w:rsidR="00007E5A" w:rsidRPr="008418D4">
        <w:rPr>
          <w:rFonts w:ascii="Cambria" w:hAnsi="Cambria"/>
          <w:sz w:val="20"/>
          <w:szCs w:val="20"/>
          <w:lang w:val="es-AR"/>
        </w:rPr>
        <w:t xml:space="preserve"> como consecuencia de dicho </w:t>
      </w:r>
      <w:r w:rsidR="00BD078A" w:rsidRPr="008418D4">
        <w:rPr>
          <w:rFonts w:ascii="Cambria" w:hAnsi="Cambria"/>
          <w:sz w:val="20"/>
          <w:szCs w:val="20"/>
          <w:lang w:val="es-AR"/>
        </w:rPr>
        <w:t>asesinato</w:t>
      </w:r>
      <w:r w:rsidR="00007E5A" w:rsidRPr="008418D4">
        <w:rPr>
          <w:rFonts w:ascii="Cambria" w:hAnsi="Cambria"/>
          <w:sz w:val="20"/>
          <w:szCs w:val="20"/>
          <w:lang w:val="es-AR"/>
        </w:rPr>
        <w:t>.</w:t>
      </w:r>
      <w:r w:rsidR="00CF4C42" w:rsidRPr="008418D4">
        <w:rPr>
          <w:rFonts w:ascii="Cambria" w:hAnsi="Cambria"/>
          <w:sz w:val="20"/>
          <w:szCs w:val="20"/>
          <w:lang w:val="es-AR"/>
        </w:rPr>
        <w:t xml:space="preserve"> A lo largo de su petición</w:t>
      </w:r>
      <w:r w:rsidR="00EC014F" w:rsidRPr="008418D4">
        <w:rPr>
          <w:rFonts w:ascii="Cambria" w:hAnsi="Cambria"/>
          <w:sz w:val="20"/>
          <w:szCs w:val="20"/>
          <w:lang w:val="es-AR"/>
        </w:rPr>
        <w:t xml:space="preserve"> y </w:t>
      </w:r>
      <w:r w:rsidR="00BD078A" w:rsidRPr="008418D4">
        <w:rPr>
          <w:rFonts w:ascii="Cambria" w:hAnsi="Cambria"/>
          <w:sz w:val="20"/>
          <w:szCs w:val="20"/>
          <w:lang w:val="es-AR"/>
        </w:rPr>
        <w:t xml:space="preserve">en </w:t>
      </w:r>
      <w:r w:rsidR="00EC014F" w:rsidRPr="008418D4">
        <w:rPr>
          <w:rFonts w:ascii="Cambria" w:hAnsi="Cambria"/>
          <w:sz w:val="20"/>
          <w:szCs w:val="20"/>
          <w:lang w:val="es-AR"/>
        </w:rPr>
        <w:t>sus comunicaciones subsiguientes</w:t>
      </w:r>
      <w:r w:rsidR="00CF4C42" w:rsidRPr="008418D4">
        <w:rPr>
          <w:rFonts w:ascii="Cambria" w:hAnsi="Cambria"/>
          <w:sz w:val="20"/>
          <w:szCs w:val="20"/>
          <w:lang w:val="es-AR"/>
        </w:rPr>
        <w:t xml:space="preserve">, los peticionarios </w:t>
      </w:r>
      <w:r w:rsidR="00B34055">
        <w:rPr>
          <w:rFonts w:ascii="Cambria" w:hAnsi="Cambria"/>
          <w:sz w:val="20"/>
          <w:szCs w:val="20"/>
          <w:lang w:val="es-AR"/>
        </w:rPr>
        <w:t>alegaron</w:t>
      </w:r>
      <w:r w:rsidR="00CF4C42" w:rsidRPr="008418D4">
        <w:rPr>
          <w:rFonts w:ascii="Cambria" w:hAnsi="Cambria"/>
          <w:sz w:val="20"/>
          <w:szCs w:val="20"/>
          <w:lang w:val="es-AR"/>
        </w:rPr>
        <w:t xml:space="preserve"> que las presuntas víctimas </w:t>
      </w:r>
      <w:r w:rsidR="00EC014F" w:rsidRPr="008418D4">
        <w:rPr>
          <w:rFonts w:ascii="Cambria" w:hAnsi="Cambria"/>
          <w:sz w:val="20"/>
          <w:szCs w:val="20"/>
          <w:lang w:val="es-AR"/>
        </w:rPr>
        <w:t xml:space="preserve">eran inocentes, que no existían pruebas </w:t>
      </w:r>
      <w:r w:rsidR="00DF4FAA" w:rsidRPr="008418D4">
        <w:rPr>
          <w:rFonts w:ascii="Cambria" w:hAnsi="Cambria"/>
          <w:sz w:val="20"/>
          <w:szCs w:val="20"/>
          <w:lang w:val="es-AR"/>
        </w:rPr>
        <w:t xml:space="preserve">fehacientes </w:t>
      </w:r>
      <w:r w:rsidR="00EC014F" w:rsidRPr="008418D4">
        <w:rPr>
          <w:rFonts w:ascii="Cambria" w:hAnsi="Cambria"/>
          <w:sz w:val="20"/>
          <w:szCs w:val="20"/>
          <w:lang w:val="es-AR"/>
        </w:rPr>
        <w:t>que l</w:t>
      </w:r>
      <w:r w:rsidR="00913E59">
        <w:rPr>
          <w:rFonts w:ascii="Cambria" w:hAnsi="Cambria"/>
          <w:sz w:val="20"/>
          <w:szCs w:val="20"/>
          <w:lang w:val="es-AR"/>
        </w:rPr>
        <w:t>e</w:t>
      </w:r>
      <w:r w:rsidR="00EC014F" w:rsidRPr="008418D4">
        <w:rPr>
          <w:rFonts w:ascii="Cambria" w:hAnsi="Cambria"/>
          <w:sz w:val="20"/>
          <w:szCs w:val="20"/>
          <w:lang w:val="es-AR"/>
        </w:rPr>
        <w:t xml:space="preserve">s </w:t>
      </w:r>
      <w:r w:rsidR="005427CD">
        <w:rPr>
          <w:rFonts w:ascii="Cambria" w:hAnsi="Cambria"/>
          <w:sz w:val="20"/>
          <w:szCs w:val="20"/>
          <w:lang w:val="es-AR"/>
        </w:rPr>
        <w:t>vincularan</w:t>
      </w:r>
      <w:r w:rsidR="00EC014F" w:rsidRPr="008418D4">
        <w:rPr>
          <w:rFonts w:ascii="Cambria" w:hAnsi="Cambria"/>
          <w:sz w:val="20"/>
          <w:szCs w:val="20"/>
          <w:lang w:val="es-AR"/>
        </w:rPr>
        <w:t xml:space="preserve"> con </w:t>
      </w:r>
      <w:r w:rsidR="00BD078A" w:rsidRPr="008418D4">
        <w:rPr>
          <w:rFonts w:ascii="Cambria" w:hAnsi="Cambria"/>
          <w:sz w:val="20"/>
          <w:szCs w:val="20"/>
          <w:lang w:val="es-AR"/>
        </w:rPr>
        <w:t>el</w:t>
      </w:r>
      <w:r w:rsidR="00EC014F" w:rsidRPr="008418D4">
        <w:rPr>
          <w:rFonts w:ascii="Cambria" w:hAnsi="Cambria"/>
          <w:sz w:val="20"/>
          <w:szCs w:val="20"/>
          <w:lang w:val="es-AR"/>
        </w:rPr>
        <w:t xml:space="preserve"> asesinato</w:t>
      </w:r>
      <w:r w:rsidR="007C6977">
        <w:rPr>
          <w:rFonts w:ascii="Cambria" w:hAnsi="Cambria"/>
          <w:sz w:val="20"/>
          <w:szCs w:val="20"/>
          <w:lang w:val="es-AR"/>
        </w:rPr>
        <w:t>,</w:t>
      </w:r>
      <w:r w:rsidR="00BD078A" w:rsidRPr="008418D4">
        <w:rPr>
          <w:rFonts w:ascii="Cambria" w:hAnsi="Cambria"/>
          <w:sz w:val="20"/>
          <w:szCs w:val="20"/>
          <w:lang w:val="es-AR"/>
        </w:rPr>
        <w:t xml:space="preserve"> </w:t>
      </w:r>
      <w:r w:rsidR="00EC014F" w:rsidRPr="008418D4">
        <w:rPr>
          <w:rFonts w:ascii="Cambria" w:hAnsi="Cambria"/>
          <w:sz w:val="20"/>
          <w:szCs w:val="20"/>
          <w:lang w:val="es-AR"/>
        </w:rPr>
        <w:t xml:space="preserve">y que, consecuentemente, habrían sido injustamente condenados. </w:t>
      </w:r>
    </w:p>
    <w:p w14:paraId="2BA27A33" w14:textId="77777777" w:rsidR="0087430B" w:rsidRPr="008418D4" w:rsidRDefault="0087430B" w:rsidP="0087430B">
      <w:pPr>
        <w:pStyle w:val="ListParagraph"/>
        <w:rPr>
          <w:sz w:val="20"/>
          <w:szCs w:val="20"/>
          <w:lang w:val="es-ES_tradnl"/>
        </w:rPr>
      </w:pPr>
    </w:p>
    <w:p w14:paraId="5A74C026" w14:textId="55E2451F" w:rsidR="0086759C" w:rsidRPr="00E336C0" w:rsidRDefault="00DF4FAA" w:rsidP="00DF4FAA">
      <w:pPr>
        <w:pStyle w:val="ListParagraph"/>
        <w:ind w:left="1440" w:hanging="720"/>
        <w:rPr>
          <w:i/>
          <w:sz w:val="20"/>
          <w:szCs w:val="20"/>
          <w:lang w:val="es-AR"/>
        </w:rPr>
      </w:pPr>
      <w:r w:rsidRPr="008418D4">
        <w:rPr>
          <w:sz w:val="20"/>
          <w:szCs w:val="20"/>
          <w:lang w:val="es-AR"/>
        </w:rPr>
        <w:t>a.</w:t>
      </w:r>
      <w:r w:rsidRPr="008418D4">
        <w:rPr>
          <w:i/>
          <w:sz w:val="20"/>
          <w:szCs w:val="20"/>
          <w:lang w:val="es-AR"/>
        </w:rPr>
        <w:t xml:space="preserve"> </w:t>
      </w:r>
      <w:r w:rsidRPr="008418D4">
        <w:rPr>
          <w:i/>
          <w:sz w:val="20"/>
          <w:szCs w:val="20"/>
          <w:lang w:val="es-AR"/>
        </w:rPr>
        <w:tab/>
      </w:r>
      <w:r w:rsidR="0086759C" w:rsidRPr="008418D4">
        <w:rPr>
          <w:i/>
          <w:sz w:val="20"/>
          <w:szCs w:val="20"/>
          <w:lang w:val="es-AR"/>
        </w:rPr>
        <w:t>Alegada</w:t>
      </w:r>
      <w:r w:rsidR="0086759C" w:rsidRPr="00DF4FAA">
        <w:rPr>
          <w:i/>
          <w:sz w:val="20"/>
          <w:szCs w:val="20"/>
          <w:lang w:val="es-AR"/>
        </w:rPr>
        <w:t xml:space="preserve"> detención y tortura de las presuntas víctimas</w:t>
      </w:r>
    </w:p>
    <w:p w14:paraId="0BC3327E" w14:textId="77777777" w:rsidR="0086759C" w:rsidRPr="0087430B" w:rsidRDefault="0086759C" w:rsidP="0087430B">
      <w:pPr>
        <w:pStyle w:val="ListParagraph"/>
        <w:rPr>
          <w:sz w:val="20"/>
          <w:szCs w:val="20"/>
          <w:highlight w:val="yellow"/>
          <w:lang w:val="es-ES_tradnl"/>
        </w:rPr>
      </w:pPr>
    </w:p>
    <w:p w14:paraId="2DD4314D" w14:textId="13E698F4" w:rsidR="008F2353" w:rsidRDefault="00B640EB" w:rsidP="00C04D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FE5476">
        <w:rPr>
          <w:rFonts w:ascii="Cambria" w:hAnsi="Cambria"/>
          <w:sz w:val="20"/>
          <w:szCs w:val="20"/>
        </w:rPr>
        <w:t xml:space="preserve">Los peticionarios </w:t>
      </w:r>
      <w:r w:rsidR="007C6977">
        <w:rPr>
          <w:rFonts w:ascii="Cambria" w:hAnsi="Cambria"/>
          <w:sz w:val="20"/>
          <w:szCs w:val="20"/>
        </w:rPr>
        <w:t>alegan</w:t>
      </w:r>
      <w:r w:rsidRPr="00FE5476">
        <w:rPr>
          <w:rFonts w:ascii="Cambria" w:hAnsi="Cambria"/>
          <w:sz w:val="20"/>
          <w:szCs w:val="20"/>
        </w:rPr>
        <w:t xml:space="preserve"> que Juan Bautista Guevara Rodríguez</w:t>
      </w:r>
      <w:r w:rsidR="000A449B" w:rsidRPr="00FE5476">
        <w:rPr>
          <w:rFonts w:ascii="Cambria" w:hAnsi="Cambria"/>
          <w:sz w:val="20"/>
          <w:szCs w:val="20"/>
        </w:rPr>
        <w:t xml:space="preserve"> </w:t>
      </w:r>
      <w:r w:rsidRPr="00FE5476">
        <w:rPr>
          <w:rFonts w:ascii="Cambria" w:hAnsi="Cambria"/>
          <w:sz w:val="20"/>
          <w:szCs w:val="20"/>
        </w:rPr>
        <w:t xml:space="preserve">habría sido detenido el 20 de noviembre de 2004 por funcionarios policiales y </w:t>
      </w:r>
      <w:r w:rsidR="00AA3575" w:rsidRPr="00FE5476">
        <w:rPr>
          <w:rFonts w:ascii="Cambria" w:hAnsi="Cambria"/>
          <w:sz w:val="20"/>
          <w:szCs w:val="20"/>
        </w:rPr>
        <w:t xml:space="preserve">seguidamente trasladado </w:t>
      </w:r>
      <w:r w:rsidR="00FA1384" w:rsidRPr="00FE5476">
        <w:rPr>
          <w:rFonts w:ascii="Cambria" w:hAnsi="Cambria"/>
          <w:sz w:val="20"/>
          <w:szCs w:val="20"/>
        </w:rPr>
        <w:t>—</w:t>
      </w:r>
      <w:r w:rsidRPr="00FE5476">
        <w:rPr>
          <w:rFonts w:ascii="Cambria" w:hAnsi="Cambria"/>
          <w:sz w:val="20"/>
          <w:szCs w:val="20"/>
        </w:rPr>
        <w:t>junto con su esposa</w:t>
      </w:r>
      <w:r w:rsidR="008C729E" w:rsidRPr="00FE5476">
        <w:rPr>
          <w:rFonts w:ascii="Cambria" w:hAnsi="Cambria"/>
          <w:sz w:val="20"/>
          <w:szCs w:val="20"/>
        </w:rPr>
        <w:t xml:space="preserve">, </w:t>
      </w:r>
      <w:r w:rsidR="00F16E29" w:rsidRPr="00FE5476">
        <w:rPr>
          <w:rFonts w:ascii="Cambria" w:hAnsi="Cambria"/>
          <w:sz w:val="20"/>
          <w:szCs w:val="20"/>
        </w:rPr>
        <w:t>Carmen Medina de Guevara</w:t>
      </w:r>
      <w:r w:rsidR="00FA1384" w:rsidRPr="00FE5476">
        <w:rPr>
          <w:rFonts w:ascii="Cambria" w:hAnsi="Cambria"/>
          <w:sz w:val="20"/>
          <w:szCs w:val="20"/>
        </w:rPr>
        <w:t>—</w:t>
      </w:r>
      <w:r w:rsidRPr="00FE5476">
        <w:rPr>
          <w:rFonts w:ascii="Cambria" w:hAnsi="Cambria"/>
          <w:sz w:val="20"/>
          <w:szCs w:val="20"/>
        </w:rPr>
        <w:t xml:space="preserve"> a un lugar </w:t>
      </w:r>
      <w:r w:rsidR="00F36DA3" w:rsidRPr="00FE5476">
        <w:rPr>
          <w:rFonts w:ascii="Cambria" w:hAnsi="Cambria"/>
          <w:sz w:val="20"/>
          <w:szCs w:val="20"/>
        </w:rPr>
        <w:t xml:space="preserve">que </w:t>
      </w:r>
      <w:r w:rsidR="00AA3575" w:rsidRPr="00FE5476">
        <w:rPr>
          <w:rFonts w:ascii="Cambria" w:hAnsi="Cambria"/>
          <w:sz w:val="20"/>
          <w:szCs w:val="20"/>
        </w:rPr>
        <w:t xml:space="preserve">no </w:t>
      </w:r>
      <w:r w:rsidR="00CB7EE3" w:rsidRPr="00FE5476">
        <w:rPr>
          <w:rFonts w:ascii="Cambria" w:hAnsi="Cambria"/>
          <w:sz w:val="20"/>
          <w:szCs w:val="20"/>
        </w:rPr>
        <w:t>habrían podido</w:t>
      </w:r>
      <w:r w:rsidR="00AA3575" w:rsidRPr="00FE5476">
        <w:rPr>
          <w:rFonts w:ascii="Cambria" w:hAnsi="Cambria"/>
          <w:sz w:val="20"/>
          <w:szCs w:val="20"/>
        </w:rPr>
        <w:t xml:space="preserve"> identificar</w:t>
      </w:r>
      <w:r w:rsidRPr="00FE5476">
        <w:rPr>
          <w:rFonts w:ascii="Cambria" w:hAnsi="Cambria"/>
          <w:sz w:val="20"/>
          <w:szCs w:val="20"/>
        </w:rPr>
        <w:t xml:space="preserve">. </w:t>
      </w:r>
      <w:r w:rsidR="007C6977">
        <w:rPr>
          <w:rFonts w:ascii="Cambria" w:hAnsi="Cambria"/>
          <w:sz w:val="20"/>
          <w:szCs w:val="20"/>
        </w:rPr>
        <w:t>En ese</w:t>
      </w:r>
      <w:r w:rsidR="00BB65FE">
        <w:rPr>
          <w:rFonts w:ascii="Cambria" w:hAnsi="Cambria"/>
          <w:sz w:val="20"/>
          <w:szCs w:val="20"/>
        </w:rPr>
        <w:t xml:space="preserve"> momento no habría</w:t>
      </w:r>
      <w:r w:rsidR="00913E59">
        <w:rPr>
          <w:rFonts w:ascii="Cambria" w:hAnsi="Cambria"/>
          <w:sz w:val="20"/>
          <w:szCs w:val="20"/>
        </w:rPr>
        <w:t>n</w:t>
      </w:r>
      <w:r w:rsidR="00BB65FE">
        <w:rPr>
          <w:rFonts w:ascii="Cambria" w:hAnsi="Cambria"/>
          <w:sz w:val="20"/>
          <w:szCs w:val="20"/>
        </w:rPr>
        <w:t xml:space="preserve"> sido informado</w:t>
      </w:r>
      <w:r w:rsidR="00913E59">
        <w:rPr>
          <w:rFonts w:ascii="Cambria" w:hAnsi="Cambria"/>
          <w:sz w:val="20"/>
          <w:szCs w:val="20"/>
        </w:rPr>
        <w:t>s</w:t>
      </w:r>
      <w:r w:rsidR="00BB65FE">
        <w:rPr>
          <w:rFonts w:ascii="Cambria" w:hAnsi="Cambria"/>
          <w:sz w:val="20"/>
          <w:szCs w:val="20"/>
        </w:rPr>
        <w:t xml:space="preserve"> de las razones </w:t>
      </w:r>
      <w:r w:rsidR="007C6977">
        <w:rPr>
          <w:rFonts w:ascii="Cambria" w:hAnsi="Cambria"/>
          <w:sz w:val="20"/>
          <w:szCs w:val="20"/>
        </w:rPr>
        <w:t xml:space="preserve">de su </w:t>
      </w:r>
      <w:r w:rsidR="007C6977" w:rsidRPr="00F812A2">
        <w:rPr>
          <w:rFonts w:ascii="Cambria" w:hAnsi="Cambria"/>
          <w:sz w:val="20"/>
          <w:szCs w:val="20"/>
        </w:rPr>
        <w:t>detención</w:t>
      </w:r>
      <w:r w:rsidR="00BB65FE">
        <w:rPr>
          <w:rFonts w:ascii="Cambria" w:hAnsi="Cambria"/>
          <w:sz w:val="20"/>
          <w:szCs w:val="20"/>
        </w:rPr>
        <w:t xml:space="preserve">. </w:t>
      </w:r>
      <w:r w:rsidR="008C729E" w:rsidRPr="00FE5476">
        <w:rPr>
          <w:rFonts w:ascii="Cambria" w:hAnsi="Cambria"/>
          <w:sz w:val="20"/>
          <w:szCs w:val="20"/>
        </w:rPr>
        <w:t xml:space="preserve">Horas más tarde, su esposa </w:t>
      </w:r>
      <w:r w:rsidR="00F36DA3" w:rsidRPr="00FE5476">
        <w:rPr>
          <w:rFonts w:ascii="Cambria" w:hAnsi="Cambria"/>
          <w:sz w:val="20"/>
          <w:szCs w:val="20"/>
        </w:rPr>
        <w:t xml:space="preserve">habría sido liberada y </w:t>
      </w:r>
      <w:r w:rsidRPr="00FE5476">
        <w:rPr>
          <w:rFonts w:ascii="Cambria" w:hAnsi="Cambria"/>
          <w:sz w:val="20"/>
          <w:szCs w:val="20"/>
        </w:rPr>
        <w:t>habría denunciado la detención de su esposo ante la Fiscalía General</w:t>
      </w:r>
      <w:r w:rsidR="00F16E29" w:rsidRPr="00FE5476">
        <w:rPr>
          <w:rFonts w:ascii="Cambria" w:hAnsi="Cambria"/>
          <w:sz w:val="20"/>
          <w:szCs w:val="20"/>
        </w:rPr>
        <w:t xml:space="preserve"> de la República y </w:t>
      </w:r>
      <w:r w:rsidR="00F16E29" w:rsidRPr="00DF4FAA">
        <w:rPr>
          <w:rFonts w:ascii="Cambria" w:hAnsi="Cambria"/>
          <w:sz w:val="20"/>
          <w:szCs w:val="20"/>
        </w:rPr>
        <w:t xml:space="preserve">ante </w:t>
      </w:r>
      <w:r w:rsidR="00BB65FE" w:rsidRPr="00DF4FAA">
        <w:rPr>
          <w:rFonts w:ascii="Cambria" w:hAnsi="Cambria"/>
          <w:sz w:val="20"/>
          <w:szCs w:val="20"/>
        </w:rPr>
        <w:t>la F</w:t>
      </w:r>
      <w:r w:rsidR="00F16E29" w:rsidRPr="00DF4FAA">
        <w:rPr>
          <w:rFonts w:ascii="Cambria" w:hAnsi="Cambria"/>
          <w:sz w:val="20"/>
          <w:szCs w:val="20"/>
        </w:rPr>
        <w:t>iscal</w:t>
      </w:r>
      <w:r w:rsidR="00BB65FE" w:rsidRPr="00DF4FAA">
        <w:rPr>
          <w:rFonts w:ascii="Cambria" w:hAnsi="Cambria"/>
          <w:sz w:val="20"/>
          <w:szCs w:val="20"/>
        </w:rPr>
        <w:t>ía</w:t>
      </w:r>
      <w:r w:rsidR="00F16E29" w:rsidRPr="00DF4FAA">
        <w:rPr>
          <w:rFonts w:ascii="Cambria" w:hAnsi="Cambria"/>
          <w:sz w:val="20"/>
          <w:szCs w:val="20"/>
        </w:rPr>
        <w:t xml:space="preserve"> </w:t>
      </w:r>
      <w:r w:rsidR="001053EE" w:rsidRPr="00DF4FAA">
        <w:rPr>
          <w:rFonts w:ascii="Cambria" w:hAnsi="Cambria"/>
          <w:sz w:val="20"/>
          <w:szCs w:val="20"/>
        </w:rPr>
        <w:t>Centésimo Vigésimo Sexta</w:t>
      </w:r>
      <w:r w:rsidR="00FD7740" w:rsidRPr="00DF4FAA">
        <w:rPr>
          <w:rFonts w:ascii="Cambria" w:hAnsi="Cambria"/>
          <w:sz w:val="20"/>
          <w:szCs w:val="20"/>
        </w:rPr>
        <w:t xml:space="preserve"> del Área Metropolitana de Caracas</w:t>
      </w:r>
      <w:r w:rsidR="001053EE" w:rsidRPr="00DF4FAA">
        <w:rPr>
          <w:rFonts w:ascii="Cambria" w:hAnsi="Cambria"/>
          <w:sz w:val="20"/>
          <w:szCs w:val="20"/>
        </w:rPr>
        <w:t xml:space="preserve"> (en adelante, “Fiscalía 126°”)</w:t>
      </w:r>
      <w:r w:rsidRPr="00DF4FAA">
        <w:rPr>
          <w:rFonts w:ascii="Cambria" w:hAnsi="Cambria"/>
          <w:sz w:val="20"/>
          <w:szCs w:val="20"/>
        </w:rPr>
        <w:t xml:space="preserve">. </w:t>
      </w:r>
      <w:r w:rsidR="00FE5476" w:rsidRPr="00DF4FAA">
        <w:rPr>
          <w:rFonts w:ascii="Cambria" w:hAnsi="Cambria"/>
          <w:sz w:val="20"/>
          <w:szCs w:val="20"/>
        </w:rPr>
        <w:t>Los</w:t>
      </w:r>
      <w:r w:rsidR="00FE5476" w:rsidRPr="00FE5476">
        <w:rPr>
          <w:rFonts w:ascii="Cambria" w:hAnsi="Cambria"/>
          <w:sz w:val="20"/>
          <w:szCs w:val="20"/>
        </w:rPr>
        <w:t xml:space="preserve"> peticionarios alegan que durante </w:t>
      </w:r>
      <w:r w:rsidR="0097773A">
        <w:rPr>
          <w:rFonts w:ascii="Cambria" w:hAnsi="Cambria"/>
          <w:sz w:val="20"/>
          <w:szCs w:val="20"/>
        </w:rPr>
        <w:t xml:space="preserve">los </w:t>
      </w:r>
      <w:r w:rsidR="00BB65FE">
        <w:rPr>
          <w:rFonts w:ascii="Cambria" w:hAnsi="Cambria"/>
          <w:sz w:val="20"/>
          <w:szCs w:val="20"/>
        </w:rPr>
        <w:t>nueve</w:t>
      </w:r>
      <w:r w:rsidR="00FE5476" w:rsidRPr="00FE5476">
        <w:rPr>
          <w:rFonts w:ascii="Cambria" w:hAnsi="Cambria"/>
          <w:sz w:val="20"/>
          <w:szCs w:val="20"/>
        </w:rPr>
        <w:t xml:space="preserve"> días </w:t>
      </w:r>
      <w:r w:rsidR="0097773A">
        <w:rPr>
          <w:rFonts w:ascii="Cambria" w:hAnsi="Cambria"/>
          <w:sz w:val="20"/>
          <w:szCs w:val="20"/>
        </w:rPr>
        <w:t xml:space="preserve">que </w:t>
      </w:r>
      <w:r w:rsidR="00913E59" w:rsidRPr="00FE5476">
        <w:rPr>
          <w:rFonts w:ascii="Cambria" w:hAnsi="Cambria"/>
          <w:sz w:val="20"/>
          <w:szCs w:val="20"/>
        </w:rPr>
        <w:t xml:space="preserve">Juan Bautista Guevara Rodríguez </w:t>
      </w:r>
      <w:r w:rsidR="00B15323">
        <w:rPr>
          <w:rFonts w:ascii="Cambria" w:hAnsi="Cambria"/>
          <w:sz w:val="20"/>
          <w:szCs w:val="20"/>
        </w:rPr>
        <w:t>estuvo desaparecido fue</w:t>
      </w:r>
      <w:r w:rsidR="00FE5476" w:rsidRPr="00FE5476">
        <w:rPr>
          <w:rFonts w:ascii="Cambria" w:hAnsi="Cambria"/>
          <w:sz w:val="20"/>
          <w:szCs w:val="20"/>
        </w:rPr>
        <w:t xml:space="preserve"> sometido a </w:t>
      </w:r>
      <w:r w:rsidR="00B15323">
        <w:rPr>
          <w:rFonts w:ascii="Cambria" w:hAnsi="Cambria"/>
          <w:sz w:val="20"/>
          <w:szCs w:val="20"/>
        </w:rPr>
        <w:t>distintas formas</w:t>
      </w:r>
      <w:r w:rsidR="00FE5476" w:rsidRPr="00FE5476">
        <w:rPr>
          <w:rFonts w:ascii="Cambria" w:hAnsi="Cambria"/>
          <w:sz w:val="20"/>
          <w:szCs w:val="20"/>
        </w:rPr>
        <w:t xml:space="preserve"> de torturas. </w:t>
      </w:r>
      <w:r w:rsidR="00B15323">
        <w:rPr>
          <w:rFonts w:ascii="Cambria" w:hAnsi="Cambria"/>
          <w:sz w:val="20"/>
          <w:szCs w:val="20"/>
        </w:rPr>
        <w:t>Posteriormente</w:t>
      </w:r>
      <w:r w:rsidR="008C729E" w:rsidRPr="00FE5476">
        <w:rPr>
          <w:rFonts w:ascii="Cambria" w:hAnsi="Cambria"/>
          <w:sz w:val="20"/>
          <w:szCs w:val="20"/>
        </w:rPr>
        <w:t xml:space="preserve">, </w:t>
      </w:r>
      <w:r w:rsidR="00580423" w:rsidRPr="00FE5476">
        <w:rPr>
          <w:rFonts w:ascii="Cambria" w:hAnsi="Cambria"/>
          <w:sz w:val="20"/>
          <w:szCs w:val="20"/>
        </w:rPr>
        <w:t xml:space="preserve">el 29 de noviembre de 2004, </w:t>
      </w:r>
      <w:r w:rsidRPr="00FE5476">
        <w:rPr>
          <w:rFonts w:ascii="Cambria" w:hAnsi="Cambria"/>
          <w:sz w:val="20"/>
          <w:szCs w:val="20"/>
        </w:rPr>
        <w:t xml:space="preserve">habría sido </w:t>
      </w:r>
      <w:r w:rsidR="00A41B36">
        <w:rPr>
          <w:rFonts w:ascii="Cambria" w:hAnsi="Cambria"/>
          <w:sz w:val="20"/>
          <w:szCs w:val="20"/>
        </w:rPr>
        <w:t>“</w:t>
      </w:r>
      <w:r w:rsidRPr="00FE5476">
        <w:rPr>
          <w:rFonts w:ascii="Cambria" w:hAnsi="Cambria"/>
          <w:sz w:val="20"/>
          <w:szCs w:val="20"/>
        </w:rPr>
        <w:t>encontrado</w:t>
      </w:r>
      <w:r w:rsidR="00A41B36">
        <w:rPr>
          <w:rFonts w:ascii="Cambria" w:hAnsi="Cambria"/>
          <w:sz w:val="20"/>
          <w:szCs w:val="20"/>
        </w:rPr>
        <w:t>”</w:t>
      </w:r>
      <w:r w:rsidRPr="00FE5476">
        <w:rPr>
          <w:rFonts w:ascii="Cambria" w:hAnsi="Cambria"/>
          <w:sz w:val="20"/>
          <w:szCs w:val="20"/>
        </w:rPr>
        <w:t xml:space="preserve"> en un hotel </w:t>
      </w:r>
      <w:r w:rsidR="008C729E" w:rsidRPr="00FE5476">
        <w:rPr>
          <w:rFonts w:ascii="Cambria" w:hAnsi="Cambria"/>
          <w:sz w:val="20"/>
          <w:szCs w:val="20"/>
        </w:rPr>
        <w:t xml:space="preserve">en el </w:t>
      </w:r>
      <w:r w:rsidRPr="00FE5476">
        <w:rPr>
          <w:rFonts w:ascii="Cambria" w:hAnsi="Cambria"/>
          <w:sz w:val="20"/>
          <w:szCs w:val="20"/>
        </w:rPr>
        <w:t>Estado de Portuguesa</w:t>
      </w:r>
      <w:r w:rsidR="00A41B36">
        <w:rPr>
          <w:rFonts w:ascii="Cambria" w:hAnsi="Cambria"/>
          <w:sz w:val="20"/>
          <w:szCs w:val="20"/>
        </w:rPr>
        <w:t xml:space="preserve"> por </w:t>
      </w:r>
      <w:r w:rsidR="00B15323">
        <w:rPr>
          <w:rFonts w:ascii="Cambria" w:hAnsi="Cambria"/>
          <w:sz w:val="20"/>
          <w:szCs w:val="20"/>
        </w:rPr>
        <w:t xml:space="preserve">agentes </w:t>
      </w:r>
      <w:r w:rsidR="00A41B36">
        <w:rPr>
          <w:rFonts w:ascii="Cambria" w:hAnsi="Cambria"/>
          <w:sz w:val="20"/>
          <w:szCs w:val="20"/>
        </w:rPr>
        <w:t xml:space="preserve">de la DISIP. </w:t>
      </w:r>
    </w:p>
    <w:p w14:paraId="26C83CBE" w14:textId="77777777" w:rsidR="00FE5476" w:rsidRPr="00FE5476" w:rsidRDefault="00FE5476" w:rsidP="00FE547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42CC655E" w14:textId="65253CEF" w:rsidR="00CC04BC" w:rsidRPr="00CC04BC" w:rsidRDefault="0087430B" w:rsidP="0043442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CC04BC">
        <w:rPr>
          <w:rFonts w:ascii="Cambria" w:hAnsi="Cambria"/>
          <w:sz w:val="20"/>
          <w:szCs w:val="20"/>
        </w:rPr>
        <w:t>Asimismo</w:t>
      </w:r>
      <w:r w:rsidR="00AA3575" w:rsidRPr="00CC04BC">
        <w:rPr>
          <w:rFonts w:ascii="Cambria" w:hAnsi="Cambria"/>
          <w:sz w:val="20"/>
          <w:szCs w:val="20"/>
        </w:rPr>
        <w:t xml:space="preserve">, </w:t>
      </w:r>
      <w:r w:rsidR="00006628" w:rsidRPr="00CC04BC">
        <w:rPr>
          <w:rFonts w:ascii="Cambria" w:hAnsi="Cambria"/>
          <w:sz w:val="20"/>
          <w:szCs w:val="20"/>
        </w:rPr>
        <w:t>los peticionarios señalan que</w:t>
      </w:r>
      <w:r w:rsidR="00654B4C">
        <w:rPr>
          <w:rFonts w:ascii="Cambria" w:hAnsi="Cambria"/>
          <w:sz w:val="20"/>
          <w:szCs w:val="20"/>
        </w:rPr>
        <w:t xml:space="preserve"> el 23 de noviembre de 2004</w:t>
      </w:r>
      <w:r w:rsidR="00864DF1" w:rsidRPr="00CC04BC">
        <w:rPr>
          <w:rFonts w:ascii="Cambria" w:hAnsi="Cambria"/>
          <w:sz w:val="20"/>
          <w:szCs w:val="20"/>
        </w:rPr>
        <w:t xml:space="preserve"> </w:t>
      </w:r>
      <w:r w:rsidR="00AA3575" w:rsidRPr="00CC04BC">
        <w:rPr>
          <w:rFonts w:ascii="Cambria" w:hAnsi="Cambria"/>
          <w:sz w:val="20"/>
          <w:szCs w:val="20"/>
        </w:rPr>
        <w:t xml:space="preserve">Otoniel José Guevara Pérez </w:t>
      </w:r>
      <w:r w:rsidR="00006628" w:rsidRPr="00CC04BC">
        <w:rPr>
          <w:rFonts w:ascii="Cambria" w:hAnsi="Cambria"/>
          <w:sz w:val="20"/>
          <w:szCs w:val="20"/>
        </w:rPr>
        <w:t xml:space="preserve">habría sido </w:t>
      </w:r>
      <w:r w:rsidR="00864DF1" w:rsidRPr="00CC04BC">
        <w:rPr>
          <w:rFonts w:ascii="Cambria" w:hAnsi="Cambria"/>
          <w:sz w:val="20"/>
          <w:szCs w:val="20"/>
        </w:rPr>
        <w:t xml:space="preserve">detenido por </w:t>
      </w:r>
      <w:r w:rsidR="00654B4C">
        <w:rPr>
          <w:rFonts w:ascii="Cambria" w:hAnsi="Cambria"/>
          <w:sz w:val="20"/>
          <w:szCs w:val="20"/>
        </w:rPr>
        <w:t>agentes</w:t>
      </w:r>
      <w:r w:rsidR="00864DF1" w:rsidRPr="00CC04BC">
        <w:rPr>
          <w:rFonts w:ascii="Cambria" w:hAnsi="Cambria"/>
          <w:sz w:val="20"/>
          <w:szCs w:val="20"/>
        </w:rPr>
        <w:t xml:space="preserve"> policiales al llegar a su trabajo</w:t>
      </w:r>
      <w:r w:rsidR="00654B4C">
        <w:rPr>
          <w:rFonts w:ascii="Cambria" w:hAnsi="Cambria"/>
          <w:sz w:val="20"/>
          <w:szCs w:val="20"/>
        </w:rPr>
        <w:t>,</w:t>
      </w:r>
      <w:r w:rsidR="00864DF1" w:rsidRPr="00CC04BC">
        <w:rPr>
          <w:rFonts w:ascii="Cambria" w:hAnsi="Cambria"/>
          <w:sz w:val="20"/>
          <w:szCs w:val="20"/>
        </w:rPr>
        <w:t xml:space="preserve"> en </w:t>
      </w:r>
      <w:r w:rsidR="00006628" w:rsidRPr="00CC04BC">
        <w:rPr>
          <w:rFonts w:ascii="Cambria" w:hAnsi="Cambria"/>
          <w:sz w:val="20"/>
          <w:szCs w:val="20"/>
        </w:rPr>
        <w:t xml:space="preserve">la ciudad de </w:t>
      </w:r>
      <w:r w:rsidR="00864DF1" w:rsidRPr="00CC04BC">
        <w:rPr>
          <w:rFonts w:ascii="Cambria" w:hAnsi="Cambria"/>
          <w:sz w:val="20"/>
          <w:szCs w:val="20"/>
        </w:rPr>
        <w:t>Caracas</w:t>
      </w:r>
      <w:r w:rsidR="00006628" w:rsidRPr="00CC04BC">
        <w:rPr>
          <w:rFonts w:ascii="Cambria" w:hAnsi="Cambria"/>
          <w:sz w:val="20"/>
          <w:szCs w:val="20"/>
        </w:rPr>
        <w:t xml:space="preserve">. Seguidamente, habría sido trasladado al </w:t>
      </w:r>
      <w:r w:rsidR="00864DF1" w:rsidRPr="00CC04BC">
        <w:rPr>
          <w:rFonts w:ascii="Cambria" w:hAnsi="Cambria"/>
          <w:sz w:val="20"/>
          <w:szCs w:val="20"/>
        </w:rPr>
        <w:t>Comando Regional N</w:t>
      </w:r>
      <w:r w:rsidR="00BE4454">
        <w:rPr>
          <w:rFonts w:ascii="Cambria" w:hAnsi="Cambria"/>
          <w:sz w:val="20"/>
          <w:szCs w:val="20"/>
        </w:rPr>
        <w:t>o.</w:t>
      </w:r>
      <w:r w:rsidR="00BB65FE">
        <w:rPr>
          <w:rFonts w:ascii="Cambria" w:hAnsi="Cambria"/>
          <w:sz w:val="20"/>
          <w:szCs w:val="20"/>
        </w:rPr>
        <w:t xml:space="preserve"> </w:t>
      </w:r>
      <w:r w:rsidR="00864DF1" w:rsidRPr="00CC04BC">
        <w:rPr>
          <w:rFonts w:ascii="Cambria" w:hAnsi="Cambria"/>
          <w:sz w:val="20"/>
          <w:szCs w:val="20"/>
        </w:rPr>
        <w:t>2 de la Guardia Nacional</w:t>
      </w:r>
      <w:r w:rsidR="00006628" w:rsidRPr="00CC04BC">
        <w:rPr>
          <w:rFonts w:ascii="Cambria" w:hAnsi="Cambria"/>
          <w:sz w:val="20"/>
          <w:szCs w:val="20"/>
        </w:rPr>
        <w:t>, donde</w:t>
      </w:r>
      <w:r w:rsidRPr="00CC04BC">
        <w:rPr>
          <w:rFonts w:ascii="Cambria" w:hAnsi="Cambria"/>
          <w:sz w:val="20"/>
          <w:szCs w:val="20"/>
        </w:rPr>
        <w:t>, según alegan,</w:t>
      </w:r>
      <w:r w:rsidR="00006628" w:rsidRPr="00CC04BC">
        <w:rPr>
          <w:rFonts w:ascii="Cambria" w:hAnsi="Cambria"/>
          <w:sz w:val="20"/>
          <w:szCs w:val="20"/>
        </w:rPr>
        <w:t xml:space="preserve"> habría </w:t>
      </w:r>
      <w:r w:rsidR="00654B4C">
        <w:rPr>
          <w:rFonts w:ascii="Cambria" w:hAnsi="Cambria"/>
          <w:sz w:val="20"/>
          <w:szCs w:val="20"/>
        </w:rPr>
        <w:t xml:space="preserve">sido </w:t>
      </w:r>
      <w:r w:rsidR="00006628" w:rsidRPr="00CC04BC">
        <w:rPr>
          <w:rFonts w:ascii="Cambria" w:hAnsi="Cambria"/>
          <w:sz w:val="20"/>
          <w:szCs w:val="20"/>
        </w:rPr>
        <w:t>sometido a torturas de distinto tipo</w:t>
      </w:r>
      <w:r w:rsidR="00177F90" w:rsidRPr="00CC04BC">
        <w:rPr>
          <w:rFonts w:ascii="Cambria" w:hAnsi="Cambria"/>
          <w:sz w:val="20"/>
          <w:szCs w:val="20"/>
        </w:rPr>
        <w:t xml:space="preserve">. </w:t>
      </w:r>
      <w:r w:rsidR="00A112B7" w:rsidRPr="00CC04BC">
        <w:rPr>
          <w:rFonts w:ascii="Cambria" w:hAnsi="Cambria"/>
          <w:sz w:val="20"/>
          <w:szCs w:val="20"/>
        </w:rPr>
        <w:t xml:space="preserve">Ese mismo día Rolando Jesús Guevara Pérez </w:t>
      </w:r>
      <w:r w:rsidR="00B250AD" w:rsidRPr="00CC04BC">
        <w:rPr>
          <w:rFonts w:ascii="Cambria" w:hAnsi="Cambria"/>
          <w:sz w:val="20"/>
          <w:szCs w:val="20"/>
        </w:rPr>
        <w:t xml:space="preserve">habría sido </w:t>
      </w:r>
      <w:r w:rsidR="00A112B7" w:rsidRPr="00CC04BC">
        <w:rPr>
          <w:rFonts w:ascii="Cambria" w:hAnsi="Cambria"/>
          <w:sz w:val="20"/>
          <w:szCs w:val="20"/>
        </w:rPr>
        <w:t xml:space="preserve">interceptado </w:t>
      </w:r>
      <w:r w:rsidR="00B250AD" w:rsidRPr="00CC04BC">
        <w:rPr>
          <w:rFonts w:ascii="Cambria" w:hAnsi="Cambria"/>
          <w:sz w:val="20"/>
          <w:szCs w:val="20"/>
        </w:rPr>
        <w:t xml:space="preserve">en la vía pública por </w:t>
      </w:r>
      <w:r w:rsidR="00654B4C">
        <w:rPr>
          <w:rFonts w:ascii="Cambria" w:hAnsi="Cambria"/>
          <w:sz w:val="20"/>
          <w:szCs w:val="20"/>
        </w:rPr>
        <w:t>agentes</w:t>
      </w:r>
      <w:r w:rsidR="00B250AD" w:rsidRPr="00CC04BC">
        <w:rPr>
          <w:rFonts w:ascii="Cambria" w:hAnsi="Cambria"/>
          <w:sz w:val="20"/>
          <w:szCs w:val="20"/>
        </w:rPr>
        <w:t xml:space="preserve"> policiales</w:t>
      </w:r>
      <w:r w:rsidR="00F36DA3" w:rsidRPr="00CC04BC">
        <w:rPr>
          <w:rFonts w:ascii="Cambria" w:hAnsi="Cambria"/>
          <w:sz w:val="20"/>
          <w:szCs w:val="20"/>
        </w:rPr>
        <w:t xml:space="preserve">, </w:t>
      </w:r>
      <w:r w:rsidR="001A4CF2">
        <w:rPr>
          <w:rFonts w:ascii="Cambria" w:hAnsi="Cambria"/>
          <w:sz w:val="20"/>
          <w:szCs w:val="20"/>
        </w:rPr>
        <w:t>y</w:t>
      </w:r>
      <w:r w:rsidR="00F36DA3" w:rsidRPr="00CC04BC">
        <w:rPr>
          <w:rFonts w:ascii="Cambria" w:hAnsi="Cambria"/>
          <w:sz w:val="20"/>
          <w:szCs w:val="20"/>
        </w:rPr>
        <w:t xml:space="preserve"> </w:t>
      </w:r>
      <w:r w:rsidR="00A112B7" w:rsidRPr="00CC04BC">
        <w:rPr>
          <w:rFonts w:ascii="Cambria" w:hAnsi="Cambria"/>
          <w:sz w:val="20"/>
          <w:szCs w:val="20"/>
        </w:rPr>
        <w:t xml:space="preserve">llevado </w:t>
      </w:r>
      <w:r w:rsidR="00B250AD" w:rsidRPr="00CC04BC">
        <w:rPr>
          <w:rFonts w:ascii="Cambria" w:hAnsi="Cambria"/>
          <w:sz w:val="20"/>
          <w:szCs w:val="20"/>
        </w:rPr>
        <w:t xml:space="preserve">al </w:t>
      </w:r>
      <w:r w:rsidR="00F36DA3" w:rsidRPr="00CC04BC">
        <w:rPr>
          <w:rFonts w:ascii="Cambria" w:hAnsi="Cambria"/>
          <w:sz w:val="20"/>
          <w:szCs w:val="20"/>
        </w:rPr>
        <w:t>mismo c</w:t>
      </w:r>
      <w:r w:rsidR="00A112B7" w:rsidRPr="00CC04BC">
        <w:rPr>
          <w:rFonts w:ascii="Cambria" w:hAnsi="Cambria"/>
          <w:sz w:val="20"/>
          <w:szCs w:val="20"/>
        </w:rPr>
        <w:t xml:space="preserve">omando </w:t>
      </w:r>
      <w:r w:rsidR="00F36DA3" w:rsidRPr="00CC04BC">
        <w:rPr>
          <w:rFonts w:ascii="Cambria" w:hAnsi="Cambria"/>
          <w:sz w:val="20"/>
          <w:szCs w:val="20"/>
        </w:rPr>
        <w:t>r</w:t>
      </w:r>
      <w:r w:rsidR="00B250AD" w:rsidRPr="00CC04BC">
        <w:rPr>
          <w:rFonts w:ascii="Cambria" w:hAnsi="Cambria"/>
          <w:sz w:val="20"/>
          <w:szCs w:val="20"/>
        </w:rPr>
        <w:t>egional</w:t>
      </w:r>
      <w:r w:rsidR="00F36DA3" w:rsidRPr="00CC04BC">
        <w:rPr>
          <w:rFonts w:ascii="Cambria" w:hAnsi="Cambria"/>
          <w:sz w:val="20"/>
          <w:szCs w:val="20"/>
        </w:rPr>
        <w:t xml:space="preserve"> </w:t>
      </w:r>
      <w:r w:rsidR="001A4CF2">
        <w:rPr>
          <w:rFonts w:ascii="Cambria" w:hAnsi="Cambria"/>
          <w:sz w:val="20"/>
          <w:szCs w:val="20"/>
        </w:rPr>
        <w:t xml:space="preserve">que su hermano, </w:t>
      </w:r>
      <w:r w:rsidR="00F36DA3" w:rsidRPr="00CC04BC">
        <w:rPr>
          <w:rFonts w:ascii="Cambria" w:hAnsi="Cambria"/>
          <w:sz w:val="20"/>
          <w:szCs w:val="20"/>
        </w:rPr>
        <w:t xml:space="preserve">y </w:t>
      </w:r>
      <w:r w:rsidR="00E266C8" w:rsidRPr="00CC04BC">
        <w:rPr>
          <w:rFonts w:ascii="Cambria" w:hAnsi="Cambria"/>
          <w:sz w:val="20"/>
          <w:szCs w:val="20"/>
        </w:rPr>
        <w:t xml:space="preserve">también </w:t>
      </w:r>
      <w:r w:rsidR="00F36DA3" w:rsidRPr="00CC04BC">
        <w:rPr>
          <w:rFonts w:ascii="Cambria" w:hAnsi="Cambria"/>
          <w:sz w:val="20"/>
          <w:szCs w:val="20"/>
        </w:rPr>
        <w:t xml:space="preserve">habría </w:t>
      </w:r>
      <w:r w:rsidR="00E266C8" w:rsidRPr="00CC04BC">
        <w:rPr>
          <w:rFonts w:ascii="Cambria" w:hAnsi="Cambria"/>
          <w:sz w:val="20"/>
          <w:szCs w:val="20"/>
        </w:rPr>
        <w:t xml:space="preserve">sido sometido a </w:t>
      </w:r>
      <w:r w:rsidR="00F36DA3" w:rsidRPr="00CC04BC">
        <w:rPr>
          <w:rFonts w:ascii="Cambria" w:hAnsi="Cambria"/>
          <w:sz w:val="20"/>
          <w:szCs w:val="20"/>
        </w:rPr>
        <w:t>torturas</w:t>
      </w:r>
      <w:r w:rsidR="00B250AD" w:rsidRPr="00CC04BC">
        <w:rPr>
          <w:rFonts w:ascii="Cambria" w:hAnsi="Cambria"/>
          <w:sz w:val="20"/>
          <w:szCs w:val="20"/>
        </w:rPr>
        <w:t xml:space="preserve">. </w:t>
      </w:r>
      <w:r w:rsidR="001A4CF2">
        <w:rPr>
          <w:rFonts w:ascii="Cambria" w:hAnsi="Cambria"/>
          <w:sz w:val="20"/>
          <w:szCs w:val="20"/>
          <w:lang w:val="es-AR"/>
        </w:rPr>
        <w:t>L</w:t>
      </w:r>
      <w:r w:rsidR="00090D45" w:rsidRPr="00BB65FE">
        <w:rPr>
          <w:rFonts w:ascii="Cambria" w:hAnsi="Cambria"/>
          <w:sz w:val="20"/>
          <w:szCs w:val="20"/>
          <w:lang w:val="es-AR"/>
        </w:rPr>
        <w:t xml:space="preserve">as presuntas víctimas habrían sido interrogadas sobre su supuesta participación en el asesinato del </w:t>
      </w:r>
      <w:r w:rsidR="00200184">
        <w:rPr>
          <w:rFonts w:ascii="Cambria" w:hAnsi="Cambria"/>
          <w:sz w:val="20"/>
          <w:szCs w:val="20"/>
          <w:lang w:val="es-AR"/>
        </w:rPr>
        <w:t>fiscal Danilo Baltasar Anderson</w:t>
      </w:r>
      <w:r w:rsidR="00090D45" w:rsidRPr="00BB65FE">
        <w:rPr>
          <w:rFonts w:ascii="Cambria" w:hAnsi="Cambria"/>
          <w:sz w:val="20"/>
          <w:szCs w:val="20"/>
          <w:lang w:val="es-AR"/>
        </w:rPr>
        <w:t>.</w:t>
      </w:r>
      <w:r w:rsidR="00090D45">
        <w:rPr>
          <w:rFonts w:ascii="Cambria" w:hAnsi="Cambria"/>
          <w:sz w:val="20"/>
          <w:szCs w:val="20"/>
          <w:lang w:val="es-AR"/>
        </w:rPr>
        <w:t xml:space="preserve"> </w:t>
      </w:r>
      <w:r w:rsidR="00ED7871" w:rsidRPr="00CC04BC">
        <w:rPr>
          <w:rFonts w:ascii="Cambria" w:hAnsi="Cambria"/>
          <w:sz w:val="20"/>
          <w:szCs w:val="20"/>
        </w:rPr>
        <w:t xml:space="preserve">La esposa de Rolando Jesús Guevara Pérez habría denunciado la desaparición de su marido el 24 de noviembre de 2004 ante la Fiscalía </w:t>
      </w:r>
      <w:r w:rsidR="008C691F">
        <w:rPr>
          <w:rFonts w:ascii="Cambria" w:hAnsi="Cambria"/>
          <w:sz w:val="20"/>
          <w:szCs w:val="20"/>
        </w:rPr>
        <w:t>Decimonovena</w:t>
      </w:r>
      <w:r w:rsidR="00ED7871" w:rsidRPr="00CC04BC">
        <w:rPr>
          <w:rFonts w:ascii="Cambria" w:hAnsi="Cambria"/>
          <w:sz w:val="20"/>
          <w:szCs w:val="20"/>
        </w:rPr>
        <w:t xml:space="preserve"> del Área Metropolitana de Caracas y ante la División Antiextorsión y Secuestro del Cuerpo de Investigaciones Científicas, Penales y Criminalísticas. </w:t>
      </w:r>
      <w:r w:rsidR="008B1F6F">
        <w:rPr>
          <w:rFonts w:ascii="Cambria" w:hAnsi="Cambria"/>
          <w:sz w:val="20"/>
          <w:szCs w:val="20"/>
        </w:rPr>
        <w:t>Según alegan, a</w:t>
      </w:r>
      <w:r w:rsidR="00580423" w:rsidRPr="00CC04BC">
        <w:rPr>
          <w:rFonts w:ascii="Cambria" w:hAnsi="Cambria"/>
          <w:sz w:val="20"/>
          <w:szCs w:val="20"/>
        </w:rPr>
        <w:t xml:space="preserve">mbos hermanos </w:t>
      </w:r>
      <w:r w:rsidR="00B250AD" w:rsidRPr="00CC04BC">
        <w:rPr>
          <w:rFonts w:ascii="Cambria" w:hAnsi="Cambria"/>
          <w:sz w:val="20"/>
          <w:szCs w:val="20"/>
        </w:rPr>
        <w:t>habrían sido</w:t>
      </w:r>
      <w:r w:rsidR="00607E62" w:rsidRPr="00CC04BC">
        <w:rPr>
          <w:rFonts w:ascii="Cambria" w:hAnsi="Cambria"/>
          <w:sz w:val="20"/>
          <w:szCs w:val="20"/>
        </w:rPr>
        <w:t xml:space="preserve"> abandonados a su suerte </w:t>
      </w:r>
      <w:r w:rsidR="00090D45">
        <w:rPr>
          <w:rFonts w:ascii="Cambria" w:hAnsi="Cambria"/>
          <w:sz w:val="20"/>
          <w:szCs w:val="20"/>
        </w:rPr>
        <w:t>tres</w:t>
      </w:r>
      <w:r w:rsidR="00572409" w:rsidRPr="00CC04BC">
        <w:rPr>
          <w:rFonts w:ascii="Cambria" w:hAnsi="Cambria"/>
          <w:sz w:val="20"/>
          <w:szCs w:val="20"/>
        </w:rPr>
        <w:t xml:space="preserve"> días más tarde</w:t>
      </w:r>
      <w:r w:rsidR="00F554DA">
        <w:rPr>
          <w:rFonts w:ascii="Cambria" w:hAnsi="Cambria"/>
          <w:sz w:val="20"/>
          <w:szCs w:val="20"/>
        </w:rPr>
        <w:t>,</w:t>
      </w:r>
      <w:r w:rsidR="00572409" w:rsidRPr="00CC04BC">
        <w:rPr>
          <w:rFonts w:ascii="Cambria" w:hAnsi="Cambria"/>
          <w:sz w:val="20"/>
          <w:szCs w:val="20"/>
        </w:rPr>
        <w:t xml:space="preserve"> </w:t>
      </w:r>
      <w:r w:rsidR="00607E62" w:rsidRPr="00CC04BC">
        <w:rPr>
          <w:rFonts w:ascii="Cambria" w:hAnsi="Cambria"/>
          <w:sz w:val="20"/>
          <w:szCs w:val="20"/>
        </w:rPr>
        <w:t xml:space="preserve">la madrugada del </w:t>
      </w:r>
      <w:r w:rsidR="00B250AD" w:rsidRPr="00CC04BC">
        <w:rPr>
          <w:rFonts w:ascii="Cambria" w:hAnsi="Cambria"/>
          <w:sz w:val="20"/>
          <w:szCs w:val="20"/>
        </w:rPr>
        <w:t>2</w:t>
      </w:r>
      <w:r w:rsidR="00607E62" w:rsidRPr="00CC04BC">
        <w:rPr>
          <w:rFonts w:ascii="Cambria" w:hAnsi="Cambria"/>
          <w:sz w:val="20"/>
          <w:szCs w:val="20"/>
        </w:rPr>
        <w:t>6</w:t>
      </w:r>
      <w:r w:rsidR="00B250AD" w:rsidRPr="00CC04BC">
        <w:rPr>
          <w:rFonts w:ascii="Cambria" w:hAnsi="Cambria"/>
          <w:sz w:val="20"/>
          <w:szCs w:val="20"/>
        </w:rPr>
        <w:t xml:space="preserve"> de noviembre de 2004</w:t>
      </w:r>
      <w:r w:rsidR="001A4CF2">
        <w:rPr>
          <w:rFonts w:ascii="Cambria" w:hAnsi="Cambria"/>
          <w:sz w:val="20"/>
          <w:szCs w:val="20"/>
        </w:rPr>
        <w:t>,</w:t>
      </w:r>
      <w:r w:rsidR="00B250AD" w:rsidRPr="00CC04BC">
        <w:rPr>
          <w:rFonts w:ascii="Cambria" w:hAnsi="Cambria"/>
          <w:sz w:val="20"/>
          <w:szCs w:val="20"/>
        </w:rPr>
        <w:t xml:space="preserve"> </w:t>
      </w:r>
      <w:r w:rsidR="00607E62" w:rsidRPr="00CC04BC">
        <w:rPr>
          <w:rFonts w:ascii="Cambria" w:hAnsi="Cambria"/>
          <w:sz w:val="20"/>
          <w:szCs w:val="20"/>
        </w:rPr>
        <w:t>en la ciudad de Valencia, Carabobo</w:t>
      </w:r>
      <w:r w:rsidR="001A4CF2">
        <w:rPr>
          <w:rFonts w:ascii="Cambria" w:hAnsi="Cambria"/>
          <w:sz w:val="20"/>
          <w:szCs w:val="20"/>
        </w:rPr>
        <w:t>;</w:t>
      </w:r>
      <w:r w:rsidR="00607E62" w:rsidRPr="00CC04BC">
        <w:rPr>
          <w:rFonts w:ascii="Cambria" w:hAnsi="Cambria"/>
          <w:sz w:val="20"/>
          <w:szCs w:val="20"/>
        </w:rPr>
        <w:t xml:space="preserve"> y </w:t>
      </w:r>
      <w:r w:rsidR="00090D45">
        <w:rPr>
          <w:rFonts w:ascii="Cambria" w:hAnsi="Cambria"/>
          <w:sz w:val="20"/>
          <w:szCs w:val="20"/>
        </w:rPr>
        <w:t>“</w:t>
      </w:r>
      <w:r w:rsidR="00607E62" w:rsidRPr="00CC04BC">
        <w:rPr>
          <w:rFonts w:ascii="Cambria" w:hAnsi="Cambria"/>
          <w:sz w:val="20"/>
          <w:szCs w:val="20"/>
        </w:rPr>
        <w:t>rescatados</w:t>
      </w:r>
      <w:r w:rsidR="00090D45">
        <w:rPr>
          <w:rFonts w:ascii="Cambria" w:hAnsi="Cambria"/>
          <w:sz w:val="20"/>
          <w:szCs w:val="20"/>
        </w:rPr>
        <w:t>”</w:t>
      </w:r>
      <w:r w:rsidR="00607E62" w:rsidRPr="00CC04BC">
        <w:rPr>
          <w:rFonts w:ascii="Cambria" w:hAnsi="Cambria"/>
          <w:sz w:val="20"/>
          <w:szCs w:val="20"/>
        </w:rPr>
        <w:t xml:space="preserve"> </w:t>
      </w:r>
      <w:r w:rsidR="001A4CF2">
        <w:rPr>
          <w:rFonts w:ascii="Cambria" w:hAnsi="Cambria"/>
          <w:sz w:val="20"/>
          <w:szCs w:val="20"/>
        </w:rPr>
        <w:t xml:space="preserve">luego </w:t>
      </w:r>
      <w:r w:rsidR="00607E62" w:rsidRPr="00CC04BC">
        <w:rPr>
          <w:rFonts w:ascii="Cambria" w:hAnsi="Cambria"/>
          <w:sz w:val="20"/>
          <w:szCs w:val="20"/>
        </w:rPr>
        <w:t xml:space="preserve">por </w:t>
      </w:r>
      <w:r w:rsidR="001A4CF2">
        <w:rPr>
          <w:rFonts w:ascii="Cambria" w:hAnsi="Cambria"/>
          <w:sz w:val="20"/>
          <w:szCs w:val="20"/>
        </w:rPr>
        <w:t>soldados</w:t>
      </w:r>
      <w:r w:rsidR="00357FF9" w:rsidRPr="00CC04BC">
        <w:rPr>
          <w:rFonts w:ascii="Cambria" w:hAnsi="Cambria"/>
          <w:sz w:val="20"/>
          <w:szCs w:val="20"/>
        </w:rPr>
        <w:t xml:space="preserve"> del Comando Regional N</w:t>
      </w:r>
      <w:r w:rsidR="00607E62" w:rsidRPr="00CC04BC">
        <w:rPr>
          <w:rFonts w:ascii="Cambria" w:hAnsi="Cambria"/>
          <w:sz w:val="20"/>
          <w:szCs w:val="20"/>
        </w:rPr>
        <w:t>o.</w:t>
      </w:r>
      <w:r w:rsidR="00B250AD" w:rsidRPr="00CC04BC">
        <w:rPr>
          <w:rFonts w:ascii="Cambria" w:hAnsi="Cambria"/>
          <w:sz w:val="20"/>
          <w:szCs w:val="20"/>
        </w:rPr>
        <w:t xml:space="preserve"> 2 de la Guardia Nacional</w:t>
      </w:r>
      <w:r w:rsidR="00F554DA">
        <w:rPr>
          <w:rFonts w:ascii="Cambria" w:hAnsi="Cambria"/>
          <w:sz w:val="20"/>
          <w:szCs w:val="20"/>
        </w:rPr>
        <w:t xml:space="preserve">, </w:t>
      </w:r>
      <w:r w:rsidR="00F554DA" w:rsidRPr="00357FF9">
        <w:rPr>
          <w:rFonts w:ascii="Cambria" w:hAnsi="Cambria"/>
          <w:sz w:val="20"/>
          <w:szCs w:val="20"/>
        </w:rPr>
        <w:t>Grupo Anti-Extorsión y Secuestro de Valencia</w:t>
      </w:r>
      <w:r w:rsidR="00B250AD" w:rsidRPr="00CC04BC">
        <w:rPr>
          <w:rFonts w:ascii="Cambria" w:hAnsi="Cambria"/>
          <w:sz w:val="20"/>
          <w:szCs w:val="20"/>
        </w:rPr>
        <w:t>.</w:t>
      </w:r>
      <w:r w:rsidR="00974FA2" w:rsidRPr="00CC04BC">
        <w:rPr>
          <w:rFonts w:ascii="Cambria" w:hAnsi="Cambria"/>
          <w:sz w:val="20"/>
          <w:szCs w:val="20"/>
        </w:rPr>
        <w:t xml:space="preserve"> </w:t>
      </w:r>
      <w:r w:rsidR="001A4CF2">
        <w:rPr>
          <w:rFonts w:ascii="Cambria" w:hAnsi="Cambria"/>
          <w:sz w:val="20"/>
          <w:szCs w:val="20"/>
        </w:rPr>
        <w:t>Los</w:t>
      </w:r>
      <w:r w:rsidR="00B34645">
        <w:rPr>
          <w:rFonts w:ascii="Cambria" w:hAnsi="Cambria"/>
          <w:sz w:val="20"/>
          <w:szCs w:val="20"/>
        </w:rPr>
        <w:t xml:space="preserve"> peticionarios</w:t>
      </w:r>
      <w:r w:rsidR="001A4CF2">
        <w:rPr>
          <w:rFonts w:ascii="Cambria" w:hAnsi="Cambria"/>
          <w:sz w:val="20"/>
          <w:szCs w:val="20"/>
        </w:rPr>
        <w:t xml:space="preserve"> denuncian que</w:t>
      </w:r>
      <w:r w:rsidR="00913E59">
        <w:rPr>
          <w:rFonts w:ascii="Cambria" w:hAnsi="Cambria"/>
          <w:sz w:val="20"/>
          <w:szCs w:val="20"/>
        </w:rPr>
        <w:t xml:space="preserve"> </w:t>
      </w:r>
      <w:r w:rsidR="00B34645">
        <w:rPr>
          <w:rFonts w:ascii="Cambria" w:hAnsi="Cambria"/>
          <w:sz w:val="20"/>
          <w:szCs w:val="20"/>
        </w:rPr>
        <w:t>habría</w:t>
      </w:r>
      <w:r w:rsidR="00200184">
        <w:rPr>
          <w:rFonts w:ascii="Cambria" w:hAnsi="Cambria"/>
          <w:sz w:val="20"/>
          <w:szCs w:val="20"/>
        </w:rPr>
        <w:t>n</w:t>
      </w:r>
      <w:r w:rsidR="00B34645">
        <w:rPr>
          <w:rFonts w:ascii="Cambria" w:hAnsi="Cambria"/>
          <w:sz w:val="20"/>
          <w:szCs w:val="20"/>
        </w:rPr>
        <w:t xml:space="preserve"> sido “rescatados” por los mismos funcionarios policiales que los </w:t>
      </w:r>
      <w:r w:rsidR="008B1F6F">
        <w:rPr>
          <w:rFonts w:ascii="Cambria" w:hAnsi="Cambria"/>
          <w:sz w:val="20"/>
          <w:szCs w:val="20"/>
        </w:rPr>
        <w:t>man</w:t>
      </w:r>
      <w:r w:rsidR="00B34645">
        <w:rPr>
          <w:rFonts w:ascii="Cambria" w:hAnsi="Cambria"/>
          <w:sz w:val="20"/>
          <w:szCs w:val="20"/>
        </w:rPr>
        <w:t>tenían cautivos ilegalmente.</w:t>
      </w:r>
    </w:p>
    <w:p w14:paraId="25B03089" w14:textId="7DD66F2D" w:rsidR="00CC04BC" w:rsidRPr="00B66B56" w:rsidRDefault="00CC04BC" w:rsidP="00CC04BC">
      <w:pPr>
        <w:pStyle w:val="ListParagraph"/>
        <w:rPr>
          <w:sz w:val="20"/>
          <w:szCs w:val="20"/>
          <w:lang w:val="es-AR"/>
        </w:rPr>
      </w:pPr>
    </w:p>
    <w:p w14:paraId="5F5FB5C7" w14:textId="21394458" w:rsidR="00C70F82" w:rsidRDefault="00CC04BC" w:rsidP="007A57C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C70F82">
        <w:rPr>
          <w:rFonts w:ascii="Cambria" w:hAnsi="Cambria"/>
          <w:sz w:val="20"/>
          <w:szCs w:val="20"/>
        </w:rPr>
        <w:t xml:space="preserve">Señalan que Otoniel José y Rolando Jesús Guevara Pérez </w:t>
      </w:r>
      <w:r w:rsidR="00974FA2" w:rsidRPr="00C70F82">
        <w:rPr>
          <w:rFonts w:ascii="Cambria" w:hAnsi="Cambria"/>
          <w:sz w:val="20"/>
          <w:szCs w:val="20"/>
        </w:rPr>
        <w:t>habrían sido trasladados</w:t>
      </w:r>
      <w:r w:rsidR="00B250AD" w:rsidRPr="00C70F82">
        <w:rPr>
          <w:rFonts w:ascii="Cambria" w:hAnsi="Cambria"/>
          <w:sz w:val="20"/>
          <w:szCs w:val="20"/>
        </w:rPr>
        <w:t xml:space="preserve"> </w:t>
      </w:r>
      <w:r w:rsidR="00434427" w:rsidRPr="00C70F82">
        <w:rPr>
          <w:rFonts w:ascii="Cambria" w:hAnsi="Cambria"/>
          <w:sz w:val="20"/>
          <w:szCs w:val="20"/>
        </w:rPr>
        <w:t>a una sede de la</w:t>
      </w:r>
      <w:r w:rsidR="00BE4454">
        <w:rPr>
          <w:rFonts w:ascii="Cambria" w:hAnsi="Cambria"/>
          <w:sz w:val="20"/>
          <w:szCs w:val="20"/>
        </w:rPr>
        <w:t xml:space="preserve"> </w:t>
      </w:r>
      <w:r w:rsidR="00434427" w:rsidRPr="00C70F82">
        <w:rPr>
          <w:rFonts w:ascii="Cambria" w:hAnsi="Cambria"/>
          <w:sz w:val="20"/>
          <w:szCs w:val="20"/>
        </w:rPr>
        <w:t xml:space="preserve">DISIP </w:t>
      </w:r>
      <w:r w:rsidR="004141C0">
        <w:rPr>
          <w:rFonts w:ascii="Cambria" w:hAnsi="Cambria"/>
          <w:sz w:val="20"/>
          <w:szCs w:val="20"/>
        </w:rPr>
        <w:t>donde se les mantuvo</w:t>
      </w:r>
      <w:r w:rsidR="00434427" w:rsidRPr="00C70F82">
        <w:rPr>
          <w:rFonts w:ascii="Cambria" w:hAnsi="Cambria"/>
          <w:sz w:val="20"/>
          <w:szCs w:val="20"/>
        </w:rPr>
        <w:t xml:space="preserve"> incomunicados hasta el 27 de noviembre</w:t>
      </w:r>
      <w:r w:rsidRPr="00C70F82">
        <w:rPr>
          <w:rFonts w:ascii="Cambria" w:hAnsi="Cambria"/>
          <w:sz w:val="20"/>
          <w:szCs w:val="20"/>
        </w:rPr>
        <w:t xml:space="preserve"> de 2004</w:t>
      </w:r>
      <w:r w:rsidR="00434427" w:rsidRPr="00C70F82">
        <w:rPr>
          <w:rFonts w:ascii="Cambria" w:hAnsi="Cambria"/>
          <w:sz w:val="20"/>
          <w:szCs w:val="20"/>
        </w:rPr>
        <w:t xml:space="preserve">, cuando </w:t>
      </w:r>
      <w:r w:rsidR="004141C0">
        <w:rPr>
          <w:rFonts w:ascii="Cambria" w:hAnsi="Cambria"/>
          <w:sz w:val="20"/>
          <w:szCs w:val="20"/>
        </w:rPr>
        <w:t>fueron</w:t>
      </w:r>
      <w:r w:rsidR="001A5F3D" w:rsidRPr="00C70F82">
        <w:rPr>
          <w:rFonts w:ascii="Cambria" w:hAnsi="Cambria"/>
          <w:sz w:val="20"/>
          <w:szCs w:val="20"/>
        </w:rPr>
        <w:t xml:space="preserve"> </w:t>
      </w:r>
      <w:r w:rsidR="00434427" w:rsidRPr="00C70F82">
        <w:rPr>
          <w:rFonts w:ascii="Cambria" w:hAnsi="Cambria"/>
          <w:sz w:val="20"/>
          <w:szCs w:val="20"/>
        </w:rPr>
        <w:t xml:space="preserve">presentados ante el </w:t>
      </w:r>
      <w:r w:rsidR="005F32EC">
        <w:rPr>
          <w:rFonts w:ascii="Cambria" w:hAnsi="Cambria"/>
          <w:sz w:val="20"/>
          <w:szCs w:val="20"/>
          <w:lang w:val="es-AR"/>
        </w:rPr>
        <w:t>Juzgado</w:t>
      </w:r>
      <w:r w:rsidR="00090D45" w:rsidRPr="00C70F82">
        <w:rPr>
          <w:rFonts w:ascii="Cambria" w:hAnsi="Cambria"/>
          <w:sz w:val="20"/>
          <w:szCs w:val="20"/>
          <w:lang w:val="es-AR"/>
        </w:rPr>
        <w:t xml:space="preserve"> </w:t>
      </w:r>
      <w:r w:rsidR="00C70F82" w:rsidRPr="00C70F82">
        <w:rPr>
          <w:rFonts w:ascii="Cambria" w:hAnsi="Cambria"/>
          <w:sz w:val="20"/>
          <w:szCs w:val="20"/>
          <w:lang w:val="es-AR"/>
        </w:rPr>
        <w:t>Trigésimo Cuarto</w:t>
      </w:r>
      <w:r w:rsidR="00090D45" w:rsidRPr="00C70F82">
        <w:rPr>
          <w:rFonts w:ascii="Cambria" w:hAnsi="Cambria"/>
          <w:sz w:val="20"/>
          <w:szCs w:val="20"/>
          <w:lang w:val="es-AR"/>
        </w:rPr>
        <w:t xml:space="preserve"> de Primera Instancia </w:t>
      </w:r>
      <w:r w:rsidR="00BE4454" w:rsidRPr="00CB2EDE">
        <w:rPr>
          <w:rFonts w:asciiTheme="majorHAnsi" w:hAnsiTheme="majorHAnsi"/>
          <w:sz w:val="20"/>
          <w:szCs w:val="20"/>
        </w:rPr>
        <w:t xml:space="preserve">en función </w:t>
      </w:r>
      <w:r w:rsidR="00BE4454" w:rsidRPr="00291815">
        <w:rPr>
          <w:rFonts w:asciiTheme="majorHAnsi" w:hAnsiTheme="majorHAnsi"/>
          <w:sz w:val="20"/>
          <w:szCs w:val="20"/>
        </w:rPr>
        <w:t>del Área Metropolitana de Caracas</w:t>
      </w:r>
      <w:r w:rsidR="000626B7" w:rsidRPr="00C70F82">
        <w:rPr>
          <w:rFonts w:ascii="Cambria" w:hAnsi="Cambria"/>
          <w:sz w:val="20"/>
          <w:szCs w:val="20"/>
          <w:lang w:val="es-AR"/>
        </w:rPr>
        <w:t xml:space="preserve"> </w:t>
      </w:r>
      <w:r w:rsidR="00C70F82" w:rsidRPr="00C70F82">
        <w:rPr>
          <w:rFonts w:ascii="Cambria" w:hAnsi="Cambria"/>
          <w:sz w:val="20"/>
          <w:szCs w:val="20"/>
          <w:lang w:val="es-AR"/>
        </w:rPr>
        <w:t>(en adelante, “</w:t>
      </w:r>
      <w:r w:rsidR="005F32EC" w:rsidRPr="00200184">
        <w:rPr>
          <w:rFonts w:ascii="Cambria" w:hAnsi="Cambria"/>
          <w:sz w:val="20"/>
          <w:szCs w:val="20"/>
          <w:lang w:val="es-AR"/>
        </w:rPr>
        <w:t>Juzgado</w:t>
      </w:r>
      <w:r w:rsidR="00C70F82" w:rsidRPr="00200184">
        <w:rPr>
          <w:rFonts w:ascii="Cambria" w:hAnsi="Cambria"/>
          <w:sz w:val="20"/>
          <w:szCs w:val="20"/>
          <w:lang w:val="es-AR"/>
        </w:rPr>
        <w:t xml:space="preserve"> 34°”)</w:t>
      </w:r>
      <w:r w:rsidR="00434427" w:rsidRPr="00200184">
        <w:rPr>
          <w:rFonts w:ascii="Cambria" w:hAnsi="Cambria"/>
          <w:sz w:val="20"/>
          <w:szCs w:val="20"/>
        </w:rPr>
        <w:t>.</w:t>
      </w:r>
      <w:r w:rsidRPr="00C70F82">
        <w:rPr>
          <w:rFonts w:ascii="Cambria" w:hAnsi="Cambria"/>
          <w:sz w:val="20"/>
          <w:szCs w:val="20"/>
        </w:rPr>
        <w:t xml:space="preserve"> </w:t>
      </w:r>
      <w:r w:rsidR="001A5F3D" w:rsidRPr="00C70F82">
        <w:rPr>
          <w:rFonts w:ascii="Cambria" w:hAnsi="Cambria"/>
          <w:sz w:val="20"/>
          <w:szCs w:val="20"/>
        </w:rPr>
        <w:t xml:space="preserve">Ese mismo </w:t>
      </w:r>
      <w:r w:rsidR="00A000CB">
        <w:rPr>
          <w:rFonts w:ascii="Cambria" w:hAnsi="Cambria"/>
          <w:sz w:val="20"/>
          <w:szCs w:val="20"/>
        </w:rPr>
        <w:t xml:space="preserve">día </w:t>
      </w:r>
      <w:r w:rsidR="004141C0">
        <w:rPr>
          <w:rFonts w:ascii="Cambria" w:hAnsi="Cambria"/>
          <w:sz w:val="20"/>
          <w:szCs w:val="20"/>
        </w:rPr>
        <w:t>se dispuso</w:t>
      </w:r>
      <w:r w:rsidR="001A5F3D" w:rsidRPr="00C70F82">
        <w:rPr>
          <w:rFonts w:ascii="Cambria" w:hAnsi="Cambria"/>
          <w:sz w:val="20"/>
          <w:szCs w:val="20"/>
        </w:rPr>
        <w:t xml:space="preserve"> </w:t>
      </w:r>
      <w:r w:rsidR="00C70F82" w:rsidRPr="00C70F82">
        <w:rPr>
          <w:rFonts w:ascii="Cambria" w:hAnsi="Cambria"/>
          <w:sz w:val="20"/>
          <w:szCs w:val="20"/>
        </w:rPr>
        <w:t>una</w:t>
      </w:r>
      <w:r w:rsidR="001A5F3D" w:rsidRPr="00C70F82">
        <w:rPr>
          <w:rFonts w:ascii="Cambria" w:hAnsi="Cambria"/>
          <w:sz w:val="20"/>
          <w:szCs w:val="20"/>
        </w:rPr>
        <w:t xml:space="preserve"> audiencia para oír a Otoniel José </w:t>
      </w:r>
      <w:r w:rsidR="00E63DFD" w:rsidRPr="00C70F82">
        <w:rPr>
          <w:rFonts w:ascii="Cambria" w:hAnsi="Cambria"/>
          <w:sz w:val="20"/>
          <w:szCs w:val="20"/>
        </w:rPr>
        <w:t xml:space="preserve">Guevara Pérez </w:t>
      </w:r>
      <w:r w:rsidR="001A5F3D" w:rsidRPr="00C70F82">
        <w:rPr>
          <w:rFonts w:ascii="Cambria" w:hAnsi="Cambria"/>
          <w:sz w:val="20"/>
          <w:szCs w:val="20"/>
        </w:rPr>
        <w:t xml:space="preserve">y </w:t>
      </w:r>
      <w:r w:rsidR="00E63DFD">
        <w:rPr>
          <w:rFonts w:ascii="Cambria" w:hAnsi="Cambria"/>
          <w:sz w:val="20"/>
          <w:szCs w:val="20"/>
        </w:rPr>
        <w:t xml:space="preserve">a </w:t>
      </w:r>
      <w:r w:rsidR="001A5F3D" w:rsidRPr="00C70F82">
        <w:rPr>
          <w:rFonts w:ascii="Cambria" w:hAnsi="Cambria"/>
          <w:sz w:val="20"/>
          <w:szCs w:val="20"/>
        </w:rPr>
        <w:t>Rolando Jesús Guevara Pérez</w:t>
      </w:r>
      <w:r w:rsidR="00457545" w:rsidRPr="00C70F82">
        <w:rPr>
          <w:rFonts w:ascii="Cambria" w:hAnsi="Cambria"/>
          <w:sz w:val="20"/>
          <w:szCs w:val="20"/>
        </w:rPr>
        <w:t xml:space="preserve"> </w:t>
      </w:r>
      <w:r w:rsidR="003B5A34" w:rsidRPr="00C70F82">
        <w:rPr>
          <w:rFonts w:ascii="Cambria" w:hAnsi="Cambria"/>
          <w:sz w:val="20"/>
          <w:szCs w:val="20"/>
        </w:rPr>
        <w:t>en carácter de imputados</w:t>
      </w:r>
      <w:r w:rsidR="004141C0">
        <w:rPr>
          <w:rFonts w:ascii="Cambria" w:hAnsi="Cambria"/>
          <w:sz w:val="20"/>
          <w:szCs w:val="20"/>
        </w:rPr>
        <w:t xml:space="preserve"> en el</w:t>
      </w:r>
      <w:r w:rsidR="00457545" w:rsidRPr="00C70F82">
        <w:rPr>
          <w:rFonts w:ascii="Cambria" w:hAnsi="Cambria"/>
          <w:sz w:val="20"/>
          <w:szCs w:val="20"/>
        </w:rPr>
        <w:t xml:space="preserve"> homicidio de Danilo</w:t>
      </w:r>
      <w:r w:rsidR="001A5F3D" w:rsidRPr="00C70F82">
        <w:rPr>
          <w:rFonts w:ascii="Cambria" w:hAnsi="Cambria"/>
          <w:sz w:val="20"/>
          <w:szCs w:val="20"/>
        </w:rPr>
        <w:t xml:space="preserve"> </w:t>
      </w:r>
      <w:r w:rsidR="00200184">
        <w:rPr>
          <w:rFonts w:ascii="Cambria" w:hAnsi="Cambria"/>
          <w:sz w:val="20"/>
          <w:szCs w:val="20"/>
        </w:rPr>
        <w:t xml:space="preserve">Baltasar </w:t>
      </w:r>
      <w:r w:rsidR="003B5A34" w:rsidRPr="00C70F82">
        <w:rPr>
          <w:rFonts w:ascii="Cambria" w:hAnsi="Cambria"/>
          <w:sz w:val="20"/>
          <w:szCs w:val="20"/>
        </w:rPr>
        <w:t xml:space="preserve">Anderson. </w:t>
      </w:r>
      <w:r w:rsidR="001A5F3D" w:rsidRPr="00C70F82">
        <w:rPr>
          <w:rFonts w:ascii="Cambria" w:hAnsi="Cambria"/>
          <w:sz w:val="20"/>
          <w:szCs w:val="20"/>
        </w:rPr>
        <w:t>Según alegan los peticionarios, en dicha audiencia las presu</w:t>
      </w:r>
      <w:r w:rsidR="00C70F82" w:rsidRPr="00C70F82">
        <w:rPr>
          <w:rFonts w:ascii="Cambria" w:hAnsi="Cambria"/>
          <w:sz w:val="20"/>
          <w:szCs w:val="20"/>
        </w:rPr>
        <w:t xml:space="preserve">ntas víctimas habrían explicado </w:t>
      </w:r>
      <w:r w:rsidR="001A5F3D" w:rsidRPr="00C70F82">
        <w:rPr>
          <w:rFonts w:ascii="Cambria" w:hAnsi="Cambria"/>
          <w:sz w:val="20"/>
          <w:szCs w:val="20"/>
        </w:rPr>
        <w:t>que hab</w:t>
      </w:r>
      <w:r w:rsidR="00200184">
        <w:rPr>
          <w:rFonts w:ascii="Cambria" w:hAnsi="Cambria"/>
          <w:sz w:val="20"/>
          <w:szCs w:val="20"/>
        </w:rPr>
        <w:t>ían sido ilegítimamente detenidas y torturada</w:t>
      </w:r>
      <w:r w:rsidR="001A5F3D" w:rsidRPr="00C70F82">
        <w:rPr>
          <w:rFonts w:ascii="Cambria" w:hAnsi="Cambria"/>
          <w:sz w:val="20"/>
          <w:szCs w:val="20"/>
        </w:rPr>
        <w:t>s.</w:t>
      </w:r>
      <w:r w:rsidR="003B5A34" w:rsidRPr="00C70F82">
        <w:rPr>
          <w:rFonts w:ascii="Cambria" w:hAnsi="Cambria"/>
          <w:sz w:val="20"/>
          <w:szCs w:val="20"/>
        </w:rPr>
        <w:t xml:space="preserve"> </w:t>
      </w:r>
      <w:r w:rsidRPr="00C70F82">
        <w:rPr>
          <w:rFonts w:ascii="Cambria" w:hAnsi="Cambria"/>
          <w:sz w:val="20"/>
          <w:szCs w:val="20"/>
        </w:rPr>
        <w:t xml:space="preserve">Juan Bautista Guevara Pérez, por su parte, habría sido </w:t>
      </w:r>
      <w:r w:rsidRPr="00C70F82">
        <w:rPr>
          <w:rFonts w:ascii="Cambria" w:hAnsi="Cambria"/>
          <w:sz w:val="20"/>
          <w:szCs w:val="20"/>
        </w:rPr>
        <w:lastRenderedPageBreak/>
        <w:t xml:space="preserve">llevado ante el mismo tribunal el día que habría sido </w:t>
      </w:r>
      <w:r w:rsidR="00BE4454">
        <w:rPr>
          <w:rFonts w:ascii="Cambria" w:hAnsi="Cambria"/>
          <w:sz w:val="20"/>
          <w:szCs w:val="20"/>
        </w:rPr>
        <w:t>“</w:t>
      </w:r>
      <w:r w:rsidRPr="00C70F82">
        <w:rPr>
          <w:rFonts w:ascii="Cambria" w:hAnsi="Cambria"/>
          <w:sz w:val="20"/>
          <w:szCs w:val="20"/>
        </w:rPr>
        <w:t>encontrado</w:t>
      </w:r>
      <w:r w:rsidR="00BE4454">
        <w:rPr>
          <w:rFonts w:ascii="Cambria" w:hAnsi="Cambria"/>
          <w:sz w:val="20"/>
          <w:szCs w:val="20"/>
        </w:rPr>
        <w:t>”</w:t>
      </w:r>
      <w:r w:rsidR="00200184">
        <w:rPr>
          <w:rFonts w:ascii="Cambria" w:hAnsi="Cambria"/>
          <w:sz w:val="20"/>
          <w:szCs w:val="20"/>
        </w:rPr>
        <w:t xml:space="preserve"> por comisiones de la DISIP</w:t>
      </w:r>
      <w:r w:rsidRPr="00C70F82">
        <w:rPr>
          <w:rFonts w:ascii="Cambria" w:hAnsi="Cambria"/>
          <w:sz w:val="20"/>
          <w:szCs w:val="20"/>
        </w:rPr>
        <w:t xml:space="preserve"> el 29 de noviembre de 2004. </w:t>
      </w:r>
    </w:p>
    <w:p w14:paraId="68C5F625" w14:textId="77777777" w:rsidR="00C70F82" w:rsidRPr="00677DA9" w:rsidRDefault="00C70F82" w:rsidP="00C70F82">
      <w:pPr>
        <w:pStyle w:val="ListParagraph"/>
        <w:rPr>
          <w:sz w:val="20"/>
          <w:szCs w:val="20"/>
          <w:lang w:val="es-AR"/>
        </w:rPr>
      </w:pPr>
    </w:p>
    <w:p w14:paraId="3C8C4676" w14:textId="6CB8ABD7" w:rsidR="00BB65FE" w:rsidRPr="00913E59" w:rsidRDefault="004A1B2B" w:rsidP="0086759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Cambria" w:hAnsi="Cambria"/>
          <w:sz w:val="20"/>
          <w:szCs w:val="20"/>
        </w:rPr>
        <w:t>L</w:t>
      </w:r>
      <w:r w:rsidR="007A57CD" w:rsidRPr="00913E59">
        <w:rPr>
          <w:rFonts w:ascii="Cambria" w:hAnsi="Cambria"/>
          <w:sz w:val="20"/>
          <w:szCs w:val="20"/>
        </w:rPr>
        <w:t>os peticionarios</w:t>
      </w:r>
      <w:r>
        <w:rPr>
          <w:rFonts w:ascii="Cambria" w:hAnsi="Cambria"/>
          <w:sz w:val="20"/>
          <w:szCs w:val="20"/>
        </w:rPr>
        <w:t xml:space="preserve"> aducen que</w:t>
      </w:r>
      <w:r w:rsidR="007A57CD" w:rsidRPr="00913E59">
        <w:rPr>
          <w:rFonts w:ascii="Cambria" w:hAnsi="Cambria"/>
          <w:sz w:val="20"/>
          <w:szCs w:val="20"/>
        </w:rPr>
        <w:t xml:space="preserve">, </w:t>
      </w:r>
      <w:r>
        <w:rPr>
          <w:rFonts w:ascii="Cambria" w:hAnsi="Cambria"/>
          <w:sz w:val="20"/>
          <w:szCs w:val="20"/>
        </w:rPr>
        <w:t xml:space="preserve">de acuerdo con la ley, </w:t>
      </w:r>
      <w:r w:rsidR="007A57CD" w:rsidRPr="00913E59">
        <w:rPr>
          <w:rFonts w:ascii="Cambria" w:hAnsi="Cambria"/>
          <w:sz w:val="20"/>
          <w:szCs w:val="20"/>
        </w:rPr>
        <w:t xml:space="preserve">las presuntas víctimas debieron haber sido </w:t>
      </w:r>
      <w:r w:rsidR="00913E59" w:rsidRPr="00913E59">
        <w:rPr>
          <w:rFonts w:ascii="Cambria" w:hAnsi="Cambria"/>
          <w:sz w:val="20"/>
          <w:szCs w:val="20"/>
        </w:rPr>
        <w:t xml:space="preserve">llevadas </w:t>
      </w:r>
      <w:r w:rsidR="007A57CD" w:rsidRPr="00913E59">
        <w:rPr>
          <w:rFonts w:ascii="Cambria" w:hAnsi="Cambria"/>
          <w:sz w:val="20"/>
          <w:szCs w:val="20"/>
        </w:rPr>
        <w:t>ante una autoridad judicial</w:t>
      </w:r>
      <w:r>
        <w:rPr>
          <w:rFonts w:ascii="Cambria" w:hAnsi="Cambria"/>
          <w:sz w:val="20"/>
          <w:szCs w:val="20"/>
        </w:rPr>
        <w:t xml:space="preserve"> </w:t>
      </w:r>
      <w:r w:rsidR="007A57CD" w:rsidRPr="00913E59">
        <w:rPr>
          <w:rFonts w:ascii="Cambria" w:hAnsi="Cambria"/>
          <w:sz w:val="20"/>
          <w:szCs w:val="20"/>
        </w:rPr>
        <w:t xml:space="preserve">dentro de las 24 horas </w:t>
      </w:r>
      <w:r>
        <w:rPr>
          <w:rFonts w:ascii="Cambria" w:hAnsi="Cambria"/>
          <w:sz w:val="20"/>
          <w:szCs w:val="20"/>
        </w:rPr>
        <w:t>siguientes a</w:t>
      </w:r>
      <w:r w:rsidR="007A57CD" w:rsidRPr="00913E59">
        <w:rPr>
          <w:rFonts w:ascii="Cambria" w:hAnsi="Cambria"/>
          <w:sz w:val="20"/>
          <w:szCs w:val="20"/>
        </w:rPr>
        <w:t xml:space="preserve"> su detención</w:t>
      </w:r>
      <w:r w:rsidR="00E63DFD">
        <w:rPr>
          <w:rFonts w:ascii="Cambria" w:hAnsi="Cambria"/>
          <w:sz w:val="20"/>
          <w:szCs w:val="20"/>
        </w:rPr>
        <w:t>,</w:t>
      </w:r>
      <w:r w:rsidR="00C70F82" w:rsidRPr="00913E59">
        <w:rPr>
          <w:rFonts w:ascii="Cambria" w:hAnsi="Cambria"/>
          <w:sz w:val="20"/>
          <w:szCs w:val="20"/>
        </w:rPr>
        <w:t xml:space="preserve"> para corroborar la legalidad de la misma</w:t>
      </w:r>
      <w:r w:rsidR="007A57CD" w:rsidRPr="00913E59">
        <w:rPr>
          <w:rFonts w:ascii="Cambria" w:hAnsi="Cambria"/>
          <w:sz w:val="20"/>
          <w:szCs w:val="20"/>
        </w:rPr>
        <w:t xml:space="preserve">. Sin embargo, </w:t>
      </w:r>
      <w:r w:rsidR="0090241B">
        <w:rPr>
          <w:rFonts w:ascii="Cambria" w:hAnsi="Cambria"/>
          <w:sz w:val="20"/>
          <w:szCs w:val="20"/>
        </w:rPr>
        <w:t>alegan</w:t>
      </w:r>
      <w:r w:rsidR="007A57CD" w:rsidRPr="00913E59">
        <w:rPr>
          <w:rFonts w:ascii="Cambria" w:hAnsi="Cambria"/>
          <w:sz w:val="20"/>
          <w:szCs w:val="20"/>
        </w:rPr>
        <w:t xml:space="preserve"> que el </w:t>
      </w:r>
      <w:r w:rsidR="005F32EC" w:rsidRPr="00913E59">
        <w:rPr>
          <w:rFonts w:ascii="Cambria" w:hAnsi="Cambria"/>
          <w:sz w:val="20"/>
          <w:szCs w:val="20"/>
          <w:lang w:val="es-AR"/>
        </w:rPr>
        <w:t>Juzgado 34°</w:t>
      </w:r>
      <w:r w:rsidR="007A57CD" w:rsidRPr="00913E59">
        <w:rPr>
          <w:rFonts w:ascii="Cambria" w:hAnsi="Cambria"/>
          <w:sz w:val="20"/>
          <w:szCs w:val="20"/>
        </w:rPr>
        <w:t xml:space="preserve"> </w:t>
      </w:r>
      <w:r w:rsidR="0090241B">
        <w:rPr>
          <w:rFonts w:ascii="Cambria" w:hAnsi="Cambria"/>
          <w:sz w:val="20"/>
          <w:szCs w:val="20"/>
        </w:rPr>
        <w:t>simplemente</w:t>
      </w:r>
      <w:r w:rsidR="00E82D2D" w:rsidRPr="00913E59">
        <w:rPr>
          <w:rFonts w:ascii="Cambria" w:hAnsi="Cambria"/>
          <w:sz w:val="20"/>
          <w:szCs w:val="20"/>
        </w:rPr>
        <w:t xml:space="preserve"> habría</w:t>
      </w:r>
      <w:r w:rsidR="0090241B">
        <w:rPr>
          <w:rFonts w:ascii="Cambria" w:hAnsi="Cambria"/>
          <w:sz w:val="20"/>
          <w:szCs w:val="20"/>
        </w:rPr>
        <w:t xml:space="preserve"> </w:t>
      </w:r>
      <w:r w:rsidR="00E82D2D" w:rsidRPr="00913E59">
        <w:rPr>
          <w:rFonts w:ascii="Cambria" w:hAnsi="Cambria"/>
          <w:sz w:val="20"/>
          <w:szCs w:val="20"/>
        </w:rPr>
        <w:t xml:space="preserve">“convalidado” la </w:t>
      </w:r>
      <w:r w:rsidR="0090241B">
        <w:rPr>
          <w:rFonts w:ascii="Cambria" w:hAnsi="Cambria"/>
          <w:sz w:val="20"/>
          <w:szCs w:val="20"/>
        </w:rPr>
        <w:t xml:space="preserve">supuesta </w:t>
      </w:r>
      <w:r w:rsidR="00E82D2D" w:rsidRPr="00913E59">
        <w:rPr>
          <w:rFonts w:ascii="Cambria" w:hAnsi="Cambria"/>
          <w:sz w:val="20"/>
          <w:szCs w:val="20"/>
        </w:rPr>
        <w:t>detención ilegal</w:t>
      </w:r>
      <w:r w:rsidR="00C70F82" w:rsidRPr="00913E59">
        <w:rPr>
          <w:rFonts w:ascii="Cambria" w:hAnsi="Cambria"/>
          <w:sz w:val="20"/>
          <w:szCs w:val="20"/>
        </w:rPr>
        <w:t xml:space="preserve"> de </w:t>
      </w:r>
      <w:r w:rsidR="0090241B">
        <w:rPr>
          <w:rFonts w:ascii="Cambria" w:hAnsi="Cambria"/>
          <w:sz w:val="20"/>
          <w:szCs w:val="20"/>
        </w:rPr>
        <w:t>las presuntas víctimas</w:t>
      </w:r>
      <w:r w:rsidR="00C70F82" w:rsidRPr="00913E59">
        <w:rPr>
          <w:rFonts w:ascii="Cambria" w:hAnsi="Cambria"/>
          <w:sz w:val="20"/>
          <w:szCs w:val="20"/>
        </w:rPr>
        <w:t xml:space="preserve"> </w:t>
      </w:r>
      <w:r w:rsidR="00200184" w:rsidRPr="00913E59">
        <w:rPr>
          <w:rFonts w:ascii="Cambria" w:hAnsi="Cambria"/>
          <w:sz w:val="20"/>
          <w:szCs w:val="20"/>
        </w:rPr>
        <w:t xml:space="preserve">y habría decidido </w:t>
      </w:r>
      <w:r w:rsidR="00B34645" w:rsidRPr="00913E59">
        <w:rPr>
          <w:rFonts w:ascii="Cambria" w:hAnsi="Cambria"/>
          <w:sz w:val="20"/>
          <w:szCs w:val="20"/>
        </w:rPr>
        <w:t>mantener</w:t>
      </w:r>
      <w:r w:rsidR="00200184" w:rsidRPr="00913E59">
        <w:rPr>
          <w:rFonts w:ascii="Cambria" w:hAnsi="Cambria"/>
          <w:sz w:val="20"/>
          <w:szCs w:val="20"/>
        </w:rPr>
        <w:t>l</w:t>
      </w:r>
      <w:r w:rsidR="0090241B">
        <w:rPr>
          <w:rFonts w:ascii="Cambria" w:hAnsi="Cambria"/>
          <w:sz w:val="20"/>
          <w:szCs w:val="20"/>
        </w:rPr>
        <w:t>o</w:t>
      </w:r>
      <w:r w:rsidR="00200184" w:rsidRPr="00913E59">
        <w:rPr>
          <w:rFonts w:ascii="Cambria" w:hAnsi="Cambria"/>
          <w:sz w:val="20"/>
          <w:szCs w:val="20"/>
        </w:rPr>
        <w:t>s</w:t>
      </w:r>
      <w:r w:rsidR="00B34645" w:rsidRPr="00913E59">
        <w:rPr>
          <w:rFonts w:ascii="Cambria" w:hAnsi="Cambria"/>
          <w:sz w:val="20"/>
          <w:szCs w:val="20"/>
        </w:rPr>
        <w:t xml:space="preserve"> en prisión preventiva</w:t>
      </w:r>
      <w:r w:rsidR="00A000CB">
        <w:rPr>
          <w:rFonts w:ascii="Cambria" w:hAnsi="Cambria"/>
          <w:sz w:val="20"/>
          <w:szCs w:val="20"/>
        </w:rPr>
        <w:t xml:space="preserve"> desde el 29 de noviembre de 200</w:t>
      </w:r>
      <w:r w:rsidR="0090241B">
        <w:rPr>
          <w:rFonts w:ascii="Cambria" w:hAnsi="Cambria"/>
          <w:sz w:val="20"/>
          <w:szCs w:val="20"/>
        </w:rPr>
        <w:t>4</w:t>
      </w:r>
      <w:r w:rsidR="00B34645" w:rsidRPr="00913E59">
        <w:rPr>
          <w:rFonts w:ascii="Cambria" w:hAnsi="Cambria"/>
          <w:sz w:val="20"/>
          <w:szCs w:val="20"/>
        </w:rPr>
        <w:t xml:space="preserve">. </w:t>
      </w:r>
      <w:r w:rsidR="0090241B">
        <w:rPr>
          <w:rFonts w:ascii="Cambria" w:hAnsi="Cambria"/>
          <w:sz w:val="20"/>
          <w:szCs w:val="20"/>
        </w:rPr>
        <w:t>Esta</w:t>
      </w:r>
      <w:r w:rsidR="00F966F6" w:rsidRPr="00913E59">
        <w:rPr>
          <w:rFonts w:ascii="Cambria" w:hAnsi="Cambria"/>
          <w:sz w:val="20"/>
          <w:szCs w:val="20"/>
        </w:rPr>
        <w:t xml:space="preserve"> decisión habría sido apelada </w:t>
      </w:r>
      <w:r w:rsidR="0086759C" w:rsidRPr="00913E59">
        <w:rPr>
          <w:rFonts w:ascii="Cambria" w:hAnsi="Cambria"/>
          <w:sz w:val="20"/>
          <w:szCs w:val="20"/>
        </w:rPr>
        <w:t xml:space="preserve">por los peticionarios </w:t>
      </w:r>
      <w:r w:rsidR="00F966F6" w:rsidRPr="00913E59">
        <w:rPr>
          <w:rFonts w:ascii="Cambria" w:hAnsi="Cambria"/>
          <w:sz w:val="20"/>
          <w:szCs w:val="20"/>
        </w:rPr>
        <w:t>el 3 de diciembre de</w:t>
      </w:r>
      <w:r w:rsidR="0090241B">
        <w:rPr>
          <w:rFonts w:ascii="Cambria" w:hAnsi="Cambria"/>
          <w:sz w:val="20"/>
          <w:szCs w:val="20"/>
        </w:rPr>
        <w:t xml:space="preserve"> 2004, sin embargo este recurso </w:t>
      </w:r>
      <w:r w:rsidR="00E63DFD">
        <w:rPr>
          <w:rFonts w:ascii="Cambria" w:hAnsi="Cambria"/>
          <w:sz w:val="20"/>
          <w:szCs w:val="20"/>
        </w:rPr>
        <w:t>habría sido declarad</w:t>
      </w:r>
      <w:r w:rsidR="0090241B">
        <w:rPr>
          <w:rFonts w:ascii="Cambria" w:hAnsi="Cambria"/>
          <w:sz w:val="20"/>
          <w:szCs w:val="20"/>
        </w:rPr>
        <w:t>o</w:t>
      </w:r>
      <w:r w:rsidR="00E63DFD">
        <w:rPr>
          <w:rFonts w:ascii="Cambria" w:hAnsi="Cambria"/>
          <w:sz w:val="20"/>
          <w:szCs w:val="20"/>
        </w:rPr>
        <w:t xml:space="preserve"> </w:t>
      </w:r>
      <w:r w:rsidR="00F966F6" w:rsidRPr="00913E59">
        <w:rPr>
          <w:rFonts w:ascii="Cambria" w:hAnsi="Cambria"/>
          <w:sz w:val="20"/>
          <w:szCs w:val="20"/>
        </w:rPr>
        <w:t xml:space="preserve">“sin lugar” por la Sala </w:t>
      </w:r>
      <w:r w:rsidR="00B85C1B" w:rsidRPr="00913E59">
        <w:rPr>
          <w:rFonts w:ascii="Cambria" w:hAnsi="Cambria"/>
          <w:sz w:val="20"/>
          <w:szCs w:val="20"/>
        </w:rPr>
        <w:t>Cuarta</w:t>
      </w:r>
      <w:r w:rsidR="00F966F6" w:rsidRPr="00913E59">
        <w:rPr>
          <w:rFonts w:ascii="Cambria" w:hAnsi="Cambria"/>
          <w:sz w:val="20"/>
          <w:szCs w:val="20"/>
        </w:rPr>
        <w:t xml:space="preserve"> de la </w:t>
      </w:r>
      <w:r w:rsidR="00677DA9" w:rsidRPr="00913E59">
        <w:rPr>
          <w:rFonts w:ascii="Cambria" w:hAnsi="Cambria"/>
          <w:sz w:val="20"/>
          <w:szCs w:val="20"/>
        </w:rPr>
        <w:t xml:space="preserve">Corte de Apelaciones </w:t>
      </w:r>
      <w:r w:rsidR="0090241B">
        <w:rPr>
          <w:rFonts w:ascii="Cambria" w:hAnsi="Cambria"/>
          <w:sz w:val="20"/>
          <w:szCs w:val="20"/>
        </w:rPr>
        <w:t xml:space="preserve">del </w:t>
      </w:r>
      <w:r w:rsidR="00677DA9" w:rsidRPr="00913E59">
        <w:rPr>
          <w:rFonts w:ascii="Cambria" w:hAnsi="Cambria"/>
          <w:sz w:val="20"/>
          <w:szCs w:val="20"/>
        </w:rPr>
        <w:t>Área Metropolitana de Caracas</w:t>
      </w:r>
      <w:r w:rsidR="0086759C" w:rsidRPr="00913E59">
        <w:rPr>
          <w:rFonts w:ascii="Cambria" w:hAnsi="Cambria"/>
          <w:sz w:val="20"/>
          <w:szCs w:val="20"/>
        </w:rPr>
        <w:t xml:space="preserve"> (en adelante, “Sala </w:t>
      </w:r>
      <w:r w:rsidR="00677DA9" w:rsidRPr="00913E59">
        <w:rPr>
          <w:rFonts w:ascii="Cambria" w:hAnsi="Cambria"/>
          <w:sz w:val="20"/>
          <w:szCs w:val="20"/>
        </w:rPr>
        <w:t>4</w:t>
      </w:r>
      <w:r w:rsidR="00B85C1B" w:rsidRPr="00913E59">
        <w:rPr>
          <w:rFonts w:ascii="Cambria" w:hAnsi="Cambria"/>
          <w:sz w:val="20"/>
          <w:szCs w:val="20"/>
          <w:vertAlign w:val="superscript"/>
        </w:rPr>
        <w:t>a</w:t>
      </w:r>
      <w:r w:rsidR="00677DA9" w:rsidRPr="00913E59">
        <w:rPr>
          <w:rFonts w:ascii="Cambria" w:hAnsi="Cambria"/>
          <w:sz w:val="20"/>
          <w:szCs w:val="20"/>
        </w:rPr>
        <w:t xml:space="preserve"> de la Corte de Apelaciones”</w:t>
      </w:r>
      <w:r w:rsidR="0086759C" w:rsidRPr="00913E59">
        <w:rPr>
          <w:rFonts w:ascii="Cambria" w:hAnsi="Cambria"/>
          <w:sz w:val="20"/>
          <w:szCs w:val="20"/>
        </w:rPr>
        <w:t>)</w:t>
      </w:r>
      <w:r w:rsidR="0090241B">
        <w:rPr>
          <w:rFonts w:ascii="Cambria" w:hAnsi="Cambria"/>
          <w:sz w:val="20"/>
          <w:szCs w:val="20"/>
        </w:rPr>
        <w:t xml:space="preserve"> </w:t>
      </w:r>
      <w:r w:rsidR="0090241B" w:rsidRPr="00913E59">
        <w:rPr>
          <w:rFonts w:ascii="Cambria" w:hAnsi="Cambria"/>
          <w:sz w:val="20"/>
          <w:szCs w:val="20"/>
        </w:rPr>
        <w:t>el 20 de enero de 2004</w:t>
      </w:r>
      <w:r w:rsidR="0086759C" w:rsidRPr="00913E59">
        <w:rPr>
          <w:rFonts w:ascii="Cambria" w:hAnsi="Cambria"/>
          <w:sz w:val="20"/>
          <w:szCs w:val="20"/>
        </w:rPr>
        <w:t>.</w:t>
      </w:r>
    </w:p>
    <w:p w14:paraId="46664F16" w14:textId="77777777" w:rsidR="0069579C" w:rsidRPr="00CC04BC" w:rsidRDefault="0069579C" w:rsidP="0069579C">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jc w:val="both"/>
        <w:rPr>
          <w:rFonts w:ascii="Cambria" w:hAnsi="Cambria"/>
          <w:sz w:val="20"/>
          <w:szCs w:val="20"/>
        </w:rPr>
      </w:pPr>
    </w:p>
    <w:p w14:paraId="469909AB" w14:textId="1193C628" w:rsidR="00C845E0" w:rsidRPr="00E336C0" w:rsidRDefault="00C82783" w:rsidP="00C845E0">
      <w:pPr>
        <w:pStyle w:val="ListParagraph"/>
        <w:rPr>
          <w:i/>
          <w:sz w:val="20"/>
          <w:szCs w:val="20"/>
          <w:lang w:val="es-AR"/>
        </w:rPr>
      </w:pPr>
      <w:r w:rsidRPr="00C82783">
        <w:rPr>
          <w:sz w:val="20"/>
          <w:szCs w:val="20"/>
          <w:lang w:val="es-AR"/>
        </w:rPr>
        <w:t>b.</w:t>
      </w:r>
      <w:r>
        <w:rPr>
          <w:i/>
          <w:sz w:val="20"/>
          <w:szCs w:val="20"/>
          <w:lang w:val="es-AR"/>
        </w:rPr>
        <w:t xml:space="preserve"> </w:t>
      </w:r>
      <w:r>
        <w:rPr>
          <w:i/>
          <w:sz w:val="20"/>
          <w:szCs w:val="20"/>
          <w:lang w:val="es-AR"/>
        </w:rPr>
        <w:tab/>
      </w:r>
      <w:r w:rsidR="0069579C">
        <w:rPr>
          <w:i/>
          <w:sz w:val="20"/>
          <w:szCs w:val="20"/>
          <w:lang w:val="es-AR"/>
        </w:rPr>
        <w:t xml:space="preserve">Investigación por los actos de </w:t>
      </w:r>
      <w:r w:rsidR="0069579C" w:rsidRPr="0069579C">
        <w:rPr>
          <w:i/>
          <w:sz w:val="20"/>
          <w:szCs w:val="20"/>
          <w:lang w:val="es-AR"/>
        </w:rPr>
        <w:t>tortura (Expte. C-175)</w:t>
      </w:r>
    </w:p>
    <w:p w14:paraId="27997E8F" w14:textId="77777777" w:rsidR="00C845E0" w:rsidRPr="00177B37" w:rsidRDefault="00C845E0" w:rsidP="00BC72C0">
      <w:pPr>
        <w:pStyle w:val="ListParagraph"/>
        <w:rPr>
          <w:sz w:val="20"/>
          <w:szCs w:val="20"/>
          <w:lang w:val="es-AR"/>
        </w:rPr>
      </w:pPr>
    </w:p>
    <w:p w14:paraId="1C3F326A" w14:textId="344F37B0" w:rsidR="00153FBE" w:rsidRPr="00D64658" w:rsidRDefault="008A0ECB" w:rsidP="00D6465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D64658">
        <w:rPr>
          <w:rFonts w:ascii="Cambria" w:hAnsi="Cambria" w:cs="Arial"/>
          <w:sz w:val="20"/>
          <w:szCs w:val="20"/>
        </w:rPr>
        <w:t xml:space="preserve">Una vez que las </w:t>
      </w:r>
      <w:r w:rsidR="00A96F69" w:rsidRPr="00D64658">
        <w:rPr>
          <w:rFonts w:ascii="Cambria" w:hAnsi="Cambria" w:cs="Arial"/>
          <w:sz w:val="20"/>
          <w:szCs w:val="20"/>
        </w:rPr>
        <w:t xml:space="preserve">presuntas víctimas </w:t>
      </w:r>
      <w:r w:rsidR="007328A5" w:rsidRPr="00D64658">
        <w:rPr>
          <w:rFonts w:ascii="Cambria" w:hAnsi="Cambria" w:cs="Arial"/>
          <w:sz w:val="20"/>
          <w:szCs w:val="20"/>
        </w:rPr>
        <w:t>informaron</w:t>
      </w:r>
      <w:r w:rsidR="003C04F7" w:rsidRPr="00D64658">
        <w:rPr>
          <w:rFonts w:ascii="Cambria" w:hAnsi="Cambria" w:cs="Arial"/>
          <w:sz w:val="20"/>
          <w:szCs w:val="20"/>
        </w:rPr>
        <w:t xml:space="preserve"> al </w:t>
      </w:r>
      <w:r w:rsidR="005F32EC" w:rsidRPr="00D64658">
        <w:rPr>
          <w:rFonts w:ascii="Cambria" w:hAnsi="Cambria" w:cs="Arial"/>
          <w:sz w:val="20"/>
          <w:szCs w:val="20"/>
        </w:rPr>
        <w:t>Juzgado 34°</w:t>
      </w:r>
      <w:r w:rsidR="003C04F7" w:rsidRPr="00D64658">
        <w:rPr>
          <w:rFonts w:ascii="Cambria" w:hAnsi="Cambria" w:cs="Arial"/>
          <w:sz w:val="20"/>
          <w:szCs w:val="20"/>
        </w:rPr>
        <w:t xml:space="preserve"> de </w:t>
      </w:r>
      <w:r w:rsidR="00C130A4" w:rsidRPr="00D64658">
        <w:rPr>
          <w:rFonts w:ascii="Cambria" w:hAnsi="Cambria" w:cs="Arial"/>
          <w:sz w:val="20"/>
          <w:szCs w:val="20"/>
        </w:rPr>
        <w:t>los</w:t>
      </w:r>
      <w:r w:rsidR="007328A5" w:rsidRPr="00D64658">
        <w:rPr>
          <w:rFonts w:ascii="Cambria" w:hAnsi="Cambria" w:cs="Arial"/>
          <w:sz w:val="20"/>
          <w:szCs w:val="20"/>
        </w:rPr>
        <w:t xml:space="preserve"> alegados</w:t>
      </w:r>
      <w:r w:rsidR="00C130A4" w:rsidRPr="00D64658">
        <w:rPr>
          <w:rFonts w:ascii="Cambria" w:hAnsi="Cambria" w:cs="Arial"/>
          <w:sz w:val="20"/>
          <w:szCs w:val="20"/>
        </w:rPr>
        <w:t xml:space="preserve"> a</w:t>
      </w:r>
      <w:r w:rsidR="003C04F7" w:rsidRPr="00D64658">
        <w:rPr>
          <w:rFonts w:ascii="Cambria" w:hAnsi="Cambria" w:cs="Arial"/>
          <w:sz w:val="20"/>
          <w:szCs w:val="20"/>
        </w:rPr>
        <w:t>ctos de tortura</w:t>
      </w:r>
      <w:r w:rsidRPr="00D64658">
        <w:rPr>
          <w:rFonts w:ascii="Cambria" w:hAnsi="Cambria" w:cs="Arial"/>
          <w:sz w:val="20"/>
          <w:szCs w:val="20"/>
        </w:rPr>
        <w:t xml:space="preserve">, </w:t>
      </w:r>
      <w:r w:rsidR="007328A5" w:rsidRPr="00D64658">
        <w:rPr>
          <w:rFonts w:ascii="Cambria" w:hAnsi="Cambria" w:cs="Arial"/>
          <w:sz w:val="20"/>
          <w:szCs w:val="20"/>
        </w:rPr>
        <w:t xml:space="preserve">se designó la investigación de estos hechos a </w:t>
      </w:r>
      <w:r w:rsidR="00EC5C42" w:rsidRPr="00D64658">
        <w:rPr>
          <w:rFonts w:ascii="Cambria" w:hAnsi="Cambria" w:cs="Arial"/>
          <w:sz w:val="20"/>
          <w:szCs w:val="20"/>
        </w:rPr>
        <w:t>la Fiscalía 126°.</w:t>
      </w:r>
      <w:r w:rsidR="0069579C" w:rsidRPr="00D64658">
        <w:rPr>
          <w:rFonts w:ascii="Cambria" w:hAnsi="Cambria" w:cs="Arial"/>
          <w:sz w:val="20"/>
          <w:szCs w:val="20"/>
        </w:rPr>
        <w:t xml:space="preserve"> </w:t>
      </w:r>
      <w:r w:rsidR="00EC5C42" w:rsidRPr="00D64658">
        <w:rPr>
          <w:rFonts w:ascii="Cambria" w:hAnsi="Cambria" w:cs="Arial"/>
          <w:sz w:val="20"/>
          <w:szCs w:val="20"/>
        </w:rPr>
        <w:t>Los peticionarios afirman que el 3 de diciembre</w:t>
      </w:r>
      <w:r w:rsidR="008E46E7" w:rsidRPr="00D64658">
        <w:rPr>
          <w:rFonts w:ascii="Cambria" w:hAnsi="Cambria" w:cs="Arial"/>
          <w:sz w:val="20"/>
          <w:szCs w:val="20"/>
        </w:rPr>
        <w:t xml:space="preserve"> </w:t>
      </w:r>
      <w:r w:rsidR="00123ACD" w:rsidRPr="00D64658">
        <w:rPr>
          <w:rFonts w:ascii="Cambria" w:hAnsi="Cambria" w:cs="Arial"/>
          <w:sz w:val="20"/>
          <w:szCs w:val="20"/>
        </w:rPr>
        <w:t>de 2004</w:t>
      </w:r>
      <w:r w:rsidRPr="00D64658">
        <w:rPr>
          <w:rFonts w:ascii="Cambria" w:hAnsi="Cambria" w:cs="Arial"/>
          <w:sz w:val="20"/>
          <w:szCs w:val="20"/>
        </w:rPr>
        <w:t>,</w:t>
      </w:r>
      <w:r w:rsidR="008E46E7" w:rsidRPr="00D64658">
        <w:rPr>
          <w:rFonts w:ascii="Cambria" w:hAnsi="Cambria" w:cs="Arial"/>
          <w:sz w:val="20"/>
          <w:szCs w:val="20"/>
        </w:rPr>
        <w:t xml:space="preserve"> </w:t>
      </w:r>
      <w:r w:rsidR="00EC5C42" w:rsidRPr="00D64658">
        <w:rPr>
          <w:rFonts w:ascii="Cambria" w:hAnsi="Cambria" w:cs="Arial"/>
          <w:sz w:val="20"/>
          <w:szCs w:val="20"/>
        </w:rPr>
        <w:t xml:space="preserve">habrían solicitado </w:t>
      </w:r>
      <w:r w:rsidR="007328A5" w:rsidRPr="00D64658">
        <w:rPr>
          <w:rFonts w:ascii="Cambria" w:hAnsi="Cambria" w:cs="Arial"/>
          <w:sz w:val="20"/>
          <w:szCs w:val="20"/>
        </w:rPr>
        <w:t xml:space="preserve">a esa fiscalía </w:t>
      </w:r>
      <w:r w:rsidR="00EC5C42" w:rsidRPr="00D64658">
        <w:rPr>
          <w:rFonts w:ascii="Cambria" w:hAnsi="Cambria" w:cs="Arial"/>
          <w:sz w:val="20"/>
          <w:szCs w:val="20"/>
        </w:rPr>
        <w:t>la producción de determinadas medidas probatorias, tales como pericias médicas a las presuntas víctimas.</w:t>
      </w:r>
      <w:r w:rsidR="00D64658" w:rsidRPr="00D64658">
        <w:rPr>
          <w:rFonts w:ascii="Cambria" w:hAnsi="Cambria"/>
          <w:sz w:val="20"/>
          <w:szCs w:val="20"/>
        </w:rPr>
        <w:t xml:space="preserve"> </w:t>
      </w:r>
      <w:r w:rsidR="007328A5" w:rsidRPr="00D64658">
        <w:rPr>
          <w:rFonts w:ascii="Cambria" w:hAnsi="Cambria"/>
          <w:sz w:val="20"/>
          <w:szCs w:val="20"/>
        </w:rPr>
        <w:t>A este respecto, indican que</w:t>
      </w:r>
      <w:r w:rsidR="008B1F6F" w:rsidRPr="00D64658">
        <w:rPr>
          <w:rFonts w:ascii="Cambria" w:hAnsi="Cambria"/>
          <w:sz w:val="20"/>
          <w:szCs w:val="20"/>
        </w:rPr>
        <w:t xml:space="preserve"> el 26 de noviembre de 2004 la Fiscalía 126 del Área Metropolitana de Caracas habría</w:t>
      </w:r>
      <w:r w:rsidR="0093407B" w:rsidRPr="00D64658">
        <w:rPr>
          <w:rFonts w:ascii="Cambria" w:hAnsi="Cambria"/>
          <w:sz w:val="20"/>
          <w:szCs w:val="20"/>
        </w:rPr>
        <w:t xml:space="preserve"> </w:t>
      </w:r>
      <w:r w:rsidR="008B1F6F" w:rsidRPr="00D64658">
        <w:rPr>
          <w:rFonts w:ascii="Cambria" w:hAnsi="Cambria"/>
          <w:sz w:val="20"/>
          <w:szCs w:val="20"/>
        </w:rPr>
        <w:t xml:space="preserve">ordenado un reconocimiento médico legal a los hermanos Guevara Pérez. De dicho examen se habría constatado que Otoniel Guevara </w:t>
      </w:r>
      <w:r w:rsidR="00E9106B" w:rsidRPr="00D64658">
        <w:rPr>
          <w:rFonts w:ascii="Cambria" w:hAnsi="Cambria"/>
          <w:sz w:val="20"/>
          <w:szCs w:val="20"/>
        </w:rPr>
        <w:t xml:space="preserve">Pérez </w:t>
      </w:r>
      <w:r w:rsidR="008B1F6F" w:rsidRPr="00D64658">
        <w:rPr>
          <w:rFonts w:ascii="Cambria" w:hAnsi="Cambria"/>
          <w:sz w:val="20"/>
          <w:szCs w:val="20"/>
        </w:rPr>
        <w:t>poseía equimosis en la lengua, muñecas y manos así como excoriaciones en las muñecas, manos y nuca. A su vez, Rolando</w:t>
      </w:r>
      <w:r w:rsidR="00E9106B" w:rsidRPr="00D64658">
        <w:rPr>
          <w:rFonts w:ascii="Cambria" w:hAnsi="Cambria"/>
          <w:sz w:val="20"/>
          <w:szCs w:val="20"/>
        </w:rPr>
        <w:t xml:space="preserve"> Jesús</w:t>
      </w:r>
      <w:r w:rsidR="008B1F6F" w:rsidRPr="00D64658">
        <w:rPr>
          <w:rFonts w:ascii="Cambria" w:hAnsi="Cambria"/>
          <w:sz w:val="20"/>
          <w:szCs w:val="20"/>
        </w:rPr>
        <w:t xml:space="preserve"> Guevara Pérez habría sufrido equimosis en ambas muñecas y excoriaciones en la región del cóccix</w:t>
      </w:r>
      <w:r w:rsidR="00FD0DB9">
        <w:rPr>
          <w:rFonts w:ascii="Cambria" w:hAnsi="Cambria"/>
          <w:sz w:val="20"/>
          <w:szCs w:val="20"/>
        </w:rPr>
        <w:t>; y</w:t>
      </w:r>
      <w:r w:rsidR="00025B6F" w:rsidRPr="00D64658">
        <w:rPr>
          <w:rFonts w:ascii="Cambria" w:hAnsi="Cambria"/>
          <w:sz w:val="20"/>
          <w:szCs w:val="20"/>
        </w:rPr>
        <w:t xml:space="preserve"> Juan Bautista Guevara Rodríguez poseía una contusión edematosa en el cuero cabelludo; excoriaciones dorso en la mano derecho; fatiga pronunciada por deshidratación del cuerpo y letargo por deshidratación del cuerpo.</w:t>
      </w:r>
    </w:p>
    <w:p w14:paraId="69B74F49" w14:textId="77777777" w:rsidR="003C5B8D" w:rsidRPr="003C5B8D" w:rsidRDefault="003C5B8D" w:rsidP="003C5B8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69ACA777" w14:textId="308D4C17" w:rsidR="0009469A" w:rsidRPr="0009469A" w:rsidRDefault="0081156B" w:rsidP="00C71EB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Theme="majorHAnsi" w:hAnsiTheme="majorHAnsi"/>
          <w:sz w:val="20"/>
          <w:szCs w:val="20"/>
          <w:lang w:val="es-AR"/>
        </w:rPr>
      </w:pPr>
      <w:r>
        <w:rPr>
          <w:rFonts w:asciiTheme="majorHAnsi" w:hAnsiTheme="majorHAnsi"/>
          <w:sz w:val="20"/>
          <w:szCs w:val="20"/>
        </w:rPr>
        <w:t>Los</w:t>
      </w:r>
      <w:r w:rsidR="00CF6327">
        <w:rPr>
          <w:rFonts w:asciiTheme="majorHAnsi" w:hAnsiTheme="majorHAnsi"/>
          <w:sz w:val="20"/>
          <w:szCs w:val="20"/>
        </w:rPr>
        <w:t xml:space="preserve"> peticionarios</w:t>
      </w:r>
      <w:r>
        <w:rPr>
          <w:rFonts w:asciiTheme="majorHAnsi" w:hAnsiTheme="majorHAnsi"/>
          <w:sz w:val="20"/>
          <w:szCs w:val="20"/>
        </w:rPr>
        <w:t xml:space="preserve"> </w:t>
      </w:r>
      <w:r w:rsidR="00EB55A7">
        <w:rPr>
          <w:rFonts w:asciiTheme="majorHAnsi" w:hAnsiTheme="majorHAnsi"/>
          <w:sz w:val="20"/>
          <w:szCs w:val="20"/>
        </w:rPr>
        <w:t xml:space="preserve">indican </w:t>
      </w:r>
      <w:r w:rsidR="004B117B">
        <w:rPr>
          <w:rFonts w:asciiTheme="majorHAnsi" w:hAnsiTheme="majorHAnsi"/>
          <w:sz w:val="20"/>
          <w:szCs w:val="20"/>
        </w:rPr>
        <w:t xml:space="preserve">además que </w:t>
      </w:r>
      <w:r w:rsidR="00EB55A7">
        <w:rPr>
          <w:rFonts w:asciiTheme="majorHAnsi" w:hAnsiTheme="majorHAnsi"/>
          <w:sz w:val="20"/>
          <w:szCs w:val="20"/>
        </w:rPr>
        <w:t xml:space="preserve">en enero de 2005 el caso fue reasignado al </w:t>
      </w:r>
      <w:r w:rsidR="00EB55A7" w:rsidRPr="00CB2EDE">
        <w:rPr>
          <w:rFonts w:asciiTheme="majorHAnsi" w:hAnsiTheme="majorHAnsi"/>
          <w:sz w:val="20"/>
          <w:szCs w:val="20"/>
        </w:rPr>
        <w:t xml:space="preserve">Juzgado Undécimo de Primera Instancia </w:t>
      </w:r>
      <w:r w:rsidR="00EB55A7" w:rsidRPr="00291815">
        <w:rPr>
          <w:rFonts w:asciiTheme="majorHAnsi" w:hAnsiTheme="majorHAnsi"/>
          <w:sz w:val="20"/>
          <w:szCs w:val="20"/>
        </w:rPr>
        <w:t>del Área Metropolitana de Caracas</w:t>
      </w:r>
      <w:r w:rsidR="00EB55A7">
        <w:rPr>
          <w:rFonts w:asciiTheme="majorHAnsi" w:hAnsiTheme="majorHAnsi"/>
          <w:sz w:val="20"/>
          <w:szCs w:val="20"/>
        </w:rPr>
        <w:t xml:space="preserve"> (en adelante, “Juzgado 11°”), en razón de una serie de declaraciones públicas sesgadas emitidas el</w:t>
      </w:r>
      <w:r w:rsidR="004B117B">
        <w:rPr>
          <w:rFonts w:asciiTheme="majorHAnsi" w:hAnsiTheme="majorHAnsi"/>
          <w:sz w:val="20"/>
          <w:szCs w:val="20"/>
        </w:rPr>
        <w:t xml:space="preserve"> 14 de enero de 2005</w:t>
      </w:r>
      <w:r w:rsidR="00C71EBD" w:rsidRPr="0009469A">
        <w:rPr>
          <w:rFonts w:asciiTheme="majorHAnsi" w:hAnsiTheme="majorHAnsi"/>
          <w:sz w:val="20"/>
          <w:szCs w:val="20"/>
        </w:rPr>
        <w:t xml:space="preserve"> </w:t>
      </w:r>
      <w:r w:rsidR="00EB55A7">
        <w:rPr>
          <w:rFonts w:asciiTheme="majorHAnsi" w:hAnsiTheme="majorHAnsi"/>
          <w:sz w:val="20"/>
          <w:szCs w:val="20"/>
        </w:rPr>
        <w:t>por el titular del</w:t>
      </w:r>
      <w:r w:rsidR="00C71EBD" w:rsidRPr="0009469A">
        <w:rPr>
          <w:rFonts w:asciiTheme="majorHAnsi" w:hAnsiTheme="majorHAnsi"/>
          <w:sz w:val="20"/>
          <w:szCs w:val="20"/>
        </w:rPr>
        <w:t xml:space="preserve"> </w:t>
      </w:r>
      <w:r w:rsidR="005F32EC">
        <w:rPr>
          <w:rFonts w:asciiTheme="majorHAnsi" w:hAnsiTheme="majorHAnsi"/>
          <w:sz w:val="20"/>
          <w:szCs w:val="20"/>
        </w:rPr>
        <w:t>Juzgado 34°</w:t>
      </w:r>
      <w:r w:rsidR="00EB55A7">
        <w:rPr>
          <w:rFonts w:asciiTheme="majorHAnsi" w:hAnsiTheme="majorHAnsi"/>
          <w:sz w:val="20"/>
          <w:szCs w:val="20"/>
        </w:rPr>
        <w:t>.</w:t>
      </w:r>
      <w:r w:rsidR="00C71EBD" w:rsidRPr="0009469A">
        <w:rPr>
          <w:rFonts w:asciiTheme="majorHAnsi" w:hAnsiTheme="majorHAnsi"/>
          <w:sz w:val="20"/>
          <w:szCs w:val="20"/>
        </w:rPr>
        <w:t xml:space="preserve"> </w:t>
      </w:r>
    </w:p>
    <w:p w14:paraId="0FC94B05" w14:textId="77777777" w:rsidR="0009469A" w:rsidRDefault="0009469A" w:rsidP="0009469A">
      <w:pPr>
        <w:pStyle w:val="ListParagraph"/>
        <w:rPr>
          <w:rFonts w:asciiTheme="majorHAnsi" w:hAnsiTheme="majorHAnsi"/>
          <w:sz w:val="20"/>
          <w:szCs w:val="20"/>
          <w:lang w:val="es-AR"/>
        </w:rPr>
      </w:pPr>
    </w:p>
    <w:p w14:paraId="20D0F701" w14:textId="740750C7" w:rsidR="004A7603" w:rsidRPr="002B7823" w:rsidRDefault="009D3E00" w:rsidP="002B78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Theme="majorHAnsi" w:hAnsiTheme="majorHAnsi"/>
          <w:sz w:val="20"/>
          <w:szCs w:val="20"/>
          <w:lang w:val="es-AR"/>
        </w:rPr>
        <w:t>Señalan</w:t>
      </w:r>
      <w:r w:rsidR="00570071" w:rsidRPr="0009469A">
        <w:rPr>
          <w:rFonts w:asciiTheme="majorHAnsi" w:hAnsiTheme="majorHAnsi"/>
          <w:sz w:val="20"/>
          <w:szCs w:val="20"/>
          <w:lang w:val="es-AR"/>
        </w:rPr>
        <w:t xml:space="preserve"> que</w:t>
      </w:r>
      <w:r>
        <w:rPr>
          <w:rFonts w:asciiTheme="majorHAnsi" w:hAnsiTheme="majorHAnsi"/>
          <w:sz w:val="20"/>
          <w:szCs w:val="20"/>
          <w:lang w:val="es-AR"/>
        </w:rPr>
        <w:t xml:space="preserve"> el 8 de marzo de 2005</w:t>
      </w:r>
      <w:r w:rsidR="00570071" w:rsidRPr="0009469A">
        <w:rPr>
          <w:rFonts w:asciiTheme="majorHAnsi" w:hAnsiTheme="majorHAnsi"/>
          <w:sz w:val="20"/>
          <w:szCs w:val="20"/>
          <w:lang w:val="es-AR"/>
        </w:rPr>
        <w:t xml:space="preserve"> </w:t>
      </w:r>
      <w:r w:rsidR="00FC4DB1">
        <w:rPr>
          <w:rFonts w:asciiTheme="majorHAnsi" w:hAnsiTheme="majorHAnsi"/>
          <w:sz w:val="20"/>
          <w:szCs w:val="20"/>
          <w:lang w:val="es-AR"/>
        </w:rPr>
        <w:t>informaron al</w:t>
      </w:r>
      <w:r w:rsidR="00570071" w:rsidRPr="0009469A">
        <w:rPr>
          <w:rFonts w:asciiTheme="majorHAnsi" w:hAnsiTheme="majorHAnsi"/>
          <w:sz w:val="20"/>
          <w:szCs w:val="20"/>
          <w:lang w:val="es-AR"/>
        </w:rPr>
        <w:t xml:space="preserve"> </w:t>
      </w:r>
      <w:r w:rsidR="005F32EC" w:rsidRPr="00CB2EDE">
        <w:rPr>
          <w:rFonts w:asciiTheme="majorHAnsi" w:hAnsiTheme="majorHAnsi"/>
          <w:sz w:val="20"/>
          <w:szCs w:val="20"/>
        </w:rPr>
        <w:t xml:space="preserve">Juzgado </w:t>
      </w:r>
      <w:r w:rsidR="00570071" w:rsidRPr="0009469A">
        <w:rPr>
          <w:rFonts w:asciiTheme="majorHAnsi" w:hAnsiTheme="majorHAnsi"/>
          <w:sz w:val="20"/>
          <w:szCs w:val="20"/>
          <w:lang w:val="es-AR"/>
        </w:rPr>
        <w:t xml:space="preserve">11° </w:t>
      </w:r>
      <w:r>
        <w:rPr>
          <w:rFonts w:asciiTheme="majorHAnsi" w:hAnsiTheme="majorHAnsi"/>
          <w:sz w:val="20"/>
          <w:szCs w:val="20"/>
          <w:lang w:val="es-AR"/>
        </w:rPr>
        <w:t xml:space="preserve">acerca de los supuestos </w:t>
      </w:r>
      <w:r w:rsidR="0009469A" w:rsidRPr="0009469A">
        <w:rPr>
          <w:rFonts w:asciiTheme="majorHAnsi" w:hAnsiTheme="majorHAnsi"/>
          <w:sz w:val="20"/>
          <w:szCs w:val="20"/>
          <w:lang w:val="es-AR"/>
        </w:rPr>
        <w:t xml:space="preserve">actos de tortura </w:t>
      </w:r>
      <w:r>
        <w:rPr>
          <w:rFonts w:asciiTheme="majorHAnsi" w:hAnsiTheme="majorHAnsi"/>
          <w:sz w:val="20"/>
          <w:szCs w:val="20"/>
          <w:lang w:val="es-AR"/>
        </w:rPr>
        <w:t>perpetrados por</w:t>
      </w:r>
      <w:r w:rsidR="0009469A" w:rsidRPr="0009469A">
        <w:rPr>
          <w:rFonts w:asciiTheme="majorHAnsi" w:hAnsiTheme="majorHAnsi"/>
          <w:sz w:val="20"/>
          <w:szCs w:val="20"/>
          <w:lang w:val="es-AR"/>
        </w:rPr>
        <w:t xml:space="preserve"> funcionarios del Ministerio Público</w:t>
      </w:r>
      <w:r w:rsidR="00FC4DB1">
        <w:rPr>
          <w:rFonts w:asciiTheme="majorHAnsi" w:hAnsiTheme="majorHAnsi"/>
          <w:sz w:val="20"/>
          <w:szCs w:val="20"/>
          <w:lang w:val="es-AR"/>
        </w:rPr>
        <w:t>; sin embargo, las investigaciones respectivas</w:t>
      </w:r>
      <w:r w:rsidR="00A806BE">
        <w:rPr>
          <w:rFonts w:asciiTheme="majorHAnsi" w:hAnsiTheme="majorHAnsi"/>
          <w:color w:val="000000" w:themeColor="text1"/>
          <w:sz w:val="20"/>
          <w:szCs w:val="20"/>
        </w:rPr>
        <w:t xml:space="preserve"> no habría registrado avance significativo</w:t>
      </w:r>
      <w:r w:rsidR="0009469A">
        <w:rPr>
          <w:rFonts w:asciiTheme="majorHAnsi" w:hAnsiTheme="majorHAnsi"/>
          <w:color w:val="000000" w:themeColor="text1"/>
          <w:sz w:val="20"/>
          <w:szCs w:val="20"/>
        </w:rPr>
        <w:t xml:space="preserve"> </w:t>
      </w:r>
      <w:r w:rsidR="00A806BE">
        <w:rPr>
          <w:rFonts w:asciiTheme="majorHAnsi" w:hAnsiTheme="majorHAnsi"/>
          <w:color w:val="000000" w:themeColor="text1"/>
          <w:sz w:val="20"/>
          <w:szCs w:val="20"/>
        </w:rPr>
        <w:t>alguno</w:t>
      </w:r>
      <w:r w:rsidR="00FC4DB1">
        <w:rPr>
          <w:rFonts w:asciiTheme="majorHAnsi" w:hAnsiTheme="majorHAnsi"/>
          <w:color w:val="000000" w:themeColor="text1"/>
          <w:sz w:val="20"/>
          <w:szCs w:val="20"/>
        </w:rPr>
        <w:t>,</w:t>
      </w:r>
      <w:r w:rsidR="00A806BE">
        <w:rPr>
          <w:rFonts w:asciiTheme="majorHAnsi" w:hAnsiTheme="majorHAnsi"/>
          <w:color w:val="000000" w:themeColor="text1"/>
          <w:sz w:val="20"/>
          <w:szCs w:val="20"/>
        </w:rPr>
        <w:t xml:space="preserve"> </w:t>
      </w:r>
      <w:r w:rsidR="0009469A">
        <w:rPr>
          <w:rFonts w:asciiTheme="majorHAnsi" w:hAnsiTheme="majorHAnsi"/>
          <w:color w:val="000000" w:themeColor="text1"/>
          <w:sz w:val="20"/>
          <w:szCs w:val="20"/>
        </w:rPr>
        <w:t xml:space="preserve">hasta que </w:t>
      </w:r>
      <w:r w:rsidR="00C2253F" w:rsidRPr="0009469A">
        <w:rPr>
          <w:rFonts w:asciiTheme="majorHAnsi" w:hAnsiTheme="majorHAnsi" w:cs="Arial"/>
          <w:color w:val="000000" w:themeColor="text1"/>
          <w:sz w:val="20"/>
          <w:szCs w:val="20"/>
        </w:rPr>
        <w:t>el 19 de julio de 2006</w:t>
      </w:r>
      <w:r w:rsidR="00C2253F">
        <w:rPr>
          <w:rFonts w:asciiTheme="majorHAnsi" w:hAnsiTheme="majorHAnsi" w:cs="Arial"/>
          <w:color w:val="000000" w:themeColor="text1"/>
          <w:sz w:val="20"/>
          <w:szCs w:val="20"/>
        </w:rPr>
        <w:t xml:space="preserve"> </w:t>
      </w:r>
      <w:r w:rsidR="00C845E0" w:rsidRPr="0009469A">
        <w:rPr>
          <w:rFonts w:asciiTheme="majorHAnsi" w:hAnsiTheme="majorHAnsi" w:cs="Arial"/>
          <w:color w:val="000000" w:themeColor="text1"/>
          <w:sz w:val="20"/>
          <w:szCs w:val="20"/>
        </w:rPr>
        <w:t xml:space="preserve">se </w:t>
      </w:r>
      <w:r w:rsidR="00FC4DB1">
        <w:rPr>
          <w:rFonts w:asciiTheme="majorHAnsi" w:hAnsiTheme="majorHAnsi" w:cs="Arial"/>
          <w:color w:val="000000" w:themeColor="text1"/>
          <w:sz w:val="20"/>
          <w:szCs w:val="20"/>
        </w:rPr>
        <w:t>dispuso</w:t>
      </w:r>
      <w:r w:rsidR="00C845E0" w:rsidRPr="0009469A">
        <w:rPr>
          <w:rFonts w:asciiTheme="majorHAnsi" w:hAnsiTheme="majorHAnsi" w:cs="Arial"/>
          <w:color w:val="000000" w:themeColor="text1"/>
          <w:sz w:val="20"/>
          <w:szCs w:val="20"/>
        </w:rPr>
        <w:t xml:space="preserve"> el archivo fiscal de la investigación</w:t>
      </w:r>
      <w:r w:rsidR="000C1074" w:rsidRPr="0009469A">
        <w:rPr>
          <w:rFonts w:asciiTheme="majorHAnsi" w:hAnsiTheme="majorHAnsi" w:cs="Arial"/>
          <w:color w:val="000000" w:themeColor="text1"/>
          <w:sz w:val="20"/>
          <w:szCs w:val="20"/>
        </w:rPr>
        <w:t xml:space="preserve"> </w:t>
      </w:r>
      <w:r w:rsidR="00F72BEB" w:rsidRPr="0009469A">
        <w:rPr>
          <w:rFonts w:asciiTheme="majorHAnsi" w:hAnsiTheme="majorHAnsi"/>
          <w:color w:val="000000" w:themeColor="text1"/>
          <w:sz w:val="20"/>
          <w:szCs w:val="20"/>
        </w:rPr>
        <w:t xml:space="preserve">sin que se </w:t>
      </w:r>
      <w:r w:rsidR="00FC4DB1">
        <w:rPr>
          <w:rFonts w:asciiTheme="majorHAnsi" w:hAnsiTheme="majorHAnsi"/>
          <w:color w:val="000000" w:themeColor="text1"/>
          <w:sz w:val="20"/>
          <w:szCs w:val="20"/>
        </w:rPr>
        <w:t xml:space="preserve">hubiese individualizado </w:t>
      </w:r>
      <w:r w:rsidR="00A748F4">
        <w:rPr>
          <w:rFonts w:asciiTheme="majorHAnsi" w:hAnsiTheme="majorHAnsi"/>
          <w:color w:val="000000" w:themeColor="text1"/>
          <w:sz w:val="20"/>
          <w:szCs w:val="20"/>
        </w:rPr>
        <w:t>a ninguno de</w:t>
      </w:r>
      <w:r w:rsidR="00FC4DB1">
        <w:rPr>
          <w:rFonts w:asciiTheme="majorHAnsi" w:hAnsiTheme="majorHAnsi"/>
          <w:color w:val="000000" w:themeColor="text1"/>
          <w:sz w:val="20"/>
          <w:szCs w:val="20"/>
        </w:rPr>
        <w:t xml:space="preserve"> los posibles responsables</w:t>
      </w:r>
      <w:r w:rsidR="00F72BEB" w:rsidRPr="0009469A">
        <w:rPr>
          <w:rFonts w:ascii="Cambria" w:hAnsi="Cambria"/>
          <w:color w:val="000000" w:themeColor="text1"/>
          <w:sz w:val="20"/>
          <w:szCs w:val="20"/>
        </w:rPr>
        <w:t>.</w:t>
      </w:r>
      <w:r w:rsidR="00C845E0" w:rsidRPr="0009469A">
        <w:rPr>
          <w:rFonts w:ascii="Cambria" w:hAnsi="Cambria" w:cs="Arial"/>
          <w:color w:val="000000" w:themeColor="text1"/>
          <w:sz w:val="20"/>
          <w:szCs w:val="20"/>
        </w:rPr>
        <w:t xml:space="preserve"> </w:t>
      </w:r>
      <w:r w:rsidR="002B7823">
        <w:rPr>
          <w:rFonts w:ascii="Cambria" w:hAnsi="Cambria" w:cs="Arial"/>
          <w:sz w:val="20"/>
          <w:szCs w:val="20"/>
        </w:rPr>
        <w:t xml:space="preserve">Alegan </w:t>
      </w:r>
      <w:r w:rsidR="00C82783" w:rsidRPr="002B7823">
        <w:rPr>
          <w:rFonts w:ascii="Cambria" w:hAnsi="Cambria" w:cs="Arial"/>
          <w:sz w:val="20"/>
          <w:szCs w:val="20"/>
        </w:rPr>
        <w:t xml:space="preserve">que </w:t>
      </w:r>
      <w:r w:rsidR="002B7823">
        <w:rPr>
          <w:rFonts w:ascii="Cambria" w:hAnsi="Cambria" w:cs="Arial"/>
          <w:sz w:val="20"/>
          <w:szCs w:val="20"/>
        </w:rPr>
        <w:t>no se investigó con la debida diligencia</w:t>
      </w:r>
      <w:r w:rsidR="00C82783" w:rsidRPr="002B7823">
        <w:rPr>
          <w:rFonts w:ascii="Cambria" w:hAnsi="Cambria" w:cs="Arial"/>
          <w:sz w:val="20"/>
          <w:szCs w:val="20"/>
        </w:rPr>
        <w:t xml:space="preserve">, </w:t>
      </w:r>
      <w:r w:rsidR="002B7823">
        <w:rPr>
          <w:rFonts w:ascii="Cambria" w:hAnsi="Cambria" w:cs="Arial"/>
          <w:sz w:val="20"/>
          <w:szCs w:val="20"/>
        </w:rPr>
        <w:t>a pesar de la evidencia médica de los supuestos actos de tortura</w:t>
      </w:r>
      <w:r w:rsidR="00C82783" w:rsidRPr="002B7823">
        <w:rPr>
          <w:rFonts w:ascii="Cambria" w:hAnsi="Cambria" w:cs="Arial"/>
          <w:sz w:val="20"/>
          <w:szCs w:val="20"/>
        </w:rPr>
        <w:t>.</w:t>
      </w:r>
      <w:r w:rsidR="0073489E" w:rsidRPr="002B7823">
        <w:rPr>
          <w:rFonts w:ascii="Cambria" w:hAnsi="Cambria" w:cs="Arial"/>
          <w:sz w:val="20"/>
          <w:szCs w:val="20"/>
        </w:rPr>
        <w:t xml:space="preserve"> </w:t>
      </w:r>
      <w:r w:rsidR="0009469A" w:rsidRPr="002B7823">
        <w:rPr>
          <w:rFonts w:ascii="Cambria" w:hAnsi="Cambria" w:cs="Arial"/>
          <w:color w:val="000000" w:themeColor="text1"/>
          <w:sz w:val="20"/>
          <w:szCs w:val="20"/>
        </w:rPr>
        <w:t>Asimismo</w:t>
      </w:r>
      <w:r w:rsidR="00C845E0" w:rsidRPr="002B7823">
        <w:rPr>
          <w:rFonts w:ascii="Cambria" w:hAnsi="Cambria" w:cs="Arial"/>
          <w:color w:val="000000" w:themeColor="text1"/>
          <w:sz w:val="20"/>
          <w:szCs w:val="20"/>
        </w:rPr>
        <w:t>, que no se les habría permitido obtener copias del expediente</w:t>
      </w:r>
      <w:r w:rsidR="002B7823">
        <w:rPr>
          <w:rFonts w:ascii="Cambria" w:hAnsi="Cambria" w:cs="Arial"/>
          <w:color w:val="000000" w:themeColor="text1"/>
          <w:sz w:val="20"/>
          <w:szCs w:val="20"/>
        </w:rPr>
        <w:t>,</w:t>
      </w:r>
      <w:r w:rsidR="00C845E0" w:rsidRPr="002B7823">
        <w:rPr>
          <w:rFonts w:ascii="Cambria" w:hAnsi="Cambria" w:cs="Arial"/>
          <w:color w:val="000000" w:themeColor="text1"/>
          <w:sz w:val="20"/>
          <w:szCs w:val="20"/>
        </w:rPr>
        <w:t xml:space="preserve"> y que el abogado defensor </w:t>
      </w:r>
      <w:r w:rsidR="002B7823">
        <w:rPr>
          <w:rFonts w:ascii="Cambria" w:hAnsi="Cambria" w:cs="Arial"/>
          <w:color w:val="000000" w:themeColor="text1"/>
          <w:sz w:val="20"/>
          <w:szCs w:val="20"/>
        </w:rPr>
        <w:t xml:space="preserve">solo </w:t>
      </w:r>
      <w:r w:rsidR="00C845E0" w:rsidRPr="002B7823">
        <w:rPr>
          <w:rFonts w:ascii="Cambria" w:hAnsi="Cambria" w:cs="Arial"/>
          <w:color w:val="000000" w:themeColor="text1"/>
          <w:sz w:val="20"/>
          <w:szCs w:val="20"/>
        </w:rPr>
        <w:t xml:space="preserve">habría </w:t>
      </w:r>
      <w:r w:rsidR="002B7823">
        <w:rPr>
          <w:rFonts w:ascii="Cambria" w:hAnsi="Cambria" w:cs="Arial"/>
          <w:color w:val="000000" w:themeColor="text1"/>
          <w:sz w:val="20"/>
          <w:szCs w:val="20"/>
        </w:rPr>
        <w:t>tenido</w:t>
      </w:r>
      <w:r w:rsidR="00C845E0" w:rsidRPr="002B7823">
        <w:rPr>
          <w:rFonts w:ascii="Cambria" w:hAnsi="Cambria" w:cs="Arial"/>
          <w:color w:val="000000" w:themeColor="text1"/>
          <w:sz w:val="20"/>
          <w:szCs w:val="20"/>
        </w:rPr>
        <w:t xml:space="preserve"> acceso a la lectura del </w:t>
      </w:r>
      <w:r w:rsidR="0009469A" w:rsidRPr="002B7823">
        <w:rPr>
          <w:rFonts w:ascii="Cambria" w:hAnsi="Cambria" w:cs="Arial"/>
          <w:color w:val="000000" w:themeColor="text1"/>
          <w:sz w:val="20"/>
          <w:szCs w:val="20"/>
        </w:rPr>
        <w:t xml:space="preserve">auto de archivo a los efectos de </w:t>
      </w:r>
      <w:r w:rsidR="00C845E0" w:rsidRPr="002B7823">
        <w:rPr>
          <w:rFonts w:ascii="Cambria" w:hAnsi="Cambria" w:cs="Arial"/>
          <w:color w:val="000000" w:themeColor="text1"/>
          <w:sz w:val="20"/>
          <w:szCs w:val="20"/>
        </w:rPr>
        <w:t>darse por notificado</w:t>
      </w:r>
      <w:r w:rsidR="002B7823">
        <w:rPr>
          <w:rFonts w:ascii="Cambria" w:hAnsi="Cambria" w:cs="Arial"/>
          <w:color w:val="000000" w:themeColor="text1"/>
          <w:sz w:val="20"/>
          <w:szCs w:val="20"/>
        </w:rPr>
        <w:t xml:space="preserve">, lo que además ocurrió </w:t>
      </w:r>
      <w:r w:rsidR="00E46607" w:rsidRPr="002B7823">
        <w:rPr>
          <w:rFonts w:ascii="Cambria" w:hAnsi="Cambria" w:cs="Arial"/>
          <w:sz w:val="20"/>
          <w:szCs w:val="20"/>
        </w:rPr>
        <w:t>el 3 de mayo de 2007,</w:t>
      </w:r>
      <w:r w:rsidR="00C845E0" w:rsidRPr="002B7823">
        <w:rPr>
          <w:rFonts w:ascii="Cambria" w:hAnsi="Cambria" w:cs="Arial"/>
          <w:sz w:val="20"/>
          <w:szCs w:val="20"/>
        </w:rPr>
        <w:t xml:space="preserve"> 10 meses luego de ordenado el archivo</w:t>
      </w:r>
      <w:r w:rsidR="00CF6327" w:rsidRPr="002B7823">
        <w:rPr>
          <w:rFonts w:ascii="Cambria" w:hAnsi="Cambria" w:cs="Arial"/>
          <w:sz w:val="20"/>
          <w:szCs w:val="20"/>
        </w:rPr>
        <w:t xml:space="preserve"> de la investigación</w:t>
      </w:r>
      <w:r w:rsidR="00C845E0" w:rsidRPr="002B7823">
        <w:rPr>
          <w:rFonts w:ascii="Cambria" w:hAnsi="Cambria" w:cs="Arial"/>
          <w:sz w:val="20"/>
          <w:szCs w:val="20"/>
        </w:rPr>
        <w:t>.</w:t>
      </w:r>
      <w:r w:rsidR="008B1F6F" w:rsidRPr="002B7823">
        <w:rPr>
          <w:rFonts w:ascii="Cambria" w:hAnsi="Cambria" w:cs="Arial"/>
          <w:sz w:val="20"/>
          <w:szCs w:val="20"/>
        </w:rPr>
        <w:t xml:space="preserve"> </w:t>
      </w:r>
    </w:p>
    <w:p w14:paraId="2B8BE17E" w14:textId="77777777" w:rsidR="004A7603" w:rsidRPr="00B34055" w:rsidRDefault="004A7603" w:rsidP="004A7603">
      <w:pPr>
        <w:pStyle w:val="ListParagraph"/>
        <w:rPr>
          <w:rFonts w:cs="Arial"/>
          <w:sz w:val="20"/>
          <w:szCs w:val="20"/>
          <w:lang w:val="es-AR"/>
        </w:rPr>
      </w:pPr>
    </w:p>
    <w:p w14:paraId="6EF69EBC" w14:textId="09B3D41C" w:rsidR="002B18C2" w:rsidRDefault="00A806BE" w:rsidP="002B18C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hAnsi="Cambria"/>
          <w:sz w:val="20"/>
          <w:szCs w:val="20"/>
        </w:rPr>
      </w:pPr>
      <w:r w:rsidRPr="00A806BE">
        <w:rPr>
          <w:rFonts w:ascii="Cambria" w:hAnsi="Cambria"/>
          <w:sz w:val="20"/>
          <w:szCs w:val="20"/>
        </w:rPr>
        <w:t>c.</w:t>
      </w:r>
      <w:r>
        <w:rPr>
          <w:rFonts w:ascii="Cambria" w:hAnsi="Cambria"/>
          <w:i/>
          <w:sz w:val="20"/>
          <w:szCs w:val="20"/>
        </w:rPr>
        <w:t xml:space="preserve"> </w:t>
      </w:r>
      <w:r>
        <w:rPr>
          <w:rFonts w:ascii="Cambria" w:hAnsi="Cambria"/>
          <w:i/>
          <w:sz w:val="20"/>
          <w:szCs w:val="20"/>
        </w:rPr>
        <w:tab/>
      </w:r>
      <w:r w:rsidR="002B18C2" w:rsidRPr="002B18C2">
        <w:rPr>
          <w:rFonts w:ascii="Cambria" w:hAnsi="Cambria"/>
          <w:i/>
          <w:sz w:val="20"/>
          <w:szCs w:val="20"/>
        </w:rPr>
        <w:t xml:space="preserve">Proceso </w:t>
      </w:r>
      <w:r w:rsidR="002B18C2" w:rsidRPr="00B85C1B">
        <w:rPr>
          <w:rFonts w:ascii="Cambria" w:hAnsi="Cambria"/>
          <w:i/>
          <w:sz w:val="20"/>
          <w:szCs w:val="20"/>
        </w:rPr>
        <w:t>penal</w:t>
      </w:r>
      <w:r w:rsidR="00467836" w:rsidRPr="00B85C1B">
        <w:rPr>
          <w:rFonts w:ascii="Cambria" w:hAnsi="Cambria"/>
          <w:i/>
          <w:sz w:val="20"/>
          <w:szCs w:val="20"/>
        </w:rPr>
        <w:t xml:space="preserve"> por el homicidio del fiscal </w:t>
      </w:r>
      <w:r w:rsidR="00695971" w:rsidRPr="00B85C1B">
        <w:rPr>
          <w:rFonts w:ascii="Cambria" w:hAnsi="Cambria"/>
          <w:i/>
          <w:sz w:val="20"/>
          <w:szCs w:val="20"/>
        </w:rPr>
        <w:t>Danilo Baltasar</w:t>
      </w:r>
      <w:r w:rsidR="00467836" w:rsidRPr="00B85C1B">
        <w:rPr>
          <w:rFonts w:ascii="Cambria" w:hAnsi="Cambria"/>
          <w:i/>
          <w:sz w:val="20"/>
          <w:szCs w:val="20"/>
        </w:rPr>
        <w:t xml:space="preserve"> Anderson</w:t>
      </w:r>
    </w:p>
    <w:p w14:paraId="4CE5B476" w14:textId="77777777" w:rsidR="000E28DF" w:rsidRPr="00357FF9" w:rsidRDefault="000E28DF" w:rsidP="00CB7EE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3DFA7750" w14:textId="595248CF" w:rsidR="006A0A63" w:rsidRPr="006A0A63" w:rsidRDefault="006A0A63" w:rsidP="006A0A6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6A0A63">
        <w:rPr>
          <w:rFonts w:ascii="Cambria" w:hAnsi="Cambria"/>
          <w:sz w:val="20"/>
          <w:szCs w:val="20"/>
        </w:rPr>
        <w:t xml:space="preserve">Argumentan los peticionarios que el 22 de noviembre de 2004 el </w:t>
      </w:r>
      <w:r w:rsidRPr="006A0A63">
        <w:rPr>
          <w:rFonts w:ascii="Cambria" w:hAnsi="Cambria"/>
          <w:sz w:val="20"/>
          <w:szCs w:val="20"/>
          <w:lang w:val="es-AR"/>
        </w:rPr>
        <w:t xml:space="preserve">Tribunal Supremo de Justicia habría dictado la </w:t>
      </w:r>
      <w:r w:rsidRPr="006A0A63">
        <w:rPr>
          <w:rFonts w:ascii="Cambria" w:hAnsi="Cambria"/>
          <w:sz w:val="20"/>
          <w:szCs w:val="20"/>
        </w:rPr>
        <w:t xml:space="preserve">Resolución </w:t>
      </w:r>
      <w:r w:rsidR="00BE4454">
        <w:rPr>
          <w:rFonts w:ascii="Cambria" w:hAnsi="Cambria"/>
          <w:sz w:val="20"/>
          <w:szCs w:val="20"/>
        </w:rPr>
        <w:t>N</w:t>
      </w:r>
      <w:r w:rsidR="00CF6327">
        <w:rPr>
          <w:rFonts w:ascii="Cambria" w:hAnsi="Cambria"/>
          <w:sz w:val="20"/>
          <w:szCs w:val="20"/>
        </w:rPr>
        <w:t>o</w:t>
      </w:r>
      <w:r w:rsidR="00BE4454">
        <w:rPr>
          <w:rFonts w:ascii="Cambria" w:hAnsi="Cambria"/>
          <w:sz w:val="20"/>
          <w:szCs w:val="20"/>
        </w:rPr>
        <w:t>.</w:t>
      </w:r>
      <w:r w:rsidRPr="006A0A63">
        <w:rPr>
          <w:rFonts w:ascii="Cambria" w:hAnsi="Cambria"/>
          <w:sz w:val="20"/>
          <w:szCs w:val="20"/>
        </w:rPr>
        <w:t xml:space="preserve"> 2004-0217, mediante la cual </w:t>
      </w:r>
      <w:r w:rsidR="000C1074">
        <w:rPr>
          <w:rFonts w:ascii="Cambria" w:hAnsi="Cambria"/>
          <w:sz w:val="20"/>
          <w:szCs w:val="20"/>
        </w:rPr>
        <w:t>habrían sido</w:t>
      </w:r>
      <w:r w:rsidRPr="006A0A63">
        <w:rPr>
          <w:rFonts w:ascii="Cambria" w:hAnsi="Cambria"/>
          <w:sz w:val="20"/>
          <w:szCs w:val="20"/>
        </w:rPr>
        <w:t xml:space="preserve"> creados los Tribunales contra el Terrorismo</w:t>
      </w:r>
      <w:r w:rsidR="00A70E81">
        <w:rPr>
          <w:rFonts w:ascii="Cambria" w:hAnsi="Cambria"/>
          <w:sz w:val="20"/>
          <w:szCs w:val="20"/>
        </w:rPr>
        <w:t xml:space="preserve">. </w:t>
      </w:r>
      <w:r w:rsidR="00983F55">
        <w:rPr>
          <w:rFonts w:ascii="Cambria" w:hAnsi="Cambria"/>
          <w:sz w:val="20"/>
          <w:szCs w:val="20"/>
        </w:rPr>
        <w:t>D</w:t>
      </w:r>
      <w:r w:rsidR="00A70E81">
        <w:rPr>
          <w:rFonts w:ascii="Cambria" w:hAnsi="Cambria"/>
          <w:sz w:val="20"/>
          <w:szCs w:val="20"/>
        </w:rPr>
        <w:t xml:space="preserve">icha resolución </w:t>
      </w:r>
      <w:r w:rsidRPr="006A0A63">
        <w:rPr>
          <w:rFonts w:ascii="Cambria" w:hAnsi="Cambria"/>
          <w:sz w:val="20"/>
          <w:szCs w:val="20"/>
        </w:rPr>
        <w:t xml:space="preserve">habría sido “preparada” días después de la muerte del Fiscal Danilo Baltasar Anderson y durante la detención ilegal de las presuntas víctimas. Los peticionarios señalan que esta </w:t>
      </w:r>
      <w:r w:rsidR="00295B7D">
        <w:rPr>
          <w:rFonts w:ascii="Cambria" w:hAnsi="Cambria"/>
          <w:sz w:val="20"/>
          <w:szCs w:val="20"/>
        </w:rPr>
        <w:t>disposición</w:t>
      </w:r>
      <w:r w:rsidRPr="006A0A63">
        <w:rPr>
          <w:rFonts w:ascii="Cambria" w:hAnsi="Cambria"/>
          <w:sz w:val="20"/>
          <w:szCs w:val="20"/>
        </w:rPr>
        <w:t xml:space="preserve"> daría potestad de conocer </w:t>
      </w:r>
      <w:r w:rsidR="00A70E81">
        <w:rPr>
          <w:rFonts w:ascii="Cambria" w:hAnsi="Cambria"/>
          <w:sz w:val="20"/>
          <w:szCs w:val="20"/>
        </w:rPr>
        <w:t>en</w:t>
      </w:r>
      <w:r w:rsidRPr="006A0A63">
        <w:rPr>
          <w:rFonts w:ascii="Cambria" w:hAnsi="Cambria"/>
          <w:sz w:val="20"/>
          <w:szCs w:val="20"/>
        </w:rPr>
        <w:t xml:space="preserve"> las causas </w:t>
      </w:r>
      <w:r w:rsidR="00A70E81">
        <w:rPr>
          <w:rFonts w:ascii="Cambria" w:hAnsi="Cambria"/>
          <w:sz w:val="20"/>
          <w:szCs w:val="20"/>
        </w:rPr>
        <w:t xml:space="preserve">de la nueva </w:t>
      </w:r>
      <w:r w:rsidR="002A27C0">
        <w:rPr>
          <w:rFonts w:ascii="Cambria" w:hAnsi="Cambria"/>
          <w:sz w:val="20"/>
          <w:szCs w:val="20"/>
        </w:rPr>
        <w:t>“</w:t>
      </w:r>
      <w:r w:rsidR="00A70E81" w:rsidRPr="006A0A63">
        <w:rPr>
          <w:rFonts w:ascii="Cambria" w:hAnsi="Cambria"/>
          <w:sz w:val="20"/>
          <w:szCs w:val="20"/>
        </w:rPr>
        <w:t>jurisdicción antiterrorista</w:t>
      </w:r>
      <w:r w:rsidR="002A27C0">
        <w:rPr>
          <w:rFonts w:ascii="Cambria" w:hAnsi="Cambria"/>
          <w:sz w:val="20"/>
          <w:szCs w:val="20"/>
        </w:rPr>
        <w:t>”</w:t>
      </w:r>
      <w:r w:rsidR="00A70E81" w:rsidRPr="006A0A63">
        <w:rPr>
          <w:rFonts w:ascii="Cambria" w:hAnsi="Cambria"/>
          <w:sz w:val="20"/>
          <w:szCs w:val="20"/>
        </w:rPr>
        <w:t xml:space="preserve"> </w:t>
      </w:r>
      <w:r w:rsidRPr="006A0A63">
        <w:rPr>
          <w:rFonts w:ascii="Cambria" w:hAnsi="Cambria"/>
          <w:sz w:val="20"/>
          <w:szCs w:val="20"/>
        </w:rPr>
        <w:t xml:space="preserve">a </w:t>
      </w:r>
      <w:r w:rsidR="00A70E81">
        <w:rPr>
          <w:rFonts w:ascii="Cambria" w:hAnsi="Cambria"/>
          <w:sz w:val="20"/>
          <w:szCs w:val="20"/>
        </w:rPr>
        <w:t>determinados</w:t>
      </w:r>
      <w:r w:rsidRPr="006A0A63">
        <w:rPr>
          <w:rFonts w:ascii="Cambria" w:hAnsi="Cambria"/>
          <w:sz w:val="20"/>
          <w:szCs w:val="20"/>
        </w:rPr>
        <w:t xml:space="preserve"> jueces </w:t>
      </w:r>
      <w:r w:rsidR="00A70E81">
        <w:rPr>
          <w:rFonts w:ascii="Cambria" w:hAnsi="Cambria"/>
          <w:sz w:val="20"/>
          <w:szCs w:val="20"/>
        </w:rPr>
        <w:t xml:space="preserve">escogidos </w:t>
      </w:r>
      <w:r w:rsidR="00EB3FA5">
        <w:rPr>
          <w:rFonts w:ascii="Cambria" w:hAnsi="Cambria"/>
          <w:sz w:val="20"/>
          <w:szCs w:val="20"/>
        </w:rPr>
        <w:t>“</w:t>
      </w:r>
      <w:r w:rsidR="002A27C0">
        <w:rPr>
          <w:rFonts w:ascii="Cambria" w:hAnsi="Cambria"/>
          <w:sz w:val="20"/>
          <w:szCs w:val="20"/>
        </w:rPr>
        <w:t>de manera nominal</w:t>
      </w:r>
      <w:r w:rsidR="00EB3FA5">
        <w:rPr>
          <w:rFonts w:ascii="Cambria" w:hAnsi="Cambria"/>
          <w:sz w:val="20"/>
          <w:szCs w:val="20"/>
        </w:rPr>
        <w:t>”</w:t>
      </w:r>
      <w:r w:rsidR="002A27C0">
        <w:rPr>
          <w:rFonts w:ascii="Cambria" w:hAnsi="Cambria"/>
          <w:sz w:val="20"/>
          <w:szCs w:val="20"/>
        </w:rPr>
        <w:t xml:space="preserve"> y </w:t>
      </w:r>
      <w:r w:rsidR="00A70E81">
        <w:rPr>
          <w:rFonts w:ascii="Cambria" w:hAnsi="Cambria"/>
          <w:sz w:val="20"/>
          <w:szCs w:val="20"/>
        </w:rPr>
        <w:t xml:space="preserve">bajo criterios </w:t>
      </w:r>
      <w:r w:rsidR="00295B7D">
        <w:rPr>
          <w:rFonts w:ascii="Cambria" w:hAnsi="Cambria"/>
          <w:sz w:val="20"/>
          <w:szCs w:val="20"/>
        </w:rPr>
        <w:t>poco transparentes</w:t>
      </w:r>
      <w:r w:rsidRPr="006A0A63">
        <w:rPr>
          <w:rFonts w:ascii="Cambria" w:hAnsi="Cambria"/>
          <w:sz w:val="20"/>
          <w:szCs w:val="20"/>
        </w:rPr>
        <w:t xml:space="preserve">. </w:t>
      </w:r>
      <w:r>
        <w:rPr>
          <w:rFonts w:ascii="Cambria" w:hAnsi="Cambria"/>
          <w:sz w:val="20"/>
          <w:szCs w:val="20"/>
        </w:rPr>
        <w:t>Asimismo</w:t>
      </w:r>
      <w:r w:rsidRPr="006A0A63">
        <w:rPr>
          <w:rFonts w:ascii="Cambria" w:hAnsi="Cambria"/>
          <w:sz w:val="20"/>
          <w:szCs w:val="20"/>
        </w:rPr>
        <w:t xml:space="preserve">, </w:t>
      </w:r>
      <w:r w:rsidR="00295B7D">
        <w:rPr>
          <w:rFonts w:ascii="Cambria" w:hAnsi="Cambria"/>
          <w:sz w:val="20"/>
          <w:szCs w:val="20"/>
        </w:rPr>
        <w:t>alegan</w:t>
      </w:r>
      <w:r w:rsidRPr="006A0A63">
        <w:rPr>
          <w:rFonts w:ascii="Cambria" w:hAnsi="Cambria"/>
          <w:sz w:val="20"/>
          <w:szCs w:val="20"/>
        </w:rPr>
        <w:t xml:space="preserve"> que</w:t>
      </w:r>
      <w:r w:rsidR="00A70E81">
        <w:rPr>
          <w:rFonts w:ascii="Cambria" w:hAnsi="Cambria"/>
          <w:sz w:val="20"/>
          <w:szCs w:val="20"/>
        </w:rPr>
        <w:t xml:space="preserve"> con anterioridad </w:t>
      </w:r>
      <w:r w:rsidRPr="006A0A63">
        <w:rPr>
          <w:rFonts w:ascii="Cambria" w:hAnsi="Cambria"/>
          <w:sz w:val="20"/>
          <w:szCs w:val="20"/>
        </w:rPr>
        <w:t>a la p</w:t>
      </w:r>
      <w:r w:rsidR="00295B7D">
        <w:rPr>
          <w:rFonts w:ascii="Cambria" w:hAnsi="Cambria"/>
          <w:sz w:val="20"/>
          <w:szCs w:val="20"/>
        </w:rPr>
        <w:t>romulgación de dicha resolución</w:t>
      </w:r>
      <w:r w:rsidRPr="006A0A63">
        <w:rPr>
          <w:rFonts w:ascii="Cambria" w:hAnsi="Cambria"/>
          <w:sz w:val="20"/>
          <w:szCs w:val="20"/>
        </w:rPr>
        <w:t xml:space="preserve"> ya se habrían realizado actos investigativos en contra de las presuntas víctimas, con lo cual se habría</w:t>
      </w:r>
      <w:r w:rsidR="00C517F7">
        <w:rPr>
          <w:rFonts w:ascii="Cambria" w:hAnsi="Cambria"/>
          <w:sz w:val="20"/>
          <w:szCs w:val="20"/>
        </w:rPr>
        <w:t xml:space="preserve"> contravenido el principio de </w:t>
      </w:r>
      <w:r w:rsidRPr="006A0A63">
        <w:rPr>
          <w:rFonts w:ascii="Cambria" w:hAnsi="Cambria"/>
          <w:sz w:val="20"/>
          <w:szCs w:val="20"/>
        </w:rPr>
        <w:t xml:space="preserve">retroactividad. </w:t>
      </w:r>
    </w:p>
    <w:p w14:paraId="4A01B145" w14:textId="77777777" w:rsidR="006A0A63" w:rsidRDefault="006A0A63" w:rsidP="006A0A6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5FBD8CF0" w14:textId="2E8F7D7A" w:rsidR="00BA6984" w:rsidRPr="00A000CB" w:rsidRDefault="00EB3FA5" w:rsidP="00BA698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sz w:val="20"/>
          <w:szCs w:val="20"/>
          <w:lang w:val="es-AR"/>
        </w:rPr>
      </w:pPr>
      <w:r w:rsidRPr="004D7C05">
        <w:rPr>
          <w:rFonts w:ascii="Cambria" w:hAnsi="Cambria"/>
          <w:sz w:val="20"/>
          <w:szCs w:val="20"/>
        </w:rPr>
        <w:t>E</w:t>
      </w:r>
      <w:r w:rsidR="006A0A63" w:rsidRPr="004D7C05">
        <w:rPr>
          <w:rFonts w:ascii="Cambria" w:hAnsi="Cambria"/>
          <w:sz w:val="20"/>
          <w:szCs w:val="20"/>
        </w:rPr>
        <w:t>n relación con la investigación penal, l</w:t>
      </w:r>
      <w:r w:rsidR="001A2912" w:rsidRPr="004D7C05">
        <w:rPr>
          <w:rFonts w:ascii="Cambria" w:hAnsi="Cambria"/>
          <w:sz w:val="20"/>
          <w:szCs w:val="20"/>
        </w:rPr>
        <w:t xml:space="preserve">os peticionarios </w:t>
      </w:r>
      <w:r w:rsidR="00E85152" w:rsidRPr="004D7C05">
        <w:rPr>
          <w:rFonts w:ascii="Cambria" w:hAnsi="Cambria"/>
          <w:sz w:val="20"/>
          <w:szCs w:val="20"/>
        </w:rPr>
        <w:t xml:space="preserve">informaron que </w:t>
      </w:r>
      <w:r w:rsidR="001A5F3D" w:rsidRPr="004D7C05">
        <w:rPr>
          <w:rFonts w:ascii="Cambria" w:hAnsi="Cambria"/>
          <w:sz w:val="20"/>
          <w:szCs w:val="20"/>
        </w:rPr>
        <w:t xml:space="preserve">el </w:t>
      </w:r>
      <w:r w:rsidR="005F32EC" w:rsidRPr="004D7C05">
        <w:rPr>
          <w:rFonts w:ascii="Cambria" w:hAnsi="Cambria"/>
          <w:sz w:val="20"/>
          <w:szCs w:val="20"/>
        </w:rPr>
        <w:t>Juzgado 34°</w:t>
      </w:r>
      <w:r w:rsidR="007100CF" w:rsidRPr="004D7C05">
        <w:rPr>
          <w:rFonts w:ascii="Cambria" w:hAnsi="Cambria"/>
          <w:sz w:val="20"/>
          <w:szCs w:val="20"/>
        </w:rPr>
        <w:t xml:space="preserve"> habría avanzado </w:t>
      </w:r>
      <w:r w:rsidR="00E85152" w:rsidRPr="004D7C05">
        <w:rPr>
          <w:rFonts w:ascii="Cambria" w:hAnsi="Cambria"/>
          <w:sz w:val="20"/>
          <w:szCs w:val="20"/>
        </w:rPr>
        <w:t>un proceso penal contra las presuntas víctimas</w:t>
      </w:r>
      <w:r w:rsidR="00A438BB" w:rsidRPr="004D7C05">
        <w:rPr>
          <w:rFonts w:ascii="Cambria" w:hAnsi="Cambria"/>
          <w:sz w:val="20"/>
          <w:szCs w:val="20"/>
        </w:rPr>
        <w:t xml:space="preserve"> por el homicidio del fiscal </w:t>
      </w:r>
      <w:r w:rsidR="00695971" w:rsidRPr="004D7C05">
        <w:rPr>
          <w:rFonts w:ascii="Cambria" w:hAnsi="Cambria"/>
          <w:sz w:val="20"/>
          <w:szCs w:val="20"/>
        </w:rPr>
        <w:t>Danilo Baltasar</w:t>
      </w:r>
      <w:r w:rsidR="00A438BB" w:rsidRPr="004D7C05">
        <w:rPr>
          <w:rFonts w:ascii="Cambria" w:hAnsi="Cambria"/>
          <w:sz w:val="20"/>
          <w:szCs w:val="20"/>
        </w:rPr>
        <w:t xml:space="preserve"> Anderson</w:t>
      </w:r>
      <w:r w:rsidR="00E85152" w:rsidRPr="004D7C05">
        <w:rPr>
          <w:rFonts w:ascii="Cambria" w:hAnsi="Cambria"/>
          <w:sz w:val="20"/>
          <w:szCs w:val="20"/>
        </w:rPr>
        <w:t xml:space="preserve">. </w:t>
      </w:r>
      <w:r w:rsidR="001A5F3D" w:rsidRPr="004D7C05">
        <w:rPr>
          <w:rFonts w:ascii="Cambria" w:hAnsi="Cambria"/>
          <w:sz w:val="20"/>
          <w:szCs w:val="20"/>
        </w:rPr>
        <w:t xml:space="preserve">En el marco de dicha causa, </w:t>
      </w:r>
      <w:r w:rsidR="00D51F25" w:rsidRPr="004D7C05">
        <w:rPr>
          <w:rFonts w:ascii="Cambria" w:hAnsi="Cambria"/>
          <w:sz w:val="20"/>
          <w:szCs w:val="20"/>
        </w:rPr>
        <w:t>el</w:t>
      </w:r>
      <w:r w:rsidR="001E24AE" w:rsidRPr="004D7C05">
        <w:rPr>
          <w:rFonts w:ascii="Cambria" w:hAnsi="Cambria"/>
          <w:sz w:val="20"/>
          <w:szCs w:val="20"/>
        </w:rPr>
        <w:t xml:space="preserve"> 13 de enero de 2005, </w:t>
      </w:r>
      <w:r w:rsidR="00CB7C22" w:rsidRPr="004D7C05">
        <w:rPr>
          <w:rFonts w:ascii="Cambria" w:hAnsi="Cambria"/>
          <w:sz w:val="20"/>
          <w:szCs w:val="20"/>
        </w:rPr>
        <w:t xml:space="preserve">el </w:t>
      </w:r>
      <w:r w:rsidR="001E24AE" w:rsidRPr="004D7C05">
        <w:rPr>
          <w:rFonts w:ascii="Cambria" w:hAnsi="Cambria"/>
          <w:sz w:val="20"/>
          <w:szCs w:val="20"/>
        </w:rPr>
        <w:t>Minis</w:t>
      </w:r>
      <w:r w:rsidR="00CB7C22" w:rsidRPr="004D7C05">
        <w:rPr>
          <w:rFonts w:ascii="Cambria" w:hAnsi="Cambria"/>
          <w:sz w:val="20"/>
          <w:szCs w:val="20"/>
        </w:rPr>
        <w:t xml:space="preserve">terio Público habría presentado acusación </w:t>
      </w:r>
      <w:r w:rsidR="00151542" w:rsidRPr="004D7C05">
        <w:rPr>
          <w:rFonts w:ascii="Cambria" w:hAnsi="Cambria"/>
          <w:sz w:val="20"/>
          <w:szCs w:val="20"/>
        </w:rPr>
        <w:t xml:space="preserve">formal </w:t>
      </w:r>
      <w:r w:rsidR="00180602" w:rsidRPr="004D7C05">
        <w:rPr>
          <w:rFonts w:ascii="Cambria" w:hAnsi="Cambria"/>
          <w:sz w:val="20"/>
          <w:szCs w:val="20"/>
        </w:rPr>
        <w:t xml:space="preserve">contra las presuntas víctimas. </w:t>
      </w:r>
    </w:p>
    <w:p w14:paraId="7743084B" w14:textId="77777777" w:rsidR="00A000CB" w:rsidRPr="004D7C05" w:rsidRDefault="00A000CB" w:rsidP="00A000C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sz w:val="20"/>
          <w:szCs w:val="20"/>
          <w:lang w:val="es-AR"/>
        </w:rPr>
      </w:pPr>
    </w:p>
    <w:p w14:paraId="4A64C565" w14:textId="66FC37E6" w:rsidR="001E5676" w:rsidRPr="0073489E" w:rsidRDefault="00D51F25" w:rsidP="007348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Theme="majorHAnsi" w:hAnsiTheme="majorHAnsi"/>
          <w:sz w:val="20"/>
          <w:szCs w:val="20"/>
        </w:rPr>
      </w:pPr>
      <w:r w:rsidRPr="00DD29A2">
        <w:rPr>
          <w:rFonts w:ascii="Cambria" w:hAnsi="Cambria"/>
          <w:sz w:val="20"/>
          <w:szCs w:val="20"/>
        </w:rPr>
        <w:t>Señalan los peticionarios</w:t>
      </w:r>
      <w:r>
        <w:rPr>
          <w:rFonts w:ascii="Cambria" w:hAnsi="Cambria"/>
          <w:sz w:val="20"/>
          <w:szCs w:val="20"/>
        </w:rPr>
        <w:t xml:space="preserve"> que habrían </w:t>
      </w:r>
      <w:r w:rsidR="002A27C0">
        <w:rPr>
          <w:rFonts w:ascii="Cambria" w:hAnsi="Cambria"/>
          <w:sz w:val="20"/>
          <w:szCs w:val="20"/>
        </w:rPr>
        <w:t xml:space="preserve">solicitado reiteradamente </w:t>
      </w:r>
      <w:r>
        <w:rPr>
          <w:rFonts w:ascii="Cambria" w:hAnsi="Cambria"/>
          <w:sz w:val="20"/>
          <w:szCs w:val="20"/>
        </w:rPr>
        <w:t xml:space="preserve">al </w:t>
      </w:r>
      <w:r w:rsidR="00595E8C">
        <w:rPr>
          <w:rFonts w:ascii="Cambria" w:hAnsi="Cambria"/>
          <w:sz w:val="20"/>
          <w:szCs w:val="20"/>
        </w:rPr>
        <w:t xml:space="preserve">Juzgado </w:t>
      </w:r>
      <w:r w:rsidRPr="00DD29A2">
        <w:rPr>
          <w:rFonts w:ascii="Cambria" w:hAnsi="Cambria"/>
          <w:sz w:val="20"/>
          <w:szCs w:val="20"/>
        </w:rPr>
        <w:t xml:space="preserve">34° </w:t>
      </w:r>
      <w:r w:rsidR="004D7C05">
        <w:rPr>
          <w:rFonts w:ascii="Cambria" w:hAnsi="Cambria"/>
          <w:sz w:val="20"/>
          <w:szCs w:val="20"/>
        </w:rPr>
        <w:t>acceso a la documentación que sirvió de base a la</w:t>
      </w:r>
      <w:r w:rsidRPr="00DD29A2">
        <w:rPr>
          <w:rFonts w:ascii="Cambria" w:hAnsi="Cambria"/>
          <w:sz w:val="20"/>
          <w:szCs w:val="20"/>
        </w:rPr>
        <w:t xml:space="preserve"> acusación con</w:t>
      </w:r>
      <w:r w:rsidR="00111945">
        <w:rPr>
          <w:rFonts w:ascii="Cambria" w:hAnsi="Cambria"/>
          <w:sz w:val="20"/>
          <w:szCs w:val="20"/>
        </w:rPr>
        <w:t>tra las tres presuntas víctimas.</w:t>
      </w:r>
      <w:r w:rsidRPr="00DD29A2">
        <w:rPr>
          <w:rFonts w:ascii="Cambria" w:hAnsi="Cambria"/>
          <w:sz w:val="20"/>
          <w:szCs w:val="20"/>
        </w:rPr>
        <w:t xml:space="preserve"> </w:t>
      </w:r>
      <w:r w:rsidR="004D7C05">
        <w:rPr>
          <w:rFonts w:ascii="Cambria" w:hAnsi="Cambria"/>
          <w:sz w:val="20"/>
          <w:szCs w:val="20"/>
        </w:rPr>
        <w:t xml:space="preserve">Ante la falta de respuesta </w:t>
      </w:r>
      <w:r w:rsidR="004D7C05">
        <w:rPr>
          <w:rFonts w:ascii="Cambria" w:hAnsi="Cambria"/>
          <w:sz w:val="20"/>
          <w:szCs w:val="20"/>
        </w:rPr>
        <w:lastRenderedPageBreak/>
        <w:t xml:space="preserve">interpusieron </w:t>
      </w:r>
      <w:r w:rsidRPr="009F0D4F">
        <w:rPr>
          <w:rFonts w:asciiTheme="majorHAnsi" w:hAnsiTheme="majorHAnsi"/>
          <w:sz w:val="20"/>
          <w:szCs w:val="20"/>
        </w:rPr>
        <w:t xml:space="preserve">un amparo el </w:t>
      </w:r>
      <w:r w:rsidRPr="002A27C0">
        <w:rPr>
          <w:rFonts w:asciiTheme="majorHAnsi" w:hAnsiTheme="majorHAnsi"/>
          <w:sz w:val="20"/>
          <w:szCs w:val="20"/>
        </w:rPr>
        <w:t>24 de enero de 2005</w:t>
      </w:r>
      <w:r w:rsidR="002A27C0">
        <w:rPr>
          <w:rFonts w:asciiTheme="majorHAnsi" w:hAnsiTheme="majorHAnsi"/>
          <w:sz w:val="20"/>
          <w:szCs w:val="20"/>
        </w:rPr>
        <w:t xml:space="preserve"> </w:t>
      </w:r>
      <w:r w:rsidR="004D7C05">
        <w:rPr>
          <w:rFonts w:asciiTheme="majorHAnsi" w:hAnsiTheme="majorHAnsi"/>
          <w:sz w:val="20"/>
          <w:szCs w:val="20"/>
        </w:rPr>
        <w:t>ante</w:t>
      </w:r>
      <w:r w:rsidR="001E5676" w:rsidRPr="009F0D4F">
        <w:rPr>
          <w:rFonts w:asciiTheme="majorHAnsi" w:hAnsiTheme="majorHAnsi"/>
          <w:sz w:val="20"/>
          <w:szCs w:val="20"/>
        </w:rPr>
        <w:t xml:space="preserve"> la Sala </w:t>
      </w:r>
      <w:r w:rsidR="00B85C1B">
        <w:rPr>
          <w:rFonts w:asciiTheme="majorHAnsi" w:hAnsiTheme="majorHAnsi"/>
          <w:sz w:val="20"/>
          <w:szCs w:val="20"/>
        </w:rPr>
        <w:t>6</w:t>
      </w:r>
      <w:r w:rsidR="00B85C1B" w:rsidRPr="00B85C1B">
        <w:rPr>
          <w:rFonts w:asciiTheme="majorHAnsi" w:hAnsiTheme="majorHAnsi"/>
          <w:sz w:val="20"/>
          <w:szCs w:val="20"/>
          <w:vertAlign w:val="superscript"/>
        </w:rPr>
        <w:t>a</w:t>
      </w:r>
      <w:r w:rsidR="001E5676">
        <w:rPr>
          <w:rFonts w:asciiTheme="majorHAnsi" w:hAnsiTheme="majorHAnsi"/>
          <w:sz w:val="20"/>
          <w:szCs w:val="20"/>
        </w:rPr>
        <w:t xml:space="preserve"> de la </w:t>
      </w:r>
      <w:r w:rsidR="00111945" w:rsidRPr="00913E59">
        <w:rPr>
          <w:rFonts w:ascii="Cambria" w:hAnsi="Cambria"/>
          <w:sz w:val="20"/>
          <w:szCs w:val="20"/>
        </w:rPr>
        <w:t>Corte de Apelaciones del Área Metropolitana de Caracas</w:t>
      </w:r>
      <w:r w:rsidR="001E5676">
        <w:rPr>
          <w:rFonts w:asciiTheme="majorHAnsi" w:hAnsiTheme="majorHAnsi"/>
          <w:sz w:val="20"/>
          <w:szCs w:val="20"/>
        </w:rPr>
        <w:t xml:space="preserve">, la cual </w:t>
      </w:r>
      <w:r w:rsidR="001E5676" w:rsidRPr="009F0D4F">
        <w:rPr>
          <w:rFonts w:asciiTheme="majorHAnsi" w:hAnsiTheme="majorHAnsi"/>
          <w:sz w:val="20"/>
          <w:szCs w:val="20"/>
        </w:rPr>
        <w:t xml:space="preserve">se habría abstenido de conocer en el asunto por no </w:t>
      </w:r>
      <w:r w:rsidR="004D7C05">
        <w:rPr>
          <w:rFonts w:asciiTheme="majorHAnsi" w:hAnsiTheme="majorHAnsi"/>
          <w:sz w:val="20"/>
          <w:szCs w:val="20"/>
        </w:rPr>
        <w:t>tener competencia</w:t>
      </w:r>
      <w:r w:rsidR="001E5676" w:rsidRPr="009F0D4F">
        <w:rPr>
          <w:rFonts w:asciiTheme="majorHAnsi" w:hAnsiTheme="majorHAnsi"/>
          <w:sz w:val="20"/>
          <w:szCs w:val="20"/>
        </w:rPr>
        <w:t xml:space="preserve"> para intervenir en “delitos de terrorismo”, razón por la cual el expediente habría sido remitido a la </w:t>
      </w:r>
      <w:r w:rsidR="00B85C1B" w:rsidRPr="00664142">
        <w:rPr>
          <w:rFonts w:ascii="Cambria" w:hAnsi="Cambria"/>
          <w:sz w:val="20"/>
          <w:szCs w:val="20"/>
        </w:rPr>
        <w:t>Sala 4</w:t>
      </w:r>
      <w:r w:rsidR="00B85C1B" w:rsidRPr="00B85C1B">
        <w:rPr>
          <w:rFonts w:ascii="Cambria" w:hAnsi="Cambria"/>
          <w:sz w:val="20"/>
          <w:szCs w:val="20"/>
          <w:vertAlign w:val="superscript"/>
        </w:rPr>
        <w:t>a</w:t>
      </w:r>
      <w:r w:rsidR="00B85C1B" w:rsidRPr="00664142">
        <w:rPr>
          <w:rFonts w:ascii="Cambria" w:hAnsi="Cambria"/>
          <w:sz w:val="20"/>
          <w:szCs w:val="20"/>
        </w:rPr>
        <w:t xml:space="preserve"> de la Corte de Apelaciones</w:t>
      </w:r>
      <w:r w:rsidR="001E5676" w:rsidRPr="009F0D4F">
        <w:rPr>
          <w:rFonts w:asciiTheme="majorHAnsi" w:hAnsiTheme="majorHAnsi"/>
          <w:sz w:val="20"/>
          <w:szCs w:val="20"/>
        </w:rPr>
        <w:t xml:space="preserve">. </w:t>
      </w:r>
      <w:r w:rsidR="004D7C05">
        <w:rPr>
          <w:rFonts w:asciiTheme="majorHAnsi" w:hAnsiTheme="majorHAnsi"/>
          <w:sz w:val="20"/>
          <w:szCs w:val="20"/>
        </w:rPr>
        <w:t>Esta última</w:t>
      </w:r>
      <w:r w:rsidR="006E7672">
        <w:rPr>
          <w:rFonts w:asciiTheme="majorHAnsi" w:hAnsiTheme="majorHAnsi"/>
          <w:sz w:val="20"/>
          <w:szCs w:val="20"/>
        </w:rPr>
        <w:t xml:space="preserve"> sala</w:t>
      </w:r>
      <w:r>
        <w:rPr>
          <w:rFonts w:asciiTheme="majorHAnsi" w:hAnsiTheme="majorHAnsi"/>
          <w:sz w:val="20"/>
          <w:szCs w:val="20"/>
        </w:rPr>
        <w:t xml:space="preserve"> habría declarado “sin lugar” </w:t>
      </w:r>
      <w:r w:rsidR="006E7672">
        <w:rPr>
          <w:rFonts w:asciiTheme="majorHAnsi" w:hAnsiTheme="majorHAnsi"/>
          <w:sz w:val="20"/>
          <w:szCs w:val="20"/>
        </w:rPr>
        <w:t xml:space="preserve">el amparo </w:t>
      </w:r>
      <w:r w:rsidRPr="005F7D02">
        <w:rPr>
          <w:rFonts w:asciiTheme="majorHAnsi" w:hAnsiTheme="majorHAnsi"/>
          <w:sz w:val="20"/>
          <w:szCs w:val="20"/>
        </w:rPr>
        <w:t>el 24 de abril de 2005.</w:t>
      </w:r>
      <w:r>
        <w:rPr>
          <w:rFonts w:asciiTheme="majorHAnsi" w:hAnsiTheme="majorHAnsi"/>
          <w:sz w:val="20"/>
          <w:szCs w:val="20"/>
        </w:rPr>
        <w:t xml:space="preserve"> </w:t>
      </w:r>
    </w:p>
    <w:p w14:paraId="09F66ADD" w14:textId="77777777" w:rsidR="005C5B61" w:rsidRPr="0063297C" w:rsidRDefault="005C5B61" w:rsidP="0063297C">
      <w:pPr>
        <w:rPr>
          <w:sz w:val="20"/>
          <w:szCs w:val="20"/>
        </w:rPr>
      </w:pPr>
    </w:p>
    <w:p w14:paraId="6D5F0BB3" w14:textId="15E6B8AF" w:rsidR="00C97686" w:rsidRDefault="0064460E" w:rsidP="00AF6DD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Theme="majorHAnsi" w:hAnsiTheme="majorHAnsi"/>
          <w:sz w:val="20"/>
          <w:szCs w:val="20"/>
        </w:rPr>
        <w:t xml:space="preserve">Luego de que los peticionarios interpusieran un incidente de recusación contra el </w:t>
      </w:r>
      <w:r>
        <w:rPr>
          <w:rFonts w:ascii="Cambria" w:hAnsi="Cambria"/>
          <w:sz w:val="20"/>
          <w:szCs w:val="20"/>
        </w:rPr>
        <w:t>Juzgado 34°, la fase de juicio de surtió</w:t>
      </w:r>
      <w:r w:rsidR="00836232">
        <w:rPr>
          <w:rFonts w:ascii="Cambria" w:hAnsi="Cambria"/>
          <w:sz w:val="20"/>
          <w:szCs w:val="20"/>
        </w:rPr>
        <w:t xml:space="preserve"> ante</w:t>
      </w:r>
      <w:r w:rsidR="00C97686" w:rsidRPr="00DB6EFE">
        <w:rPr>
          <w:rFonts w:ascii="Cambria" w:hAnsi="Cambria"/>
          <w:sz w:val="20"/>
          <w:szCs w:val="20"/>
        </w:rPr>
        <w:t xml:space="preserve"> el </w:t>
      </w:r>
      <w:r w:rsidR="005F32EC" w:rsidRPr="00CB2EDE">
        <w:rPr>
          <w:rFonts w:asciiTheme="majorHAnsi" w:hAnsiTheme="majorHAnsi"/>
          <w:sz w:val="20"/>
          <w:szCs w:val="20"/>
        </w:rPr>
        <w:t xml:space="preserve">Juzgado </w:t>
      </w:r>
      <w:r w:rsidR="000626B7">
        <w:rPr>
          <w:rFonts w:ascii="Cambria" w:hAnsi="Cambria"/>
          <w:sz w:val="20"/>
          <w:szCs w:val="20"/>
        </w:rPr>
        <w:t>Vigésimo</w:t>
      </w:r>
      <w:r w:rsidR="00C97686" w:rsidRPr="00DB6EFE">
        <w:rPr>
          <w:rFonts w:ascii="Cambria" w:hAnsi="Cambria"/>
          <w:sz w:val="20"/>
          <w:szCs w:val="20"/>
        </w:rPr>
        <w:t xml:space="preserve"> </w:t>
      </w:r>
      <w:r w:rsidR="000626B7" w:rsidRPr="000626B7">
        <w:rPr>
          <w:rFonts w:ascii="Cambria" w:hAnsi="Cambria"/>
          <w:sz w:val="20"/>
          <w:szCs w:val="20"/>
        </w:rPr>
        <w:t xml:space="preserve">de Primera Instancia </w:t>
      </w:r>
      <w:r w:rsidR="003D4D24" w:rsidRPr="00291815">
        <w:rPr>
          <w:rFonts w:asciiTheme="majorHAnsi" w:hAnsiTheme="majorHAnsi"/>
          <w:sz w:val="20"/>
          <w:szCs w:val="20"/>
        </w:rPr>
        <w:t>del Área Metropolitana de Caracas</w:t>
      </w:r>
      <w:r w:rsidR="003D4D24">
        <w:rPr>
          <w:rFonts w:asciiTheme="majorHAnsi" w:hAnsiTheme="majorHAnsi"/>
          <w:sz w:val="20"/>
          <w:szCs w:val="20"/>
        </w:rPr>
        <w:t xml:space="preserve"> </w:t>
      </w:r>
      <w:r w:rsidR="000626B7">
        <w:rPr>
          <w:rFonts w:ascii="Cambria" w:hAnsi="Cambria"/>
          <w:sz w:val="20"/>
          <w:szCs w:val="20"/>
        </w:rPr>
        <w:t>(en adelante, “Juzgado 20°”)</w:t>
      </w:r>
      <w:r w:rsidR="00B85C1B">
        <w:rPr>
          <w:rFonts w:ascii="Cambria" w:hAnsi="Cambria"/>
          <w:sz w:val="20"/>
          <w:szCs w:val="20"/>
        </w:rPr>
        <w:t xml:space="preserve">. </w:t>
      </w:r>
      <w:r w:rsidR="00467D30">
        <w:rPr>
          <w:rFonts w:ascii="Cambria" w:hAnsi="Cambria"/>
          <w:sz w:val="20"/>
          <w:szCs w:val="20"/>
        </w:rPr>
        <w:t>Así, e</w:t>
      </w:r>
      <w:r w:rsidR="004D1504">
        <w:rPr>
          <w:rFonts w:asciiTheme="majorHAnsi" w:hAnsiTheme="majorHAnsi"/>
          <w:sz w:val="20"/>
          <w:szCs w:val="20"/>
        </w:rPr>
        <w:t>l 20 de diciembre de 2005</w:t>
      </w:r>
      <w:r w:rsidR="00C97686" w:rsidRPr="00DB6EFE">
        <w:rPr>
          <w:rFonts w:asciiTheme="majorHAnsi" w:hAnsiTheme="majorHAnsi"/>
          <w:sz w:val="20"/>
          <w:szCs w:val="20"/>
        </w:rPr>
        <w:t xml:space="preserve"> </w:t>
      </w:r>
      <w:r w:rsidR="004D1504">
        <w:rPr>
          <w:rFonts w:asciiTheme="majorHAnsi" w:hAnsiTheme="majorHAnsi"/>
          <w:sz w:val="20"/>
          <w:szCs w:val="20"/>
        </w:rPr>
        <w:t>este</w:t>
      </w:r>
      <w:r w:rsidR="00B85C1B">
        <w:rPr>
          <w:rFonts w:asciiTheme="majorHAnsi" w:hAnsiTheme="majorHAnsi"/>
          <w:sz w:val="20"/>
          <w:szCs w:val="20"/>
        </w:rPr>
        <w:t xml:space="preserve"> tribunal </w:t>
      </w:r>
      <w:r w:rsidR="004D1504">
        <w:rPr>
          <w:rFonts w:asciiTheme="majorHAnsi" w:hAnsiTheme="majorHAnsi"/>
          <w:sz w:val="20"/>
          <w:szCs w:val="20"/>
        </w:rPr>
        <w:t>de primera instancia dictó sentencia condenatoria contra</w:t>
      </w:r>
      <w:r w:rsidR="00DB6EFE">
        <w:rPr>
          <w:rFonts w:asciiTheme="majorHAnsi" w:hAnsiTheme="majorHAnsi"/>
          <w:sz w:val="20"/>
          <w:szCs w:val="20"/>
        </w:rPr>
        <w:t xml:space="preserve"> </w:t>
      </w:r>
      <w:r w:rsidR="00C97686" w:rsidRPr="00DB6EFE">
        <w:rPr>
          <w:rFonts w:asciiTheme="majorHAnsi" w:hAnsiTheme="majorHAnsi"/>
          <w:sz w:val="20"/>
          <w:szCs w:val="20"/>
        </w:rPr>
        <w:t xml:space="preserve">las presuntas víctimas. Otoniel José y Rolando Jesús Guevara Pérez </w:t>
      </w:r>
      <w:r w:rsidR="00F56683">
        <w:rPr>
          <w:rFonts w:asciiTheme="majorHAnsi" w:hAnsiTheme="majorHAnsi"/>
          <w:sz w:val="20"/>
          <w:szCs w:val="20"/>
        </w:rPr>
        <w:t xml:space="preserve">fueron </w:t>
      </w:r>
      <w:r w:rsidR="00C97686" w:rsidRPr="00DB6EFE">
        <w:rPr>
          <w:rFonts w:asciiTheme="majorHAnsi" w:hAnsiTheme="majorHAnsi"/>
          <w:sz w:val="20"/>
          <w:szCs w:val="20"/>
        </w:rPr>
        <w:t xml:space="preserve">condenados a 27 años y 9 meses de prisión y Juan Bautista Guevara Rodríguez </w:t>
      </w:r>
      <w:r w:rsidR="00F56683">
        <w:rPr>
          <w:rFonts w:asciiTheme="majorHAnsi" w:hAnsiTheme="majorHAnsi"/>
          <w:sz w:val="20"/>
          <w:szCs w:val="20"/>
        </w:rPr>
        <w:t xml:space="preserve">a </w:t>
      </w:r>
      <w:r w:rsidR="00C97686" w:rsidRPr="00DB6EFE">
        <w:rPr>
          <w:rFonts w:asciiTheme="majorHAnsi" w:hAnsiTheme="majorHAnsi"/>
          <w:sz w:val="20"/>
          <w:szCs w:val="20"/>
        </w:rPr>
        <w:t xml:space="preserve">29 </w:t>
      </w:r>
      <w:r w:rsidR="000C1074">
        <w:rPr>
          <w:rFonts w:asciiTheme="majorHAnsi" w:hAnsiTheme="majorHAnsi"/>
          <w:sz w:val="20"/>
          <w:szCs w:val="20"/>
        </w:rPr>
        <w:t xml:space="preserve">años </w:t>
      </w:r>
      <w:r w:rsidR="00C97686" w:rsidRPr="00DB6EFE">
        <w:rPr>
          <w:rFonts w:asciiTheme="majorHAnsi" w:hAnsiTheme="majorHAnsi"/>
          <w:sz w:val="20"/>
          <w:szCs w:val="20"/>
        </w:rPr>
        <w:t xml:space="preserve">y 6 meses de prisión. </w:t>
      </w:r>
      <w:r w:rsidR="00F56683">
        <w:rPr>
          <w:rFonts w:asciiTheme="majorHAnsi" w:hAnsiTheme="majorHAnsi"/>
          <w:sz w:val="20"/>
          <w:szCs w:val="20"/>
        </w:rPr>
        <w:t>Estas condenas fueron apeladas, sin embargo estos</w:t>
      </w:r>
      <w:r w:rsidR="00B85C1B">
        <w:rPr>
          <w:rFonts w:asciiTheme="majorHAnsi" w:hAnsiTheme="majorHAnsi"/>
          <w:sz w:val="20"/>
          <w:szCs w:val="20"/>
        </w:rPr>
        <w:t xml:space="preserve"> </w:t>
      </w:r>
      <w:r w:rsidR="00AF6DD1">
        <w:rPr>
          <w:rFonts w:asciiTheme="majorHAnsi" w:hAnsiTheme="majorHAnsi"/>
          <w:sz w:val="20"/>
          <w:szCs w:val="20"/>
        </w:rPr>
        <w:t xml:space="preserve">recursos </w:t>
      </w:r>
      <w:r w:rsidR="00F56683">
        <w:rPr>
          <w:rFonts w:asciiTheme="majorHAnsi" w:hAnsiTheme="majorHAnsi"/>
          <w:sz w:val="20"/>
          <w:szCs w:val="20"/>
        </w:rPr>
        <w:t>fueron</w:t>
      </w:r>
      <w:r w:rsidR="00AF6DD1">
        <w:rPr>
          <w:rFonts w:asciiTheme="majorHAnsi" w:hAnsiTheme="majorHAnsi"/>
          <w:sz w:val="20"/>
          <w:szCs w:val="20"/>
        </w:rPr>
        <w:t xml:space="preserve"> declarados “sin lugar” por la </w:t>
      </w:r>
      <w:r w:rsidR="00336B41" w:rsidRPr="006E7672">
        <w:rPr>
          <w:rFonts w:asciiTheme="majorHAnsi" w:hAnsiTheme="majorHAnsi"/>
          <w:sz w:val="20"/>
          <w:szCs w:val="20"/>
        </w:rPr>
        <w:t xml:space="preserve">Sala </w:t>
      </w:r>
      <w:r w:rsidR="00B85C1B" w:rsidRPr="006E7672">
        <w:rPr>
          <w:rFonts w:asciiTheme="majorHAnsi" w:hAnsiTheme="majorHAnsi"/>
          <w:sz w:val="20"/>
          <w:szCs w:val="20"/>
        </w:rPr>
        <w:t>Séptima</w:t>
      </w:r>
      <w:r w:rsidR="00336B41" w:rsidRPr="006E7672">
        <w:rPr>
          <w:rFonts w:asciiTheme="majorHAnsi" w:hAnsiTheme="majorHAnsi"/>
          <w:sz w:val="20"/>
          <w:szCs w:val="20"/>
        </w:rPr>
        <w:t xml:space="preserve"> </w:t>
      </w:r>
      <w:r w:rsidR="00336B41" w:rsidRPr="006E7672">
        <w:rPr>
          <w:rFonts w:ascii="Cambria" w:hAnsi="Cambria"/>
          <w:sz w:val="20"/>
          <w:szCs w:val="20"/>
        </w:rPr>
        <w:t xml:space="preserve">de la Corte de Apelaciones </w:t>
      </w:r>
      <w:r w:rsidR="00336B41" w:rsidRPr="006E7672">
        <w:rPr>
          <w:rFonts w:asciiTheme="majorHAnsi" w:hAnsiTheme="majorHAnsi"/>
          <w:sz w:val="20"/>
          <w:szCs w:val="20"/>
        </w:rPr>
        <w:t>del Área Metropolitana de Caracas</w:t>
      </w:r>
      <w:r w:rsidR="00336B41" w:rsidRPr="006E7672">
        <w:rPr>
          <w:rFonts w:ascii="Cambria" w:hAnsi="Cambria"/>
          <w:sz w:val="20"/>
          <w:szCs w:val="20"/>
        </w:rPr>
        <w:t xml:space="preserve"> (en adelante, “Sala 7ª de la Corte de Apelaciones”)</w:t>
      </w:r>
      <w:r w:rsidR="00C97686" w:rsidRPr="00336B41">
        <w:rPr>
          <w:rFonts w:asciiTheme="majorHAnsi" w:hAnsiTheme="majorHAnsi"/>
          <w:sz w:val="20"/>
          <w:szCs w:val="20"/>
        </w:rPr>
        <w:t xml:space="preserve"> </w:t>
      </w:r>
      <w:r w:rsidR="00C97686" w:rsidRPr="00DB6EFE">
        <w:rPr>
          <w:rFonts w:asciiTheme="majorHAnsi" w:hAnsiTheme="majorHAnsi"/>
          <w:sz w:val="20"/>
          <w:szCs w:val="20"/>
        </w:rPr>
        <w:t xml:space="preserve">el 25 de abril de 2006. </w:t>
      </w:r>
      <w:r w:rsidR="00F56683">
        <w:rPr>
          <w:rFonts w:asciiTheme="majorHAnsi" w:hAnsiTheme="majorHAnsi"/>
          <w:sz w:val="20"/>
          <w:szCs w:val="20"/>
        </w:rPr>
        <w:t>Los representantes de las presuntas víctimas presentaron recursos de  casación el</w:t>
      </w:r>
      <w:r w:rsidR="00F56683" w:rsidRPr="00DB6EFE">
        <w:rPr>
          <w:rFonts w:asciiTheme="majorHAnsi" w:hAnsiTheme="majorHAnsi"/>
          <w:sz w:val="20"/>
          <w:szCs w:val="20"/>
        </w:rPr>
        <w:t xml:space="preserve"> 25 y 26 de octubre de 2006, </w:t>
      </w:r>
      <w:r w:rsidR="00C97686" w:rsidRPr="006E7672">
        <w:rPr>
          <w:rFonts w:asciiTheme="majorHAnsi" w:hAnsiTheme="majorHAnsi"/>
          <w:sz w:val="20"/>
          <w:szCs w:val="20"/>
        </w:rPr>
        <w:t xml:space="preserve">los cuales </w:t>
      </w:r>
      <w:r w:rsidR="00F56683">
        <w:rPr>
          <w:rFonts w:asciiTheme="majorHAnsi" w:hAnsiTheme="majorHAnsi"/>
          <w:sz w:val="20"/>
          <w:szCs w:val="20"/>
        </w:rPr>
        <w:t>fueron</w:t>
      </w:r>
      <w:r w:rsidR="00C97686" w:rsidRPr="006E7672">
        <w:rPr>
          <w:rFonts w:asciiTheme="majorHAnsi" w:hAnsiTheme="majorHAnsi"/>
          <w:sz w:val="20"/>
          <w:szCs w:val="20"/>
        </w:rPr>
        <w:t xml:space="preserve"> desestimados</w:t>
      </w:r>
      <w:r w:rsidR="00336B41" w:rsidRPr="006E7672">
        <w:rPr>
          <w:rFonts w:ascii="Cambria" w:hAnsi="Cambria"/>
          <w:sz w:val="20"/>
          <w:szCs w:val="20"/>
        </w:rPr>
        <w:t xml:space="preserve"> </w:t>
      </w:r>
      <w:r w:rsidR="000C1074" w:rsidRPr="006E7672">
        <w:rPr>
          <w:rFonts w:asciiTheme="majorHAnsi" w:hAnsiTheme="majorHAnsi"/>
          <w:sz w:val="20"/>
          <w:szCs w:val="20"/>
        </w:rPr>
        <w:t>el 6 de agosto</w:t>
      </w:r>
      <w:r w:rsidR="000C1074" w:rsidRPr="006E7672">
        <w:rPr>
          <w:rFonts w:ascii="Cambria" w:hAnsi="Cambria"/>
          <w:sz w:val="20"/>
          <w:szCs w:val="20"/>
        </w:rPr>
        <w:t xml:space="preserve"> de 2007</w:t>
      </w:r>
      <w:r w:rsidR="000C1074">
        <w:rPr>
          <w:rFonts w:ascii="Cambria" w:hAnsi="Cambria"/>
          <w:sz w:val="20"/>
          <w:szCs w:val="20"/>
        </w:rPr>
        <w:t xml:space="preserve">, </w:t>
      </w:r>
      <w:r w:rsidR="00336B41" w:rsidRPr="006E7672">
        <w:rPr>
          <w:rFonts w:ascii="Cambria" w:hAnsi="Cambria"/>
          <w:sz w:val="20"/>
          <w:szCs w:val="20"/>
        </w:rPr>
        <w:t>por la Sala de Casación Penal del Tribunal Supremo de Justicia</w:t>
      </w:r>
      <w:r w:rsidR="00AF6DD1" w:rsidRPr="006E7672">
        <w:rPr>
          <w:rFonts w:asciiTheme="majorHAnsi" w:hAnsiTheme="majorHAnsi"/>
          <w:sz w:val="20"/>
          <w:szCs w:val="20"/>
        </w:rPr>
        <w:t>,</w:t>
      </w:r>
      <w:r w:rsidR="00C97686" w:rsidRPr="006E7672">
        <w:rPr>
          <w:rFonts w:asciiTheme="majorHAnsi" w:hAnsiTheme="majorHAnsi"/>
          <w:sz w:val="20"/>
          <w:szCs w:val="20"/>
        </w:rPr>
        <w:t xml:space="preserve"> </w:t>
      </w:r>
      <w:r w:rsidR="00AF6DD1" w:rsidRPr="006E7672">
        <w:rPr>
          <w:rFonts w:ascii="Cambria" w:hAnsi="Cambria"/>
          <w:sz w:val="20"/>
          <w:szCs w:val="20"/>
        </w:rPr>
        <w:t>por</w:t>
      </w:r>
      <w:r w:rsidR="00C97686" w:rsidRPr="006E7672">
        <w:rPr>
          <w:rFonts w:ascii="Cambria" w:hAnsi="Cambria"/>
          <w:sz w:val="20"/>
          <w:szCs w:val="20"/>
        </w:rPr>
        <w:t xml:space="preserve"> </w:t>
      </w:r>
      <w:r w:rsidR="00F56683">
        <w:rPr>
          <w:rFonts w:ascii="Cambria" w:hAnsi="Cambria"/>
          <w:sz w:val="20"/>
          <w:szCs w:val="20"/>
        </w:rPr>
        <w:t>considerarlos</w:t>
      </w:r>
      <w:r w:rsidR="00111945">
        <w:rPr>
          <w:rFonts w:ascii="Cambria" w:hAnsi="Cambria"/>
          <w:sz w:val="20"/>
          <w:szCs w:val="20"/>
        </w:rPr>
        <w:t xml:space="preserve"> </w:t>
      </w:r>
      <w:r w:rsidR="00C97686" w:rsidRPr="006E7672">
        <w:rPr>
          <w:rFonts w:ascii="Cambria" w:hAnsi="Cambria"/>
          <w:sz w:val="20"/>
          <w:szCs w:val="20"/>
        </w:rPr>
        <w:t>“manifiestamente infundados”.</w:t>
      </w:r>
      <w:r w:rsidR="00C97686" w:rsidRPr="00DB6EFE">
        <w:rPr>
          <w:rFonts w:ascii="Cambria" w:hAnsi="Cambria"/>
          <w:sz w:val="20"/>
          <w:szCs w:val="20"/>
        </w:rPr>
        <w:t xml:space="preserve"> </w:t>
      </w:r>
    </w:p>
    <w:p w14:paraId="384B6EC8" w14:textId="77777777" w:rsidR="00506111" w:rsidRDefault="00506111" w:rsidP="0050611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5BD4CF63" w14:textId="4880164A" w:rsidR="00031CCC" w:rsidRPr="00A27782" w:rsidRDefault="00756BC2" w:rsidP="00A2778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1667B7">
        <w:rPr>
          <w:rFonts w:ascii="Cambria" w:hAnsi="Cambria"/>
          <w:sz w:val="20"/>
          <w:szCs w:val="20"/>
        </w:rPr>
        <w:t xml:space="preserve">Según </w:t>
      </w:r>
      <w:r w:rsidR="001667B7">
        <w:rPr>
          <w:rFonts w:ascii="Cambria" w:hAnsi="Cambria"/>
          <w:sz w:val="20"/>
          <w:szCs w:val="20"/>
        </w:rPr>
        <w:t xml:space="preserve">informan </w:t>
      </w:r>
      <w:r w:rsidRPr="001667B7">
        <w:rPr>
          <w:rFonts w:ascii="Cambria" w:hAnsi="Cambria"/>
          <w:sz w:val="20"/>
          <w:szCs w:val="20"/>
        </w:rPr>
        <w:t>los peticionarios, a lo largo de la tramitación de</w:t>
      </w:r>
      <w:r w:rsidR="0065232C" w:rsidRPr="001667B7">
        <w:rPr>
          <w:rFonts w:ascii="Cambria" w:hAnsi="Cambria"/>
          <w:sz w:val="20"/>
          <w:szCs w:val="20"/>
        </w:rPr>
        <w:t>l</w:t>
      </w:r>
      <w:r w:rsidR="00177B37" w:rsidRPr="001667B7">
        <w:rPr>
          <w:rFonts w:ascii="Cambria" w:hAnsi="Cambria"/>
          <w:sz w:val="20"/>
          <w:szCs w:val="20"/>
        </w:rPr>
        <w:t xml:space="preserve"> </w:t>
      </w:r>
      <w:r w:rsidRPr="001667B7">
        <w:rPr>
          <w:rFonts w:ascii="Cambria" w:hAnsi="Cambria"/>
          <w:sz w:val="20"/>
          <w:szCs w:val="20"/>
        </w:rPr>
        <w:t xml:space="preserve">proceso habrían tenido lugar una serie de irregularidades, entre las que </w:t>
      </w:r>
      <w:r w:rsidR="00036914" w:rsidRPr="001667B7">
        <w:rPr>
          <w:rFonts w:ascii="Cambria" w:hAnsi="Cambria"/>
          <w:sz w:val="20"/>
          <w:szCs w:val="20"/>
        </w:rPr>
        <w:t xml:space="preserve">destacan </w:t>
      </w:r>
      <w:r w:rsidRPr="001667B7">
        <w:rPr>
          <w:rFonts w:ascii="Cambria" w:hAnsi="Cambria"/>
          <w:sz w:val="20"/>
          <w:szCs w:val="20"/>
        </w:rPr>
        <w:t>las siguientes</w:t>
      </w:r>
      <w:r w:rsidR="0050542F">
        <w:rPr>
          <w:rFonts w:ascii="Cambria" w:hAnsi="Cambria"/>
          <w:sz w:val="20"/>
          <w:szCs w:val="20"/>
        </w:rPr>
        <w:t>:</w:t>
      </w:r>
      <w:r w:rsidRPr="001667B7">
        <w:rPr>
          <w:rFonts w:ascii="Cambria" w:hAnsi="Cambria"/>
          <w:sz w:val="20"/>
          <w:szCs w:val="20"/>
        </w:rPr>
        <w:t xml:space="preserve"> </w:t>
      </w:r>
      <w:r w:rsidR="0050542F">
        <w:rPr>
          <w:rFonts w:ascii="Cambria" w:hAnsi="Cambria"/>
          <w:sz w:val="20"/>
          <w:szCs w:val="20"/>
        </w:rPr>
        <w:t xml:space="preserve">(a) </w:t>
      </w:r>
      <w:r w:rsidRPr="001667B7">
        <w:rPr>
          <w:rFonts w:ascii="Cambria" w:hAnsi="Cambria"/>
          <w:sz w:val="20"/>
          <w:szCs w:val="20"/>
        </w:rPr>
        <w:t xml:space="preserve">la acusación </w:t>
      </w:r>
      <w:r w:rsidR="00477D1F" w:rsidRPr="001667B7">
        <w:rPr>
          <w:rFonts w:ascii="Cambria" w:hAnsi="Cambria"/>
          <w:sz w:val="20"/>
          <w:szCs w:val="20"/>
        </w:rPr>
        <w:t xml:space="preserve">formulada por el Ministerio Público </w:t>
      </w:r>
      <w:r w:rsidRPr="001667B7">
        <w:rPr>
          <w:rFonts w:ascii="Cambria" w:hAnsi="Cambria"/>
          <w:sz w:val="20"/>
          <w:szCs w:val="20"/>
        </w:rPr>
        <w:t xml:space="preserve">no habría sido clara, precisa </w:t>
      </w:r>
      <w:r w:rsidR="00924F0B" w:rsidRPr="001667B7">
        <w:rPr>
          <w:rFonts w:ascii="Cambria" w:hAnsi="Cambria"/>
          <w:sz w:val="20"/>
          <w:szCs w:val="20"/>
        </w:rPr>
        <w:t>ni</w:t>
      </w:r>
      <w:r w:rsidRPr="001667B7">
        <w:rPr>
          <w:rFonts w:ascii="Cambria" w:hAnsi="Cambria"/>
          <w:sz w:val="20"/>
          <w:szCs w:val="20"/>
        </w:rPr>
        <w:t xml:space="preserve"> circunst</w:t>
      </w:r>
      <w:r w:rsidR="00177B37" w:rsidRPr="001667B7">
        <w:rPr>
          <w:rFonts w:ascii="Cambria" w:hAnsi="Cambria"/>
          <w:sz w:val="20"/>
          <w:szCs w:val="20"/>
        </w:rPr>
        <w:t xml:space="preserve">anciada de los hechos imputados, razón por la cual </w:t>
      </w:r>
      <w:r w:rsidRPr="001667B7">
        <w:rPr>
          <w:rFonts w:ascii="Cambria" w:hAnsi="Cambria"/>
          <w:sz w:val="20"/>
          <w:szCs w:val="20"/>
        </w:rPr>
        <w:t xml:space="preserve">no </w:t>
      </w:r>
      <w:r w:rsidR="00924F0B" w:rsidRPr="001667B7">
        <w:rPr>
          <w:rFonts w:ascii="Cambria" w:hAnsi="Cambria"/>
          <w:sz w:val="20"/>
          <w:szCs w:val="20"/>
        </w:rPr>
        <w:t xml:space="preserve">habrían sabido </w:t>
      </w:r>
      <w:r w:rsidRPr="001667B7">
        <w:rPr>
          <w:rFonts w:ascii="Cambria" w:hAnsi="Cambria"/>
          <w:sz w:val="20"/>
          <w:szCs w:val="20"/>
        </w:rPr>
        <w:t>sobre qué hechos defenderse</w:t>
      </w:r>
      <w:r w:rsidR="00177B37" w:rsidRPr="001667B7">
        <w:rPr>
          <w:rFonts w:ascii="Cambria" w:hAnsi="Cambria"/>
          <w:sz w:val="20"/>
          <w:szCs w:val="20"/>
        </w:rPr>
        <w:t xml:space="preserve"> concretamente</w:t>
      </w:r>
      <w:r w:rsidRPr="001667B7">
        <w:rPr>
          <w:rFonts w:ascii="Cambria" w:hAnsi="Cambria"/>
          <w:sz w:val="20"/>
          <w:szCs w:val="20"/>
        </w:rPr>
        <w:t>.</w:t>
      </w:r>
      <w:r w:rsidR="00537A9C" w:rsidRPr="001667B7">
        <w:rPr>
          <w:rFonts w:ascii="Cambria" w:hAnsi="Cambria"/>
          <w:sz w:val="20"/>
          <w:szCs w:val="20"/>
        </w:rPr>
        <w:t xml:space="preserve"> </w:t>
      </w:r>
      <w:r w:rsidR="0050542F">
        <w:rPr>
          <w:rFonts w:ascii="Cambria" w:hAnsi="Cambria"/>
          <w:sz w:val="20"/>
          <w:szCs w:val="20"/>
        </w:rPr>
        <w:t>Señalan que t</w:t>
      </w:r>
      <w:r w:rsidR="00537A9C" w:rsidRPr="001667B7">
        <w:rPr>
          <w:rFonts w:ascii="Cambria" w:hAnsi="Cambria"/>
          <w:sz w:val="20"/>
          <w:szCs w:val="20"/>
        </w:rPr>
        <w:t xml:space="preserve">anto en </w:t>
      </w:r>
      <w:r w:rsidR="0050542F">
        <w:rPr>
          <w:rFonts w:ascii="Cambria" w:hAnsi="Cambria"/>
          <w:sz w:val="20"/>
          <w:szCs w:val="20"/>
        </w:rPr>
        <w:t>la acusación</w:t>
      </w:r>
      <w:r w:rsidR="000C1074">
        <w:rPr>
          <w:rFonts w:ascii="Cambria" w:hAnsi="Cambria"/>
          <w:sz w:val="20"/>
          <w:szCs w:val="20"/>
        </w:rPr>
        <w:t>,</w:t>
      </w:r>
      <w:r w:rsidR="00537A9C" w:rsidRPr="001667B7">
        <w:rPr>
          <w:rFonts w:ascii="Cambria" w:hAnsi="Cambria"/>
          <w:sz w:val="20"/>
          <w:szCs w:val="20"/>
        </w:rPr>
        <w:t xml:space="preserve"> como en las sentencias dictadas</w:t>
      </w:r>
      <w:r w:rsidR="000C1074">
        <w:rPr>
          <w:rFonts w:ascii="Cambria" w:hAnsi="Cambria"/>
          <w:sz w:val="20"/>
          <w:szCs w:val="20"/>
        </w:rPr>
        <w:t>,</w:t>
      </w:r>
      <w:r w:rsidR="00537A9C" w:rsidRPr="001667B7">
        <w:rPr>
          <w:rFonts w:ascii="Cambria" w:hAnsi="Cambria"/>
          <w:sz w:val="20"/>
          <w:szCs w:val="20"/>
        </w:rPr>
        <w:t xml:space="preserve"> no se desprend</w:t>
      </w:r>
      <w:r w:rsidR="00D8631E">
        <w:rPr>
          <w:rFonts w:ascii="Cambria" w:hAnsi="Cambria"/>
          <w:sz w:val="20"/>
          <w:szCs w:val="20"/>
        </w:rPr>
        <w:t>ía</w:t>
      </w:r>
      <w:r w:rsidR="00537A9C" w:rsidRPr="001667B7">
        <w:rPr>
          <w:rFonts w:ascii="Cambria" w:hAnsi="Cambria"/>
          <w:sz w:val="20"/>
          <w:szCs w:val="20"/>
        </w:rPr>
        <w:t xml:space="preserve"> una relación clara y precisa </w:t>
      </w:r>
      <w:r w:rsidR="000C1074">
        <w:rPr>
          <w:rFonts w:ascii="Cambria" w:hAnsi="Cambria"/>
          <w:sz w:val="20"/>
          <w:szCs w:val="20"/>
        </w:rPr>
        <w:t>entre</w:t>
      </w:r>
      <w:r w:rsidR="00537A9C" w:rsidRPr="001667B7">
        <w:rPr>
          <w:rFonts w:ascii="Cambria" w:hAnsi="Cambria"/>
          <w:sz w:val="20"/>
          <w:szCs w:val="20"/>
        </w:rPr>
        <w:t xml:space="preserve"> qué delitos se habrían imputado y cuáles fueron los elementos de convicción tomados en consideración para cada uno de los </w:t>
      </w:r>
      <w:r w:rsidR="00F25583">
        <w:rPr>
          <w:rFonts w:ascii="Cambria" w:hAnsi="Cambria"/>
          <w:sz w:val="20"/>
          <w:szCs w:val="20"/>
        </w:rPr>
        <w:t>alegados</w:t>
      </w:r>
      <w:r w:rsidR="00537A9C" w:rsidRPr="001667B7">
        <w:rPr>
          <w:rFonts w:ascii="Cambria" w:hAnsi="Cambria"/>
          <w:sz w:val="20"/>
          <w:szCs w:val="20"/>
        </w:rPr>
        <w:t xml:space="preserve"> responsables</w:t>
      </w:r>
      <w:r w:rsidR="00A000CB">
        <w:rPr>
          <w:rFonts w:ascii="Cambria" w:hAnsi="Cambria"/>
          <w:sz w:val="20"/>
          <w:szCs w:val="20"/>
        </w:rPr>
        <w:t>;</w:t>
      </w:r>
      <w:r w:rsidR="001667B7">
        <w:rPr>
          <w:rFonts w:ascii="Cambria" w:hAnsi="Cambria"/>
          <w:sz w:val="20"/>
          <w:szCs w:val="20"/>
        </w:rPr>
        <w:t xml:space="preserve"> </w:t>
      </w:r>
      <w:r w:rsidR="0050542F">
        <w:rPr>
          <w:rFonts w:ascii="Cambria" w:hAnsi="Cambria"/>
          <w:sz w:val="20"/>
          <w:szCs w:val="20"/>
        </w:rPr>
        <w:t>(b) e</w:t>
      </w:r>
      <w:r w:rsidR="00040AD5" w:rsidRPr="001667B7">
        <w:rPr>
          <w:rFonts w:ascii="Cambria" w:hAnsi="Cambria"/>
          <w:sz w:val="20"/>
          <w:szCs w:val="20"/>
        </w:rPr>
        <w:t>l Ministerio Público habría falseado actas procesales y habría pagado para obtener testigos falsos</w:t>
      </w:r>
      <w:r w:rsidR="00A000CB">
        <w:rPr>
          <w:rFonts w:ascii="Cambria" w:hAnsi="Cambria"/>
          <w:sz w:val="20"/>
          <w:szCs w:val="20"/>
        </w:rPr>
        <w:t>;</w:t>
      </w:r>
      <w:r w:rsidR="00040AD5" w:rsidRPr="001667B7">
        <w:rPr>
          <w:rFonts w:ascii="Cambria" w:hAnsi="Cambria"/>
          <w:sz w:val="20"/>
          <w:szCs w:val="20"/>
        </w:rPr>
        <w:t xml:space="preserve"> </w:t>
      </w:r>
      <w:r w:rsidR="003869EB">
        <w:rPr>
          <w:rFonts w:ascii="Cambria" w:hAnsi="Cambria"/>
          <w:sz w:val="20"/>
          <w:szCs w:val="20"/>
        </w:rPr>
        <w:t>(c) s</w:t>
      </w:r>
      <w:r w:rsidR="0055207A" w:rsidRPr="001667B7">
        <w:rPr>
          <w:rFonts w:ascii="Cambria" w:hAnsi="Cambria"/>
          <w:sz w:val="20"/>
          <w:szCs w:val="20"/>
        </w:rPr>
        <w:t xml:space="preserve">e les habría impedido </w:t>
      </w:r>
      <w:r w:rsidR="0050542F">
        <w:rPr>
          <w:rFonts w:ascii="Cambria" w:hAnsi="Cambria"/>
          <w:sz w:val="20"/>
          <w:szCs w:val="20"/>
        </w:rPr>
        <w:t xml:space="preserve">a la defensa </w:t>
      </w:r>
      <w:r w:rsidR="0055207A" w:rsidRPr="001667B7">
        <w:rPr>
          <w:rFonts w:ascii="Cambria" w:hAnsi="Cambria"/>
          <w:sz w:val="20"/>
          <w:szCs w:val="20"/>
        </w:rPr>
        <w:t>interrogar a un “testigo vital”, el cual</w:t>
      </w:r>
      <w:r w:rsidR="00E25191" w:rsidRPr="001667B7">
        <w:rPr>
          <w:rFonts w:ascii="Cambria" w:hAnsi="Cambria"/>
          <w:sz w:val="20"/>
          <w:szCs w:val="20"/>
        </w:rPr>
        <w:t>, según alegan,</w:t>
      </w:r>
      <w:r w:rsidR="0055207A" w:rsidRPr="001667B7">
        <w:rPr>
          <w:rFonts w:ascii="Cambria" w:hAnsi="Cambria"/>
          <w:sz w:val="20"/>
          <w:szCs w:val="20"/>
        </w:rPr>
        <w:t xml:space="preserve"> habría “mentido abiertamente”</w:t>
      </w:r>
      <w:r w:rsidR="00A000CB">
        <w:rPr>
          <w:rFonts w:ascii="Cambria" w:hAnsi="Cambria"/>
          <w:sz w:val="20"/>
          <w:szCs w:val="20"/>
        </w:rPr>
        <w:t>;</w:t>
      </w:r>
      <w:r w:rsidR="003869EB">
        <w:rPr>
          <w:rFonts w:ascii="Cambria" w:hAnsi="Cambria"/>
          <w:sz w:val="20"/>
          <w:szCs w:val="20"/>
        </w:rPr>
        <w:t xml:space="preserve"> (d) s</w:t>
      </w:r>
      <w:r w:rsidR="0055207A" w:rsidRPr="001667B7">
        <w:rPr>
          <w:rFonts w:ascii="Cambria" w:hAnsi="Cambria"/>
          <w:sz w:val="20"/>
          <w:szCs w:val="20"/>
        </w:rPr>
        <w:t xml:space="preserve">e les habría negado el acceso a </w:t>
      </w:r>
      <w:r w:rsidR="00F25583">
        <w:rPr>
          <w:rFonts w:ascii="Cambria" w:hAnsi="Cambria"/>
          <w:sz w:val="20"/>
          <w:szCs w:val="20"/>
        </w:rPr>
        <w:t xml:space="preserve">varias </w:t>
      </w:r>
      <w:r w:rsidR="0055207A" w:rsidRPr="001667B7">
        <w:rPr>
          <w:rFonts w:ascii="Cambria" w:hAnsi="Cambria"/>
          <w:sz w:val="20"/>
          <w:szCs w:val="20"/>
        </w:rPr>
        <w:t xml:space="preserve">actas procesales, lo cual habría motivado el amparo interpuesto el </w:t>
      </w:r>
      <w:r w:rsidR="0055207A" w:rsidRPr="001667B7">
        <w:rPr>
          <w:rFonts w:asciiTheme="majorHAnsi" w:hAnsiTheme="majorHAnsi"/>
          <w:sz w:val="20"/>
          <w:szCs w:val="20"/>
        </w:rPr>
        <w:t>24 de enero de 2005</w:t>
      </w:r>
      <w:r w:rsidR="00A000CB">
        <w:rPr>
          <w:rFonts w:asciiTheme="majorHAnsi" w:hAnsiTheme="majorHAnsi"/>
          <w:sz w:val="20"/>
          <w:szCs w:val="20"/>
        </w:rPr>
        <w:t>;</w:t>
      </w:r>
      <w:r w:rsidR="00141953" w:rsidRPr="001667B7">
        <w:rPr>
          <w:rFonts w:ascii="Cambria" w:hAnsi="Cambria"/>
          <w:sz w:val="20"/>
          <w:szCs w:val="20"/>
        </w:rPr>
        <w:t xml:space="preserve"> </w:t>
      </w:r>
      <w:r w:rsidR="00AB34FC">
        <w:rPr>
          <w:rFonts w:ascii="Cambria" w:hAnsi="Cambria"/>
          <w:sz w:val="20"/>
          <w:szCs w:val="20"/>
        </w:rPr>
        <w:t xml:space="preserve">(e) </w:t>
      </w:r>
      <w:r w:rsidR="003869EB">
        <w:rPr>
          <w:rFonts w:ascii="Cambria" w:hAnsi="Cambria"/>
          <w:sz w:val="20"/>
          <w:szCs w:val="20"/>
        </w:rPr>
        <w:t>l</w:t>
      </w:r>
      <w:r w:rsidR="00AB34FC">
        <w:rPr>
          <w:rFonts w:ascii="Cambria" w:hAnsi="Cambria"/>
          <w:sz w:val="20"/>
          <w:szCs w:val="20"/>
        </w:rPr>
        <w:t xml:space="preserve">as presuntas víctimas </w:t>
      </w:r>
      <w:r w:rsidR="0055207A" w:rsidRPr="001667B7">
        <w:rPr>
          <w:rFonts w:ascii="Cambria" w:hAnsi="Cambria"/>
          <w:sz w:val="20"/>
          <w:szCs w:val="20"/>
        </w:rPr>
        <w:t xml:space="preserve">habrían tenido serias dificultades para comunicarse </w:t>
      </w:r>
      <w:r w:rsidR="00AB34FC">
        <w:rPr>
          <w:rFonts w:ascii="Cambria" w:hAnsi="Cambria"/>
          <w:sz w:val="20"/>
          <w:szCs w:val="20"/>
        </w:rPr>
        <w:t>con sus defensores</w:t>
      </w:r>
      <w:r w:rsidR="0055207A" w:rsidRPr="001667B7">
        <w:rPr>
          <w:rFonts w:ascii="Cambria" w:hAnsi="Cambria"/>
          <w:sz w:val="20"/>
          <w:szCs w:val="20"/>
        </w:rPr>
        <w:t xml:space="preserve"> mientras se encontraban </w:t>
      </w:r>
      <w:r w:rsidR="00AB34FC">
        <w:rPr>
          <w:rFonts w:ascii="Cambria" w:hAnsi="Cambria"/>
          <w:sz w:val="20"/>
          <w:szCs w:val="20"/>
        </w:rPr>
        <w:t>detenidos</w:t>
      </w:r>
      <w:r w:rsidR="0055207A" w:rsidRPr="001667B7">
        <w:rPr>
          <w:rFonts w:ascii="Cambria" w:hAnsi="Cambria"/>
          <w:sz w:val="20"/>
          <w:szCs w:val="20"/>
        </w:rPr>
        <w:t xml:space="preserve"> en </w:t>
      </w:r>
      <w:r w:rsidR="0055207A" w:rsidRPr="001D5BA0">
        <w:rPr>
          <w:rFonts w:ascii="Cambria" w:hAnsi="Cambria"/>
          <w:sz w:val="20"/>
          <w:szCs w:val="20"/>
        </w:rPr>
        <w:t xml:space="preserve">la </w:t>
      </w:r>
      <w:r w:rsidR="00F25583" w:rsidRPr="001D5BA0">
        <w:rPr>
          <w:rFonts w:ascii="Cambria" w:hAnsi="Cambria"/>
          <w:sz w:val="20"/>
          <w:szCs w:val="20"/>
        </w:rPr>
        <w:t>Dirección de Inteligencia Militar</w:t>
      </w:r>
      <w:r w:rsidR="000C1074">
        <w:rPr>
          <w:rFonts w:ascii="Cambria" w:hAnsi="Cambria"/>
          <w:sz w:val="20"/>
          <w:szCs w:val="20"/>
        </w:rPr>
        <w:t xml:space="preserve">. </w:t>
      </w:r>
      <w:r w:rsidR="00AB34FC">
        <w:rPr>
          <w:rFonts w:ascii="Cambria" w:hAnsi="Cambria"/>
          <w:sz w:val="20"/>
          <w:szCs w:val="20"/>
        </w:rPr>
        <w:t>Alegan que</w:t>
      </w:r>
      <w:r w:rsidR="0055207A" w:rsidRPr="001667B7">
        <w:rPr>
          <w:rFonts w:ascii="Cambria" w:hAnsi="Cambria"/>
          <w:sz w:val="20"/>
          <w:szCs w:val="20"/>
        </w:rPr>
        <w:t xml:space="preserve"> sus conversaciones eran </w:t>
      </w:r>
      <w:r w:rsidR="00F25583">
        <w:rPr>
          <w:rFonts w:ascii="Cambria" w:hAnsi="Cambria"/>
          <w:sz w:val="20"/>
          <w:szCs w:val="20"/>
        </w:rPr>
        <w:t xml:space="preserve">oídas </w:t>
      </w:r>
      <w:r w:rsidR="0055207A" w:rsidRPr="001667B7">
        <w:rPr>
          <w:rFonts w:ascii="Cambria" w:hAnsi="Cambria"/>
          <w:sz w:val="20"/>
          <w:szCs w:val="20"/>
        </w:rPr>
        <w:t xml:space="preserve">por funcionarios de manera presencial </w:t>
      </w:r>
      <w:r w:rsidR="00AB34FC">
        <w:rPr>
          <w:rFonts w:ascii="Cambria" w:hAnsi="Cambria"/>
          <w:sz w:val="20"/>
          <w:szCs w:val="20"/>
        </w:rPr>
        <w:t>o</w:t>
      </w:r>
      <w:r w:rsidR="00A000CB">
        <w:rPr>
          <w:rFonts w:ascii="Cambria" w:hAnsi="Cambria"/>
          <w:sz w:val="20"/>
          <w:szCs w:val="20"/>
        </w:rPr>
        <w:t xml:space="preserve"> mediante equipos de escucha;</w:t>
      </w:r>
      <w:r w:rsidR="0055207A" w:rsidRPr="001667B7">
        <w:rPr>
          <w:rFonts w:ascii="Cambria" w:hAnsi="Cambria"/>
          <w:sz w:val="20"/>
          <w:szCs w:val="20"/>
        </w:rPr>
        <w:t xml:space="preserve"> </w:t>
      </w:r>
      <w:r w:rsidR="003869EB">
        <w:rPr>
          <w:rFonts w:ascii="Cambria" w:hAnsi="Cambria"/>
          <w:sz w:val="20"/>
          <w:szCs w:val="20"/>
        </w:rPr>
        <w:t xml:space="preserve">y </w:t>
      </w:r>
      <w:r w:rsidR="00AB34FC">
        <w:rPr>
          <w:rFonts w:ascii="Cambria" w:hAnsi="Cambria"/>
          <w:sz w:val="20"/>
          <w:szCs w:val="20"/>
        </w:rPr>
        <w:t xml:space="preserve">(f) </w:t>
      </w:r>
      <w:r w:rsidR="003869EB">
        <w:rPr>
          <w:rFonts w:ascii="Cambria" w:hAnsi="Cambria"/>
          <w:sz w:val="20"/>
          <w:szCs w:val="20"/>
        </w:rPr>
        <w:t>e</w:t>
      </w:r>
      <w:r w:rsidR="00AB34FC">
        <w:rPr>
          <w:rFonts w:ascii="Cambria" w:hAnsi="Cambria"/>
          <w:sz w:val="20"/>
          <w:szCs w:val="20"/>
        </w:rPr>
        <w:t>n general,</w:t>
      </w:r>
      <w:r w:rsidR="00A27782" w:rsidRPr="00AA6223">
        <w:rPr>
          <w:rFonts w:ascii="Cambria" w:hAnsi="Cambria"/>
          <w:sz w:val="20"/>
          <w:szCs w:val="20"/>
        </w:rPr>
        <w:t xml:space="preserve"> alegan que </w:t>
      </w:r>
      <w:r w:rsidR="00A27782">
        <w:rPr>
          <w:rFonts w:ascii="Cambria" w:hAnsi="Cambria"/>
          <w:sz w:val="20"/>
          <w:szCs w:val="20"/>
        </w:rPr>
        <w:t xml:space="preserve">a lo largo del proceso </w:t>
      </w:r>
      <w:r w:rsidR="00A27782" w:rsidRPr="00AA6223">
        <w:rPr>
          <w:rFonts w:ascii="Cambria" w:hAnsi="Cambria"/>
          <w:sz w:val="20"/>
          <w:szCs w:val="20"/>
        </w:rPr>
        <w:t>se habrían violado el principio de inocencia, el derecho de defensa</w:t>
      </w:r>
      <w:r w:rsidR="00A27782">
        <w:rPr>
          <w:rFonts w:ascii="Cambria" w:hAnsi="Cambria"/>
          <w:sz w:val="20"/>
          <w:szCs w:val="20"/>
        </w:rPr>
        <w:t xml:space="preserve"> y el principio de</w:t>
      </w:r>
      <w:r w:rsidR="00A27782" w:rsidRPr="00AA6223">
        <w:rPr>
          <w:rFonts w:ascii="Cambria" w:hAnsi="Cambria"/>
          <w:sz w:val="20"/>
          <w:szCs w:val="20"/>
        </w:rPr>
        <w:t xml:space="preserve"> igualdad de </w:t>
      </w:r>
      <w:r w:rsidR="001E145C">
        <w:rPr>
          <w:rFonts w:ascii="Cambria" w:hAnsi="Cambria"/>
          <w:sz w:val="20"/>
          <w:szCs w:val="20"/>
        </w:rPr>
        <w:t>armas</w:t>
      </w:r>
      <w:r w:rsidR="00A27782">
        <w:rPr>
          <w:rFonts w:ascii="Cambria" w:hAnsi="Cambria"/>
          <w:sz w:val="20"/>
          <w:szCs w:val="20"/>
        </w:rPr>
        <w:t>.</w:t>
      </w:r>
    </w:p>
    <w:p w14:paraId="4B375B35" w14:textId="77777777" w:rsidR="00031CCC" w:rsidRDefault="00031CCC" w:rsidP="00031C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97F5A9A" w14:textId="5056A2F1" w:rsidR="00031CCC" w:rsidRPr="00336B41" w:rsidRDefault="00031CCC" w:rsidP="00031CC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336B41">
        <w:rPr>
          <w:rFonts w:ascii="Cambria" w:hAnsi="Cambria"/>
          <w:sz w:val="20"/>
          <w:szCs w:val="20"/>
        </w:rPr>
        <w:t xml:space="preserve">Asimismo, alegaron la violación de la garantía del juez natural, por </w:t>
      </w:r>
      <w:r w:rsidR="008408C0" w:rsidRPr="00336B41">
        <w:rPr>
          <w:rFonts w:ascii="Cambria" w:hAnsi="Cambria"/>
          <w:sz w:val="20"/>
          <w:szCs w:val="20"/>
        </w:rPr>
        <w:t xml:space="preserve">el hecho de que </w:t>
      </w:r>
      <w:r w:rsidR="000C1074">
        <w:rPr>
          <w:rFonts w:ascii="Cambria" w:hAnsi="Cambria"/>
          <w:sz w:val="20"/>
          <w:szCs w:val="20"/>
        </w:rPr>
        <w:t>hubiera</w:t>
      </w:r>
      <w:r w:rsidR="008408C0" w:rsidRPr="00336B41">
        <w:rPr>
          <w:rFonts w:ascii="Cambria" w:hAnsi="Cambria"/>
          <w:sz w:val="20"/>
          <w:szCs w:val="20"/>
        </w:rPr>
        <w:t xml:space="preserve"> sido un </w:t>
      </w:r>
      <w:r w:rsidRPr="00336B41">
        <w:rPr>
          <w:rFonts w:ascii="Cambria" w:hAnsi="Cambria"/>
          <w:sz w:val="20"/>
          <w:szCs w:val="20"/>
        </w:rPr>
        <w:t xml:space="preserve">tribunal </w:t>
      </w:r>
      <w:r w:rsidR="00D8631E">
        <w:rPr>
          <w:rFonts w:ascii="Cambria" w:hAnsi="Cambria"/>
          <w:sz w:val="20"/>
          <w:szCs w:val="20"/>
        </w:rPr>
        <w:t>en</w:t>
      </w:r>
      <w:r w:rsidRPr="00336B41">
        <w:rPr>
          <w:rFonts w:ascii="Cambria" w:hAnsi="Cambria"/>
          <w:sz w:val="20"/>
          <w:szCs w:val="20"/>
        </w:rPr>
        <w:t xml:space="preserve"> conformación unipersonal</w:t>
      </w:r>
      <w:r w:rsidR="008408C0" w:rsidRPr="00336B41">
        <w:rPr>
          <w:rFonts w:ascii="Cambria" w:hAnsi="Cambria"/>
          <w:sz w:val="20"/>
          <w:szCs w:val="20"/>
        </w:rPr>
        <w:t xml:space="preserve"> el que </w:t>
      </w:r>
      <w:r w:rsidR="00111945">
        <w:rPr>
          <w:rFonts w:ascii="Cambria" w:hAnsi="Cambria"/>
          <w:sz w:val="20"/>
          <w:szCs w:val="20"/>
        </w:rPr>
        <w:t>llevó</w:t>
      </w:r>
      <w:r w:rsidR="008408C0" w:rsidRPr="00336B41">
        <w:rPr>
          <w:rFonts w:ascii="Cambria" w:hAnsi="Cambria"/>
          <w:sz w:val="20"/>
          <w:szCs w:val="20"/>
        </w:rPr>
        <w:t xml:space="preserve"> adelante el juicio</w:t>
      </w:r>
      <w:r w:rsidR="00AF0661">
        <w:rPr>
          <w:rFonts w:ascii="Cambria" w:hAnsi="Cambria"/>
          <w:sz w:val="20"/>
          <w:szCs w:val="20"/>
        </w:rPr>
        <w:t>.</w:t>
      </w:r>
      <w:r w:rsidRPr="00336B41">
        <w:rPr>
          <w:rFonts w:ascii="Cambria" w:hAnsi="Cambria"/>
          <w:sz w:val="20"/>
          <w:szCs w:val="20"/>
        </w:rPr>
        <w:t xml:space="preserve"> En tal sentido, explican que deberían haber sido juzgados por un tribunal mixto,</w:t>
      </w:r>
      <w:r w:rsidR="008408C0" w:rsidRPr="00336B41">
        <w:rPr>
          <w:rFonts w:ascii="Cambria" w:hAnsi="Cambria"/>
          <w:sz w:val="20"/>
          <w:szCs w:val="20"/>
        </w:rPr>
        <w:t xml:space="preserve"> compuesto por un juez profesional y dos jueces legos,</w:t>
      </w:r>
      <w:r w:rsidRPr="00336B41">
        <w:rPr>
          <w:rFonts w:ascii="Cambria" w:hAnsi="Cambria"/>
          <w:sz w:val="20"/>
          <w:szCs w:val="20"/>
        </w:rPr>
        <w:t xml:space="preserve"> </w:t>
      </w:r>
      <w:r w:rsidR="001D5BA0">
        <w:rPr>
          <w:rFonts w:ascii="Cambria" w:hAnsi="Cambria"/>
          <w:sz w:val="20"/>
          <w:szCs w:val="20"/>
        </w:rPr>
        <w:t>y que</w:t>
      </w:r>
      <w:r w:rsidRPr="00336B41">
        <w:rPr>
          <w:rFonts w:ascii="Cambria" w:hAnsi="Cambria"/>
          <w:sz w:val="20"/>
          <w:szCs w:val="20"/>
        </w:rPr>
        <w:t xml:space="preserve"> para que pudiera conformarse el juzgado unipersonal hubiera sido necesario que concurrieran las dos condiciones legales: el fracaso en la citación de los escabinos </w:t>
      </w:r>
      <w:r w:rsidR="00861C45" w:rsidRPr="00336B41">
        <w:rPr>
          <w:rFonts w:ascii="Cambria" w:hAnsi="Cambria"/>
          <w:sz w:val="20"/>
          <w:szCs w:val="20"/>
        </w:rPr>
        <w:t>(jueces legos)</w:t>
      </w:r>
      <w:r w:rsidR="00C517F7">
        <w:rPr>
          <w:rFonts w:ascii="Cambria" w:hAnsi="Cambria"/>
          <w:sz w:val="20"/>
          <w:szCs w:val="20"/>
        </w:rPr>
        <w:t>, por un lado</w:t>
      </w:r>
      <w:r w:rsidR="007003FE">
        <w:rPr>
          <w:rFonts w:ascii="Cambria" w:hAnsi="Cambria"/>
          <w:sz w:val="20"/>
          <w:szCs w:val="20"/>
        </w:rPr>
        <w:t>;</w:t>
      </w:r>
      <w:r w:rsidR="00861C45" w:rsidRPr="00336B41">
        <w:rPr>
          <w:rFonts w:ascii="Cambria" w:hAnsi="Cambria"/>
          <w:sz w:val="20"/>
          <w:szCs w:val="20"/>
        </w:rPr>
        <w:t xml:space="preserve"> </w:t>
      </w:r>
      <w:r w:rsidRPr="00336B41">
        <w:rPr>
          <w:rFonts w:ascii="Cambria" w:hAnsi="Cambria"/>
          <w:sz w:val="20"/>
          <w:szCs w:val="20"/>
        </w:rPr>
        <w:t>y la manifestación voluntaria de los procesados</w:t>
      </w:r>
      <w:r w:rsidR="00C517F7">
        <w:rPr>
          <w:rFonts w:ascii="Cambria" w:hAnsi="Cambria"/>
          <w:sz w:val="20"/>
          <w:szCs w:val="20"/>
        </w:rPr>
        <w:t>, por otro</w:t>
      </w:r>
      <w:r w:rsidR="007003FE">
        <w:rPr>
          <w:rFonts w:ascii="Cambria" w:hAnsi="Cambria"/>
          <w:sz w:val="20"/>
          <w:szCs w:val="20"/>
        </w:rPr>
        <w:t>. A este respecto, ha</w:t>
      </w:r>
      <w:r w:rsidRPr="00336B41">
        <w:rPr>
          <w:rFonts w:asciiTheme="majorHAnsi" w:hAnsiTheme="majorHAnsi" w:cs="Calibri"/>
          <w:sz w:val="20"/>
          <w:szCs w:val="20"/>
        </w:rPr>
        <w:t>brían interpuesto un recurso de apelación ante la Sala 7</w:t>
      </w:r>
      <w:r w:rsidR="00111945" w:rsidRPr="00111945">
        <w:rPr>
          <w:rFonts w:asciiTheme="majorHAnsi" w:hAnsiTheme="majorHAnsi" w:cs="Calibri"/>
          <w:sz w:val="20"/>
          <w:szCs w:val="20"/>
          <w:vertAlign w:val="superscript"/>
        </w:rPr>
        <w:t>a</w:t>
      </w:r>
      <w:r w:rsidRPr="00336B41">
        <w:rPr>
          <w:rFonts w:asciiTheme="majorHAnsi" w:hAnsiTheme="majorHAnsi" w:cs="Calibri"/>
          <w:sz w:val="20"/>
          <w:szCs w:val="20"/>
        </w:rPr>
        <w:t xml:space="preserve"> de la Corte de Apelaciones, el cual habría sido rechazado el 16 de septiembre de 2005</w:t>
      </w:r>
      <w:r w:rsidR="00965750">
        <w:rPr>
          <w:rFonts w:asciiTheme="majorHAnsi" w:hAnsiTheme="majorHAnsi" w:cs="Calibri"/>
          <w:sz w:val="20"/>
          <w:szCs w:val="20"/>
        </w:rPr>
        <w:t xml:space="preserve">, sobre la base de supuestos </w:t>
      </w:r>
      <w:r w:rsidR="00336B41" w:rsidRPr="00336B41">
        <w:rPr>
          <w:rFonts w:ascii="Cambria" w:hAnsi="Cambria"/>
          <w:sz w:val="20"/>
          <w:szCs w:val="20"/>
          <w:lang w:val="es-AR"/>
        </w:rPr>
        <w:t xml:space="preserve"> </w:t>
      </w:r>
      <w:r w:rsidR="00843CFE">
        <w:rPr>
          <w:rFonts w:ascii="Cambria" w:hAnsi="Cambria"/>
          <w:sz w:val="20"/>
          <w:szCs w:val="20"/>
          <w:lang w:val="es-AR"/>
        </w:rPr>
        <w:t>“</w:t>
      </w:r>
      <w:r w:rsidR="00336B41" w:rsidRPr="00336B41">
        <w:rPr>
          <w:rFonts w:ascii="Cambria" w:hAnsi="Cambria"/>
          <w:sz w:val="20"/>
          <w:szCs w:val="20"/>
          <w:lang w:val="es-AR"/>
        </w:rPr>
        <w:t>errores procesales</w:t>
      </w:r>
      <w:r w:rsidR="00965750">
        <w:rPr>
          <w:rFonts w:ascii="Cambria" w:hAnsi="Cambria"/>
          <w:sz w:val="20"/>
          <w:szCs w:val="20"/>
          <w:lang w:val="es-AR"/>
        </w:rPr>
        <w:t xml:space="preserve"> graves</w:t>
      </w:r>
      <w:r w:rsidR="00843CFE">
        <w:rPr>
          <w:rFonts w:ascii="Cambria" w:hAnsi="Cambria"/>
          <w:sz w:val="20"/>
          <w:szCs w:val="20"/>
          <w:lang w:val="es-AR"/>
        </w:rPr>
        <w:t>”</w:t>
      </w:r>
      <w:r w:rsidR="00D8631E">
        <w:rPr>
          <w:rFonts w:ascii="Cambria" w:hAnsi="Cambria"/>
          <w:sz w:val="20"/>
          <w:szCs w:val="20"/>
          <w:lang w:val="es-AR"/>
        </w:rPr>
        <w:t>.</w:t>
      </w:r>
    </w:p>
    <w:p w14:paraId="2A5229C9" w14:textId="77777777" w:rsidR="00E25191" w:rsidRPr="00E25191" w:rsidRDefault="00E25191" w:rsidP="00E251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55C2E47E" w14:textId="720FA9F4" w:rsidR="003A25FA" w:rsidRDefault="000E02AD" w:rsidP="009D0E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Cambria" w:hAnsi="Cambria"/>
          <w:sz w:val="20"/>
          <w:szCs w:val="20"/>
        </w:rPr>
        <w:t>Lo</w:t>
      </w:r>
      <w:r w:rsidR="002B18C2" w:rsidRPr="003A25FA">
        <w:rPr>
          <w:rFonts w:ascii="Cambria" w:hAnsi="Cambria"/>
          <w:sz w:val="20"/>
          <w:szCs w:val="20"/>
        </w:rPr>
        <w:t>s peticionarios aleg</w:t>
      </w:r>
      <w:r w:rsidR="00052EBE" w:rsidRPr="003A25FA">
        <w:rPr>
          <w:rFonts w:ascii="Cambria" w:hAnsi="Cambria"/>
          <w:sz w:val="20"/>
          <w:szCs w:val="20"/>
        </w:rPr>
        <w:t>an</w:t>
      </w:r>
      <w:r w:rsidR="002B18C2" w:rsidRPr="003A25FA">
        <w:rPr>
          <w:rFonts w:ascii="Cambria" w:hAnsi="Cambria"/>
          <w:sz w:val="20"/>
          <w:szCs w:val="20"/>
        </w:rPr>
        <w:t xml:space="preserve"> que los procesos adelantados contra </w:t>
      </w:r>
      <w:r>
        <w:rPr>
          <w:rFonts w:ascii="Cambria" w:hAnsi="Cambria"/>
          <w:sz w:val="20"/>
          <w:szCs w:val="20"/>
        </w:rPr>
        <w:t xml:space="preserve">las presuntas víctimas </w:t>
      </w:r>
      <w:r w:rsidR="00052EBE" w:rsidRPr="003A25FA">
        <w:rPr>
          <w:rFonts w:ascii="Cambria" w:hAnsi="Cambria"/>
          <w:sz w:val="20"/>
          <w:szCs w:val="20"/>
        </w:rPr>
        <w:t xml:space="preserve">habrían tenido </w:t>
      </w:r>
      <w:r w:rsidR="002B18C2" w:rsidRPr="003A25FA">
        <w:rPr>
          <w:rFonts w:ascii="Cambria" w:hAnsi="Cambria"/>
          <w:sz w:val="20"/>
          <w:szCs w:val="20"/>
        </w:rPr>
        <w:t>motivaciones políticas</w:t>
      </w:r>
      <w:r>
        <w:rPr>
          <w:rFonts w:ascii="Cambria" w:hAnsi="Cambria"/>
          <w:sz w:val="20"/>
          <w:szCs w:val="20"/>
        </w:rPr>
        <w:t xml:space="preserve">, y que </w:t>
      </w:r>
      <w:r w:rsidR="002B18C2" w:rsidRPr="003A25FA">
        <w:rPr>
          <w:rFonts w:ascii="Cambria" w:hAnsi="Cambria"/>
          <w:sz w:val="20"/>
          <w:szCs w:val="20"/>
        </w:rPr>
        <w:t xml:space="preserve">el Estado habría utilizado herramientas de comunicación masiva para exponer </w:t>
      </w:r>
      <w:r w:rsidR="003A25FA" w:rsidRPr="003A25FA">
        <w:rPr>
          <w:rFonts w:ascii="Cambria" w:hAnsi="Cambria"/>
          <w:sz w:val="20"/>
          <w:szCs w:val="20"/>
        </w:rPr>
        <w:t xml:space="preserve">públicamente </w:t>
      </w:r>
      <w:r w:rsidR="002B18C2" w:rsidRPr="003A25FA">
        <w:rPr>
          <w:rFonts w:ascii="Cambria" w:hAnsi="Cambria"/>
          <w:sz w:val="20"/>
          <w:szCs w:val="20"/>
        </w:rPr>
        <w:t>a las presuntas víctimas.</w:t>
      </w:r>
      <w:r>
        <w:rPr>
          <w:rFonts w:ascii="Cambria" w:hAnsi="Cambria"/>
          <w:sz w:val="20"/>
          <w:szCs w:val="20"/>
        </w:rPr>
        <w:t xml:space="preserve"> Así por ejemplo</w:t>
      </w:r>
      <w:r w:rsidR="00052EBE" w:rsidRPr="003A25FA">
        <w:rPr>
          <w:rFonts w:ascii="Cambria" w:hAnsi="Cambria"/>
          <w:sz w:val="20"/>
          <w:szCs w:val="20"/>
        </w:rPr>
        <w:t xml:space="preserve">, </w:t>
      </w:r>
      <w:r w:rsidR="002B18C2" w:rsidRPr="003A25FA">
        <w:rPr>
          <w:rFonts w:ascii="Cambria" w:hAnsi="Cambria"/>
          <w:sz w:val="20"/>
          <w:szCs w:val="20"/>
        </w:rPr>
        <w:t>el 26 de noviembre de 2004, el Presidente de la República</w:t>
      </w:r>
      <w:r w:rsidR="00052EBE" w:rsidRPr="003A25FA">
        <w:rPr>
          <w:rFonts w:ascii="Cambria" w:hAnsi="Cambria"/>
          <w:sz w:val="20"/>
          <w:szCs w:val="20"/>
        </w:rPr>
        <w:t xml:space="preserve"> </w:t>
      </w:r>
      <w:r w:rsidR="002B18C2" w:rsidRPr="003A25FA">
        <w:rPr>
          <w:rFonts w:ascii="Cambria" w:hAnsi="Cambria"/>
          <w:sz w:val="20"/>
          <w:szCs w:val="20"/>
        </w:rPr>
        <w:t xml:space="preserve">habría señalado a las presuntas víctimas como </w:t>
      </w:r>
      <w:r w:rsidR="00AF0EB3" w:rsidRPr="003A25FA">
        <w:rPr>
          <w:rFonts w:ascii="Cambria" w:hAnsi="Cambria"/>
          <w:sz w:val="20"/>
          <w:szCs w:val="20"/>
        </w:rPr>
        <w:t>“</w:t>
      </w:r>
      <w:r w:rsidR="002B18C2" w:rsidRPr="003A25FA">
        <w:rPr>
          <w:rFonts w:ascii="Cambria" w:hAnsi="Cambria"/>
          <w:sz w:val="20"/>
          <w:szCs w:val="20"/>
        </w:rPr>
        <w:t>autores materiales</w:t>
      </w:r>
      <w:r w:rsidR="00AF0EB3" w:rsidRPr="003A25FA">
        <w:rPr>
          <w:rFonts w:ascii="Cambria" w:hAnsi="Cambria"/>
          <w:sz w:val="20"/>
          <w:szCs w:val="20"/>
        </w:rPr>
        <w:t>”</w:t>
      </w:r>
      <w:r w:rsidR="002B18C2" w:rsidRPr="003A25FA">
        <w:rPr>
          <w:rFonts w:ascii="Cambria" w:hAnsi="Cambria"/>
          <w:sz w:val="20"/>
          <w:szCs w:val="20"/>
        </w:rPr>
        <w:t xml:space="preserve"> del asesinato del Fiscal </w:t>
      </w:r>
      <w:r w:rsidR="00695971" w:rsidRPr="003A25FA">
        <w:rPr>
          <w:rFonts w:ascii="Cambria" w:hAnsi="Cambria"/>
          <w:sz w:val="20"/>
          <w:szCs w:val="20"/>
        </w:rPr>
        <w:t>Danilo Baltasar</w:t>
      </w:r>
      <w:r w:rsidR="002B18C2" w:rsidRPr="003A25FA">
        <w:rPr>
          <w:rFonts w:ascii="Cambria" w:hAnsi="Cambria"/>
          <w:sz w:val="20"/>
          <w:szCs w:val="20"/>
        </w:rPr>
        <w:t xml:space="preserve"> Anderson. Lo mismo habrían hecho el Ministro del Interior y Justicia</w:t>
      </w:r>
      <w:r w:rsidR="009B5CC4" w:rsidRPr="003A25FA">
        <w:rPr>
          <w:rFonts w:ascii="Cambria" w:hAnsi="Cambria"/>
          <w:sz w:val="20"/>
          <w:szCs w:val="20"/>
        </w:rPr>
        <w:t>,</w:t>
      </w:r>
      <w:r w:rsidR="002B18C2" w:rsidRPr="003A25FA">
        <w:rPr>
          <w:rFonts w:ascii="Cambria" w:hAnsi="Cambria"/>
          <w:sz w:val="20"/>
          <w:szCs w:val="20"/>
        </w:rPr>
        <w:t xml:space="preserve"> </w:t>
      </w:r>
      <w:r w:rsidR="009B5CC4" w:rsidRPr="003A25FA">
        <w:rPr>
          <w:rFonts w:ascii="Cambria" w:hAnsi="Cambria"/>
          <w:sz w:val="20"/>
          <w:szCs w:val="20"/>
        </w:rPr>
        <w:t>así como</w:t>
      </w:r>
      <w:r w:rsidR="002B18C2" w:rsidRPr="003A25FA">
        <w:rPr>
          <w:rFonts w:ascii="Cambria" w:hAnsi="Cambria"/>
          <w:sz w:val="20"/>
          <w:szCs w:val="20"/>
        </w:rPr>
        <w:t xml:space="preserve"> el Director del Cuerpo de Investigaciones Científicas Penales y Criminalísticas</w:t>
      </w:r>
      <w:r w:rsidR="00C923D5" w:rsidRPr="003A25FA">
        <w:rPr>
          <w:rFonts w:ascii="Cambria" w:hAnsi="Cambria"/>
          <w:sz w:val="20"/>
          <w:szCs w:val="20"/>
        </w:rPr>
        <w:t>, quienes “</w:t>
      </w:r>
      <w:r w:rsidR="009B5CC4" w:rsidRPr="003A25FA">
        <w:rPr>
          <w:rFonts w:ascii="Cambria" w:hAnsi="Cambria"/>
          <w:sz w:val="20"/>
          <w:szCs w:val="20"/>
        </w:rPr>
        <w:t xml:space="preserve">[habrían] </w:t>
      </w:r>
      <w:r w:rsidR="00C923D5" w:rsidRPr="003A25FA">
        <w:rPr>
          <w:rFonts w:ascii="Cambria" w:hAnsi="Cambria"/>
          <w:sz w:val="20"/>
          <w:szCs w:val="20"/>
        </w:rPr>
        <w:t>da</w:t>
      </w:r>
      <w:r w:rsidR="009B5CC4" w:rsidRPr="003A25FA">
        <w:rPr>
          <w:rFonts w:ascii="Cambria" w:hAnsi="Cambria"/>
          <w:sz w:val="20"/>
          <w:szCs w:val="20"/>
        </w:rPr>
        <w:t>[do]</w:t>
      </w:r>
      <w:r w:rsidR="00C923D5" w:rsidRPr="003A25FA">
        <w:rPr>
          <w:rFonts w:ascii="Cambria" w:hAnsi="Cambria"/>
          <w:sz w:val="20"/>
          <w:szCs w:val="20"/>
        </w:rPr>
        <w:t xml:space="preserve"> por sentado la culpabilidad de </w:t>
      </w:r>
      <w:r w:rsidR="009B5CC4" w:rsidRPr="003A25FA">
        <w:rPr>
          <w:rFonts w:ascii="Cambria" w:hAnsi="Cambria"/>
          <w:sz w:val="20"/>
          <w:szCs w:val="20"/>
        </w:rPr>
        <w:t>[</w:t>
      </w:r>
      <w:r w:rsidR="00C923D5" w:rsidRPr="003A25FA">
        <w:rPr>
          <w:rFonts w:ascii="Cambria" w:hAnsi="Cambria"/>
          <w:sz w:val="20"/>
          <w:szCs w:val="20"/>
        </w:rPr>
        <w:t>las presuntas víctimas</w:t>
      </w:r>
      <w:r w:rsidR="009B5CC4" w:rsidRPr="003A25FA">
        <w:rPr>
          <w:rFonts w:ascii="Cambria" w:hAnsi="Cambria"/>
          <w:sz w:val="20"/>
          <w:szCs w:val="20"/>
        </w:rPr>
        <w:t>]”</w:t>
      </w:r>
      <w:r w:rsidR="002B18C2" w:rsidRPr="003A25FA">
        <w:rPr>
          <w:rFonts w:ascii="Cambria" w:hAnsi="Cambria"/>
          <w:sz w:val="20"/>
          <w:szCs w:val="20"/>
        </w:rPr>
        <w:t xml:space="preserve">. Alegan además que </w:t>
      </w:r>
      <w:r w:rsidR="004147DF" w:rsidRPr="003A25FA">
        <w:rPr>
          <w:rFonts w:ascii="Cambria" w:hAnsi="Cambria"/>
          <w:sz w:val="20"/>
          <w:szCs w:val="20"/>
        </w:rPr>
        <w:t xml:space="preserve">habrían sido llamados “asesinos” y “pagados de la C.I.A. y el imperialismo” y que </w:t>
      </w:r>
      <w:r w:rsidR="002B18C2" w:rsidRPr="003A25FA">
        <w:rPr>
          <w:rFonts w:ascii="Cambria" w:hAnsi="Cambria"/>
          <w:sz w:val="20"/>
          <w:szCs w:val="20"/>
        </w:rPr>
        <w:t xml:space="preserve">tales manifestaciones habrían llevado a que los familiares de las presuntas víctimas </w:t>
      </w:r>
      <w:r w:rsidR="009B5CC4" w:rsidRPr="003A25FA">
        <w:rPr>
          <w:rFonts w:ascii="Cambria" w:hAnsi="Cambria"/>
          <w:sz w:val="20"/>
          <w:szCs w:val="20"/>
        </w:rPr>
        <w:t>hubieran sido</w:t>
      </w:r>
      <w:r w:rsidR="002B18C2" w:rsidRPr="003A25FA">
        <w:rPr>
          <w:rFonts w:ascii="Cambria" w:hAnsi="Cambria"/>
          <w:sz w:val="20"/>
          <w:szCs w:val="20"/>
        </w:rPr>
        <w:t xml:space="preserve"> amenazados por fanáticos. </w:t>
      </w:r>
      <w:r w:rsidR="0013511C" w:rsidRPr="003A25FA">
        <w:rPr>
          <w:rFonts w:ascii="Cambria" w:hAnsi="Cambria"/>
          <w:sz w:val="20"/>
          <w:szCs w:val="20"/>
        </w:rPr>
        <w:t xml:space="preserve">Al respecto de estas alegaciones, los peticionarios agregaron que sería </w:t>
      </w:r>
      <w:r w:rsidR="00B1350E" w:rsidRPr="003A25FA">
        <w:rPr>
          <w:rFonts w:ascii="Cambria" w:hAnsi="Cambria"/>
          <w:sz w:val="20"/>
          <w:szCs w:val="20"/>
        </w:rPr>
        <w:t>“</w:t>
      </w:r>
      <w:r w:rsidR="0013511C" w:rsidRPr="003A25FA">
        <w:rPr>
          <w:rFonts w:ascii="Cambria" w:hAnsi="Cambria"/>
          <w:sz w:val="20"/>
          <w:szCs w:val="20"/>
        </w:rPr>
        <w:t>imposible</w:t>
      </w:r>
      <w:r w:rsidR="00B1350E" w:rsidRPr="003A25FA">
        <w:rPr>
          <w:rFonts w:ascii="Cambria" w:hAnsi="Cambria"/>
          <w:sz w:val="20"/>
          <w:szCs w:val="20"/>
        </w:rPr>
        <w:t>”</w:t>
      </w:r>
      <w:r w:rsidR="0013511C" w:rsidRPr="003A25FA">
        <w:rPr>
          <w:rFonts w:ascii="Cambria" w:hAnsi="Cambria"/>
          <w:sz w:val="20"/>
          <w:szCs w:val="20"/>
        </w:rPr>
        <w:t xml:space="preserve"> que las presuntas víctimas pudieran hacer una rectificación de estas manifestaciones, lo cual </w:t>
      </w:r>
      <w:r>
        <w:rPr>
          <w:rFonts w:ascii="Cambria" w:hAnsi="Cambria"/>
          <w:sz w:val="20"/>
          <w:szCs w:val="20"/>
        </w:rPr>
        <w:t>consideran</w:t>
      </w:r>
      <w:r w:rsidR="002461A6" w:rsidRPr="003A25FA">
        <w:rPr>
          <w:rFonts w:ascii="Cambria" w:hAnsi="Cambria"/>
          <w:sz w:val="20"/>
          <w:szCs w:val="20"/>
        </w:rPr>
        <w:t xml:space="preserve"> violatorio del derecho consagrado en el artículo 14 de la Convención Americana.</w:t>
      </w:r>
      <w:r w:rsidR="00B1350E" w:rsidRPr="003A25FA">
        <w:rPr>
          <w:rFonts w:ascii="Cambria" w:hAnsi="Cambria"/>
          <w:sz w:val="20"/>
          <w:szCs w:val="20"/>
        </w:rPr>
        <w:t xml:space="preserve"> </w:t>
      </w:r>
    </w:p>
    <w:p w14:paraId="03BFDDEE" w14:textId="77777777" w:rsidR="003A25FA" w:rsidRDefault="003A25FA" w:rsidP="003A25F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27F17E65" w14:textId="33F35C6E" w:rsidR="003E775C" w:rsidRPr="00FB343A" w:rsidRDefault="002B18C2" w:rsidP="003E775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sz w:val="20"/>
          <w:szCs w:val="20"/>
          <w:lang w:val="es-AR"/>
        </w:rPr>
      </w:pPr>
      <w:r w:rsidRPr="00FB343A">
        <w:rPr>
          <w:rFonts w:ascii="Cambria" w:hAnsi="Cambria"/>
          <w:sz w:val="20"/>
          <w:szCs w:val="20"/>
        </w:rPr>
        <w:t xml:space="preserve">Asimismo, los peticionarios alegan que desde el Poder Ejecutivo se habría ejercido presión sobre los magistrados que intervinieron </w:t>
      </w:r>
      <w:r w:rsidR="00AF0EB3" w:rsidRPr="00FB343A">
        <w:rPr>
          <w:rFonts w:ascii="Cambria" w:hAnsi="Cambria"/>
          <w:sz w:val="20"/>
          <w:szCs w:val="20"/>
        </w:rPr>
        <w:t xml:space="preserve">en los procesos en sede interna y que desde la judicatura se obedecía </w:t>
      </w:r>
      <w:r w:rsidR="00AF0EB3" w:rsidRPr="00FB343A">
        <w:rPr>
          <w:rFonts w:ascii="Cambria" w:hAnsi="Cambria"/>
          <w:sz w:val="20"/>
          <w:szCs w:val="20"/>
        </w:rPr>
        <w:lastRenderedPageBreak/>
        <w:t>a “la línea dictada por el alto gobierno”.</w:t>
      </w:r>
      <w:r w:rsidRPr="00FB343A">
        <w:rPr>
          <w:rFonts w:ascii="Cambria" w:hAnsi="Cambria"/>
          <w:sz w:val="20"/>
          <w:szCs w:val="20"/>
        </w:rPr>
        <w:t xml:space="preserve"> </w:t>
      </w:r>
      <w:r w:rsidR="00C55155" w:rsidRPr="00FB343A">
        <w:rPr>
          <w:rFonts w:ascii="Cambria" w:hAnsi="Cambria"/>
          <w:sz w:val="20"/>
          <w:szCs w:val="20"/>
        </w:rPr>
        <w:t xml:space="preserve">De igual manera, sostuvieron que el Fiscal General de la República habría manipulado información </w:t>
      </w:r>
      <w:r w:rsidR="009B5CC4" w:rsidRPr="00FB343A">
        <w:rPr>
          <w:rFonts w:ascii="Cambria" w:hAnsi="Cambria"/>
          <w:sz w:val="20"/>
          <w:szCs w:val="20"/>
        </w:rPr>
        <w:t xml:space="preserve">en ruedas de prensa </w:t>
      </w:r>
      <w:r w:rsidR="00C55155" w:rsidRPr="00FB343A">
        <w:rPr>
          <w:rFonts w:ascii="Cambria" w:hAnsi="Cambria"/>
          <w:sz w:val="20"/>
          <w:szCs w:val="20"/>
        </w:rPr>
        <w:t>“para encubrir a los verdaderos responsables”.</w:t>
      </w:r>
      <w:r w:rsidR="009D0EB3" w:rsidRPr="00FB343A">
        <w:rPr>
          <w:rFonts w:ascii="Cambria" w:hAnsi="Cambria"/>
          <w:sz w:val="20"/>
          <w:szCs w:val="20"/>
        </w:rPr>
        <w:t xml:space="preserve"> </w:t>
      </w:r>
      <w:r w:rsidR="00313A7E" w:rsidRPr="00FB343A">
        <w:rPr>
          <w:rFonts w:ascii="Cambria" w:hAnsi="Cambria"/>
          <w:sz w:val="20"/>
          <w:szCs w:val="20"/>
        </w:rPr>
        <w:t>Adicionalmente</w:t>
      </w:r>
      <w:r w:rsidR="009B5CC4" w:rsidRPr="00FB343A">
        <w:rPr>
          <w:rFonts w:ascii="Cambria" w:hAnsi="Cambria"/>
          <w:sz w:val="20"/>
          <w:szCs w:val="20"/>
        </w:rPr>
        <w:t xml:space="preserve">, los peticionarios hacen alusión </w:t>
      </w:r>
      <w:r w:rsidR="00313A7E" w:rsidRPr="00FB343A">
        <w:rPr>
          <w:rFonts w:ascii="Cambria" w:hAnsi="Cambria"/>
          <w:sz w:val="20"/>
          <w:szCs w:val="20"/>
        </w:rPr>
        <w:t xml:space="preserve">a </w:t>
      </w:r>
      <w:r w:rsidR="009B5CC4" w:rsidRPr="00FB343A">
        <w:rPr>
          <w:rFonts w:ascii="Cambria" w:hAnsi="Cambria"/>
          <w:sz w:val="20"/>
          <w:szCs w:val="20"/>
        </w:rPr>
        <w:t xml:space="preserve">una serie de declaraciones que habría formulado el magistrado Eladio Ramón Aponte Aponte en la televisora “SOi TV”, en la cual habría hablado sobre la “falta de independencia del Poder Judicial en Venezuela” y “la persecución y montaje” que se habría efectuado en el proceso penal llevado a cabo </w:t>
      </w:r>
      <w:r w:rsidR="003869EB">
        <w:rPr>
          <w:rFonts w:ascii="Cambria" w:hAnsi="Cambria"/>
          <w:sz w:val="20"/>
          <w:szCs w:val="20"/>
        </w:rPr>
        <w:t xml:space="preserve">en </w:t>
      </w:r>
      <w:r w:rsidR="009B5CC4" w:rsidRPr="00FB343A">
        <w:rPr>
          <w:rFonts w:ascii="Cambria" w:hAnsi="Cambria"/>
          <w:sz w:val="20"/>
          <w:szCs w:val="20"/>
        </w:rPr>
        <w:t xml:space="preserve">contra de las presuntas víctimas. Explican los peticionarios que </w:t>
      </w:r>
      <w:r w:rsidR="00AC3B1E" w:rsidRPr="00FB343A">
        <w:rPr>
          <w:rFonts w:ascii="Cambria" w:hAnsi="Cambria"/>
          <w:sz w:val="20"/>
          <w:szCs w:val="20"/>
        </w:rPr>
        <w:t xml:space="preserve">Eladio Ramón Aponte Aponte cumplía funciones </w:t>
      </w:r>
      <w:r w:rsidR="009B5CC4" w:rsidRPr="00FB343A">
        <w:rPr>
          <w:rFonts w:ascii="Cambria" w:hAnsi="Cambria"/>
          <w:sz w:val="20"/>
          <w:szCs w:val="20"/>
        </w:rPr>
        <w:t xml:space="preserve">como Magistrado Presidente de la Sala de Casación Penal </w:t>
      </w:r>
      <w:r w:rsidR="00AC3B1E" w:rsidRPr="00FB343A">
        <w:rPr>
          <w:rFonts w:ascii="Cambria" w:hAnsi="Cambria"/>
          <w:sz w:val="20"/>
          <w:szCs w:val="20"/>
        </w:rPr>
        <w:t>del Tribunal Supremo de Justicia de Venezuela</w:t>
      </w:r>
      <w:r w:rsidR="00443F03" w:rsidRPr="00FB343A">
        <w:rPr>
          <w:rFonts w:ascii="Cambria" w:hAnsi="Cambria"/>
          <w:sz w:val="20"/>
          <w:szCs w:val="20"/>
        </w:rPr>
        <w:t xml:space="preserve"> y </w:t>
      </w:r>
      <w:r w:rsidR="001D5BA0" w:rsidRPr="00FB343A">
        <w:rPr>
          <w:rFonts w:ascii="Cambria" w:hAnsi="Cambria"/>
          <w:sz w:val="20"/>
          <w:szCs w:val="20"/>
        </w:rPr>
        <w:t>que habría conocido</w:t>
      </w:r>
      <w:r w:rsidR="00AC3B1E" w:rsidRPr="00FB343A">
        <w:rPr>
          <w:rFonts w:ascii="Cambria" w:hAnsi="Cambria"/>
          <w:sz w:val="20"/>
          <w:szCs w:val="20"/>
        </w:rPr>
        <w:t xml:space="preserve"> la causa </w:t>
      </w:r>
      <w:r w:rsidR="009B5CC4" w:rsidRPr="00FB343A">
        <w:rPr>
          <w:rFonts w:ascii="Cambria" w:hAnsi="Cambria"/>
          <w:sz w:val="20"/>
          <w:szCs w:val="20"/>
        </w:rPr>
        <w:t xml:space="preserve">penal contra </w:t>
      </w:r>
      <w:r w:rsidR="00AC3B1E" w:rsidRPr="00FB343A">
        <w:rPr>
          <w:rFonts w:ascii="Cambria" w:hAnsi="Cambria"/>
          <w:sz w:val="20"/>
          <w:szCs w:val="20"/>
        </w:rPr>
        <w:t>las presuntas v</w:t>
      </w:r>
      <w:r w:rsidR="009B5CC4" w:rsidRPr="00FB343A">
        <w:rPr>
          <w:rFonts w:ascii="Cambria" w:hAnsi="Cambria"/>
          <w:sz w:val="20"/>
          <w:szCs w:val="20"/>
        </w:rPr>
        <w:t xml:space="preserve">íctimas. </w:t>
      </w:r>
    </w:p>
    <w:p w14:paraId="47441F08" w14:textId="77777777" w:rsidR="00FB343A" w:rsidRPr="00FB343A" w:rsidRDefault="00FB343A" w:rsidP="00FB343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sz w:val="20"/>
          <w:szCs w:val="20"/>
          <w:lang w:val="es-AR"/>
        </w:rPr>
      </w:pPr>
    </w:p>
    <w:p w14:paraId="20088D0C" w14:textId="27B9660C" w:rsidR="00EA4E65" w:rsidRPr="009A6A9F" w:rsidRDefault="003E775C" w:rsidP="00EA4E6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sz w:val="20"/>
          <w:szCs w:val="20"/>
          <w:lang w:val="es-AR"/>
        </w:rPr>
      </w:pPr>
      <w:r w:rsidRPr="009A6A9F">
        <w:rPr>
          <w:rFonts w:ascii="Cambria" w:hAnsi="Cambria"/>
          <w:sz w:val="20"/>
          <w:szCs w:val="20"/>
        </w:rPr>
        <w:t xml:space="preserve">Adicionalmente, informaron que en una entrevista televisada y emitida también por la televisora “SOi TV” el 9 de mayo de 2012, el ex Magistrado del Tribunal Supremo de Justicia, Luis Velázquez Alvaray, habría mencionado, entre otras cosas, que “al día siguiente de la muerte del Fiscal del Ministerio Público Danilo Anderson, se reunieron altos representantes del gobierno y dijeron que tenían </w:t>
      </w:r>
      <w:r w:rsidR="00296547" w:rsidRPr="009A6A9F">
        <w:rPr>
          <w:rFonts w:ascii="Cambria" w:hAnsi="Cambria"/>
          <w:sz w:val="20"/>
          <w:szCs w:val="20"/>
        </w:rPr>
        <w:t>‘</w:t>
      </w:r>
      <w:r w:rsidRPr="009A6A9F">
        <w:rPr>
          <w:rFonts w:ascii="Cambria" w:hAnsi="Cambria"/>
          <w:sz w:val="20"/>
          <w:szCs w:val="20"/>
        </w:rPr>
        <w:t>luz verde</w:t>
      </w:r>
      <w:r w:rsidR="00296547" w:rsidRPr="009A6A9F">
        <w:rPr>
          <w:rFonts w:ascii="Cambria" w:hAnsi="Cambria"/>
          <w:sz w:val="20"/>
          <w:szCs w:val="20"/>
        </w:rPr>
        <w:t>’</w:t>
      </w:r>
      <w:r w:rsidRPr="009A6A9F">
        <w:rPr>
          <w:rFonts w:ascii="Cambria" w:hAnsi="Cambria"/>
          <w:sz w:val="20"/>
          <w:szCs w:val="20"/>
        </w:rPr>
        <w:t xml:space="preserve"> para acabar con la vida de los hermanos Guevara”. El mismo magistrado habría refrendado las declaraciones de Eladio Ramón Aponte Aponte en la televisora CNN el 11 de mayo de 2012. </w:t>
      </w:r>
    </w:p>
    <w:p w14:paraId="0E8CA13F" w14:textId="77777777" w:rsidR="009A6A9F" w:rsidRPr="009A6A9F" w:rsidRDefault="009A6A9F" w:rsidP="009A6A9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sz w:val="20"/>
          <w:szCs w:val="20"/>
          <w:lang w:val="es-AR"/>
        </w:rPr>
      </w:pPr>
    </w:p>
    <w:p w14:paraId="66C49EAF" w14:textId="3D05E9A1" w:rsidR="00EA4E65" w:rsidRPr="00EA4E65" w:rsidRDefault="00EA4E65" w:rsidP="00EA4E6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AA6223">
        <w:rPr>
          <w:rFonts w:ascii="Cambria" w:hAnsi="Cambria"/>
          <w:sz w:val="20"/>
          <w:szCs w:val="20"/>
        </w:rPr>
        <w:t xml:space="preserve">Los peticionarios </w:t>
      </w:r>
      <w:r w:rsidR="00FB343A">
        <w:rPr>
          <w:rFonts w:ascii="Cambria" w:hAnsi="Cambria"/>
          <w:sz w:val="20"/>
          <w:szCs w:val="20"/>
        </w:rPr>
        <w:t>indican</w:t>
      </w:r>
      <w:r w:rsidRPr="00AA6223">
        <w:rPr>
          <w:rFonts w:ascii="Cambria" w:hAnsi="Cambria"/>
          <w:sz w:val="20"/>
          <w:szCs w:val="20"/>
        </w:rPr>
        <w:t xml:space="preserve"> que el 7 de mayo de 2008 </w:t>
      </w:r>
      <w:r w:rsidR="00FB343A">
        <w:rPr>
          <w:rFonts w:ascii="Cambria" w:hAnsi="Cambria"/>
          <w:sz w:val="20"/>
          <w:szCs w:val="20"/>
        </w:rPr>
        <w:t>denunciaron</w:t>
      </w:r>
      <w:r w:rsidRPr="00AA6223">
        <w:rPr>
          <w:rFonts w:ascii="Cambria" w:hAnsi="Cambria"/>
          <w:sz w:val="20"/>
          <w:szCs w:val="20"/>
        </w:rPr>
        <w:t xml:space="preserve"> al ex Fiscal General y a los cinco fiscales comisionados para actuar en el </w:t>
      </w:r>
      <w:r w:rsidR="00FB343A">
        <w:rPr>
          <w:rFonts w:ascii="Cambria" w:hAnsi="Cambria"/>
          <w:sz w:val="20"/>
          <w:szCs w:val="20"/>
        </w:rPr>
        <w:t>proceso</w:t>
      </w:r>
      <w:r w:rsidRPr="00AA6223">
        <w:rPr>
          <w:rFonts w:ascii="Cambria" w:hAnsi="Cambria"/>
          <w:sz w:val="20"/>
          <w:szCs w:val="20"/>
        </w:rPr>
        <w:t xml:space="preserve">. </w:t>
      </w:r>
      <w:r w:rsidR="00FB343A">
        <w:rPr>
          <w:rFonts w:ascii="Cambria" w:hAnsi="Cambria"/>
          <w:sz w:val="20"/>
          <w:szCs w:val="20"/>
        </w:rPr>
        <w:t>Sin embargo, d</w:t>
      </w:r>
      <w:r w:rsidRPr="00AA6223">
        <w:rPr>
          <w:rFonts w:ascii="Cambria" w:hAnsi="Cambria"/>
          <w:sz w:val="20"/>
          <w:szCs w:val="20"/>
        </w:rPr>
        <w:t>icha querella habría sido r</w:t>
      </w:r>
      <w:r>
        <w:rPr>
          <w:rFonts w:ascii="Cambria" w:hAnsi="Cambria"/>
          <w:sz w:val="20"/>
          <w:szCs w:val="20"/>
        </w:rPr>
        <w:t>echazada el 5 de agosto de 2008 por el Juzgado</w:t>
      </w:r>
      <w:r w:rsidRPr="00F55438">
        <w:rPr>
          <w:rFonts w:ascii="Cambria" w:hAnsi="Cambria"/>
          <w:sz w:val="20"/>
          <w:szCs w:val="20"/>
        </w:rPr>
        <w:t xml:space="preserve"> Trigésimo Noveno </w:t>
      </w:r>
      <w:r w:rsidRPr="00CB2EDE">
        <w:rPr>
          <w:rFonts w:asciiTheme="majorHAnsi" w:hAnsiTheme="majorHAnsi"/>
          <w:sz w:val="20"/>
          <w:szCs w:val="20"/>
        </w:rPr>
        <w:t xml:space="preserve">de Primera Instancia </w:t>
      </w:r>
      <w:r w:rsidRPr="00291815">
        <w:rPr>
          <w:rFonts w:asciiTheme="majorHAnsi" w:hAnsiTheme="majorHAnsi"/>
          <w:sz w:val="20"/>
          <w:szCs w:val="20"/>
        </w:rPr>
        <w:t>del Área Metropolitana de Caracas</w:t>
      </w:r>
      <w:r>
        <w:rPr>
          <w:rFonts w:asciiTheme="majorHAnsi" w:hAnsiTheme="majorHAnsi"/>
          <w:sz w:val="20"/>
          <w:szCs w:val="20"/>
        </w:rPr>
        <w:t>.</w:t>
      </w:r>
      <w:r w:rsidRPr="001E5676">
        <w:rPr>
          <w:rFonts w:ascii="Cambria" w:hAnsi="Cambria"/>
          <w:sz w:val="20"/>
          <w:szCs w:val="20"/>
        </w:rPr>
        <w:t xml:space="preserve"> </w:t>
      </w:r>
      <w:r w:rsidR="00FB343A">
        <w:rPr>
          <w:rFonts w:ascii="Cambria" w:hAnsi="Cambria"/>
          <w:sz w:val="20"/>
          <w:szCs w:val="20"/>
        </w:rPr>
        <w:t>C</w:t>
      </w:r>
      <w:r w:rsidRPr="00AA6223">
        <w:rPr>
          <w:rFonts w:ascii="Cambria" w:hAnsi="Cambria"/>
          <w:sz w:val="20"/>
          <w:szCs w:val="20"/>
        </w:rPr>
        <w:t>omo última actuación intentada</w:t>
      </w:r>
      <w:r w:rsidR="001D5BA0">
        <w:rPr>
          <w:rFonts w:ascii="Cambria" w:hAnsi="Cambria"/>
          <w:sz w:val="20"/>
          <w:szCs w:val="20"/>
        </w:rPr>
        <w:t>,</w:t>
      </w:r>
      <w:r w:rsidRPr="00AA6223">
        <w:rPr>
          <w:rFonts w:ascii="Cambria" w:hAnsi="Cambria"/>
          <w:sz w:val="20"/>
          <w:szCs w:val="20"/>
        </w:rPr>
        <w:t xml:space="preserve"> habrían interpuesto una denuncia contra los fiscales comisionados</w:t>
      </w:r>
      <w:r>
        <w:rPr>
          <w:rFonts w:ascii="Cambria" w:hAnsi="Cambria"/>
          <w:sz w:val="20"/>
          <w:szCs w:val="20"/>
        </w:rPr>
        <w:t xml:space="preserve"> y contra </w:t>
      </w:r>
      <w:r w:rsidRPr="00AA6223">
        <w:rPr>
          <w:rFonts w:ascii="Cambria" w:hAnsi="Cambria"/>
          <w:sz w:val="20"/>
          <w:szCs w:val="20"/>
        </w:rPr>
        <w:t xml:space="preserve">el ex Fiscal General de la República por la comisión del delito de </w:t>
      </w:r>
      <w:r w:rsidRPr="001E5676">
        <w:rPr>
          <w:rFonts w:ascii="Cambria" w:hAnsi="Cambria"/>
          <w:color w:val="000000" w:themeColor="text1"/>
          <w:sz w:val="20"/>
          <w:szCs w:val="20"/>
        </w:rPr>
        <w:t>desaparición forzada</w:t>
      </w:r>
      <w:r w:rsidR="00FB343A">
        <w:rPr>
          <w:rFonts w:ascii="Cambria" w:hAnsi="Cambria"/>
          <w:color w:val="000000" w:themeColor="text1"/>
          <w:sz w:val="20"/>
          <w:szCs w:val="20"/>
        </w:rPr>
        <w:t>, pero esta acción tampoco habría prosperado</w:t>
      </w:r>
      <w:r w:rsidRPr="001E5676">
        <w:rPr>
          <w:rFonts w:ascii="Cambria" w:hAnsi="Cambria"/>
          <w:color w:val="000000" w:themeColor="text1"/>
          <w:sz w:val="20"/>
          <w:szCs w:val="20"/>
        </w:rPr>
        <w:t xml:space="preserve">. </w:t>
      </w:r>
    </w:p>
    <w:p w14:paraId="0D6C703F" w14:textId="77777777" w:rsidR="0073489E" w:rsidRPr="00C923D5" w:rsidRDefault="0073489E" w:rsidP="0073489E">
      <w:pPr>
        <w:pStyle w:val="ListParagraph"/>
        <w:rPr>
          <w:sz w:val="20"/>
          <w:szCs w:val="20"/>
          <w:lang w:val="es-AR"/>
        </w:rPr>
      </w:pPr>
    </w:p>
    <w:p w14:paraId="641AAE0E" w14:textId="0777D9C1" w:rsidR="002B18C2" w:rsidRPr="00C845E0" w:rsidRDefault="002E7284" w:rsidP="002B18C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hAnsi="Cambria" w:cs="Arial"/>
          <w:i/>
          <w:sz w:val="20"/>
          <w:szCs w:val="20"/>
        </w:rPr>
      </w:pPr>
      <w:r w:rsidRPr="002E7284">
        <w:rPr>
          <w:rFonts w:ascii="Cambria" w:hAnsi="Cambria" w:cs="Arial"/>
          <w:sz w:val="20"/>
          <w:szCs w:val="20"/>
        </w:rPr>
        <w:t>d.</w:t>
      </w:r>
      <w:r>
        <w:rPr>
          <w:rFonts w:ascii="Cambria" w:hAnsi="Cambria" w:cs="Arial"/>
          <w:i/>
          <w:sz w:val="20"/>
          <w:szCs w:val="20"/>
        </w:rPr>
        <w:t xml:space="preserve"> </w:t>
      </w:r>
      <w:r>
        <w:rPr>
          <w:rFonts w:ascii="Cambria" w:hAnsi="Cambria" w:cs="Arial"/>
          <w:i/>
          <w:sz w:val="20"/>
          <w:szCs w:val="20"/>
        </w:rPr>
        <w:tab/>
      </w:r>
      <w:r w:rsidR="00BD078A">
        <w:rPr>
          <w:rFonts w:ascii="Cambria" w:hAnsi="Cambria" w:cs="Arial"/>
          <w:i/>
          <w:sz w:val="20"/>
          <w:szCs w:val="20"/>
        </w:rPr>
        <w:t xml:space="preserve">Condiciones de detención </w:t>
      </w:r>
      <w:r w:rsidR="00807E30">
        <w:rPr>
          <w:rFonts w:ascii="Cambria" w:hAnsi="Cambria" w:cs="Arial"/>
          <w:i/>
          <w:sz w:val="20"/>
          <w:szCs w:val="20"/>
        </w:rPr>
        <w:t xml:space="preserve">durante el </w:t>
      </w:r>
      <w:r w:rsidR="00BD078A">
        <w:rPr>
          <w:rFonts w:ascii="Cambria" w:hAnsi="Cambria" w:cs="Arial"/>
          <w:i/>
          <w:sz w:val="20"/>
          <w:szCs w:val="20"/>
        </w:rPr>
        <w:t xml:space="preserve"> proceso</w:t>
      </w:r>
    </w:p>
    <w:p w14:paraId="6E943CA1" w14:textId="77777777" w:rsidR="002B18C2" w:rsidRPr="00357FF9" w:rsidRDefault="002B18C2" w:rsidP="002B18C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3E8F07D2" w14:textId="71950A76" w:rsidR="00051DA5" w:rsidRPr="00BD1A74" w:rsidRDefault="00051DA5" w:rsidP="00051DA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163D76">
        <w:rPr>
          <w:rFonts w:ascii="Cambria" w:hAnsi="Cambria"/>
          <w:sz w:val="20"/>
          <w:szCs w:val="20"/>
        </w:rPr>
        <w:t xml:space="preserve">Los peticionarios señalan que </w:t>
      </w:r>
      <w:r w:rsidRPr="00A27782">
        <w:rPr>
          <w:rFonts w:ascii="Cambria" w:hAnsi="Cambria"/>
          <w:sz w:val="20"/>
          <w:szCs w:val="20"/>
        </w:rPr>
        <w:t>el 22 de diciembre de 2004</w:t>
      </w:r>
      <w:r w:rsidR="00EA4E65">
        <w:rPr>
          <w:rFonts w:ascii="Cambria" w:hAnsi="Cambria"/>
          <w:sz w:val="20"/>
          <w:szCs w:val="20"/>
        </w:rPr>
        <w:t>,</w:t>
      </w:r>
      <w:r w:rsidRPr="00163D76">
        <w:rPr>
          <w:rFonts w:ascii="Cambria" w:hAnsi="Cambria"/>
          <w:sz w:val="20"/>
          <w:szCs w:val="20"/>
        </w:rPr>
        <w:t xml:space="preserve"> las presuntas víctimas habrían sido </w:t>
      </w:r>
      <w:r w:rsidR="00D86071" w:rsidRPr="00163D76">
        <w:rPr>
          <w:rFonts w:ascii="Cambria" w:hAnsi="Cambria"/>
          <w:sz w:val="20"/>
          <w:szCs w:val="20"/>
        </w:rPr>
        <w:t>alojadas</w:t>
      </w:r>
      <w:r w:rsidRPr="00163D76">
        <w:rPr>
          <w:rFonts w:ascii="Cambria" w:hAnsi="Cambria"/>
          <w:sz w:val="20"/>
          <w:szCs w:val="20"/>
        </w:rPr>
        <w:t xml:space="preserve"> en la Dirección de Inteligencia Militar, </w:t>
      </w:r>
      <w:r w:rsidR="00D86071" w:rsidRPr="00163D76">
        <w:rPr>
          <w:rFonts w:ascii="Cambria" w:hAnsi="Cambria"/>
          <w:sz w:val="20"/>
          <w:szCs w:val="20"/>
        </w:rPr>
        <w:t xml:space="preserve">lugar en el que habrían sido maltratados física y verbalmente por </w:t>
      </w:r>
      <w:r w:rsidRPr="00163D76">
        <w:rPr>
          <w:rFonts w:ascii="Cambria" w:hAnsi="Cambria"/>
          <w:sz w:val="20"/>
          <w:szCs w:val="20"/>
        </w:rPr>
        <w:t xml:space="preserve">funcionarios militares. </w:t>
      </w:r>
      <w:r w:rsidR="00D86071" w:rsidRPr="00163D76">
        <w:rPr>
          <w:rFonts w:ascii="Cambria" w:hAnsi="Cambria"/>
          <w:sz w:val="20"/>
          <w:szCs w:val="20"/>
        </w:rPr>
        <w:t xml:space="preserve">Posteriormente, el 23 de abril de 2005 </w:t>
      </w:r>
      <w:r w:rsidRPr="00163D76">
        <w:rPr>
          <w:rFonts w:ascii="Cambria" w:hAnsi="Cambria"/>
          <w:sz w:val="20"/>
          <w:szCs w:val="20"/>
        </w:rPr>
        <w:t xml:space="preserve">habrían </w:t>
      </w:r>
      <w:r w:rsidR="00D86071" w:rsidRPr="00163D76">
        <w:rPr>
          <w:rFonts w:ascii="Cambria" w:hAnsi="Cambria"/>
          <w:sz w:val="20"/>
          <w:szCs w:val="20"/>
        </w:rPr>
        <w:t>sido t</w:t>
      </w:r>
      <w:r w:rsidRPr="00163D76">
        <w:rPr>
          <w:rFonts w:ascii="Cambria" w:hAnsi="Cambria"/>
          <w:sz w:val="20"/>
          <w:szCs w:val="20"/>
        </w:rPr>
        <w:t>rasla</w:t>
      </w:r>
      <w:r w:rsidR="00D86071" w:rsidRPr="00163D76">
        <w:rPr>
          <w:rFonts w:ascii="Cambria" w:hAnsi="Cambria"/>
          <w:sz w:val="20"/>
          <w:szCs w:val="20"/>
        </w:rPr>
        <w:t>da</w:t>
      </w:r>
      <w:r w:rsidRPr="00163D76">
        <w:rPr>
          <w:rFonts w:ascii="Cambria" w:hAnsi="Cambria"/>
          <w:sz w:val="20"/>
          <w:szCs w:val="20"/>
        </w:rPr>
        <w:t>do</w:t>
      </w:r>
      <w:r w:rsidR="00D86071" w:rsidRPr="00163D76">
        <w:rPr>
          <w:rFonts w:ascii="Cambria" w:hAnsi="Cambria"/>
          <w:sz w:val="20"/>
          <w:szCs w:val="20"/>
        </w:rPr>
        <w:t>s</w:t>
      </w:r>
      <w:r w:rsidRPr="00163D76">
        <w:rPr>
          <w:rFonts w:ascii="Cambria" w:hAnsi="Cambria"/>
          <w:sz w:val="20"/>
          <w:szCs w:val="20"/>
        </w:rPr>
        <w:t xml:space="preserve"> a la</w:t>
      </w:r>
      <w:r w:rsidR="00D86071" w:rsidRPr="00163D76">
        <w:rPr>
          <w:rFonts w:ascii="Cambria" w:hAnsi="Cambria"/>
          <w:sz w:val="20"/>
          <w:szCs w:val="20"/>
        </w:rPr>
        <w:t>s dependencias carcelarias de la</w:t>
      </w:r>
      <w:r w:rsidRPr="00163D76">
        <w:rPr>
          <w:rFonts w:ascii="Cambria" w:hAnsi="Cambria"/>
          <w:sz w:val="20"/>
          <w:szCs w:val="20"/>
        </w:rPr>
        <w:t xml:space="preserve"> Dirección de Servicios de Inteligencia y Prevención (DISIP)</w:t>
      </w:r>
      <w:r w:rsidR="00D86071" w:rsidRPr="00163D76">
        <w:rPr>
          <w:rFonts w:ascii="Cambria" w:hAnsi="Cambria"/>
          <w:sz w:val="20"/>
          <w:szCs w:val="20"/>
        </w:rPr>
        <w:t xml:space="preserve"> y, </w:t>
      </w:r>
      <w:r w:rsidRPr="00163D76">
        <w:rPr>
          <w:rFonts w:ascii="Cambria" w:hAnsi="Cambria"/>
          <w:sz w:val="20"/>
          <w:szCs w:val="20"/>
        </w:rPr>
        <w:t>tres días después</w:t>
      </w:r>
      <w:r w:rsidR="00D86071" w:rsidRPr="00163D76">
        <w:rPr>
          <w:rFonts w:ascii="Cambria" w:hAnsi="Cambria"/>
          <w:sz w:val="20"/>
          <w:szCs w:val="20"/>
        </w:rPr>
        <w:t>,</w:t>
      </w:r>
      <w:r w:rsidRPr="00163D76">
        <w:rPr>
          <w:rFonts w:ascii="Cambria" w:hAnsi="Cambria"/>
          <w:sz w:val="20"/>
          <w:szCs w:val="20"/>
        </w:rPr>
        <w:t xml:space="preserve"> a la Penitenciaria </w:t>
      </w:r>
      <w:r w:rsidR="008B1B00" w:rsidRPr="00163D76">
        <w:rPr>
          <w:rFonts w:ascii="Cambria" w:hAnsi="Cambria"/>
          <w:bCs/>
          <w:sz w:val="20"/>
          <w:szCs w:val="20"/>
        </w:rPr>
        <w:t>de San Francisco de Yare</w:t>
      </w:r>
      <w:r w:rsidR="008B1B00" w:rsidRPr="00163D76">
        <w:rPr>
          <w:rFonts w:ascii="Cambria" w:hAnsi="Cambria"/>
          <w:sz w:val="20"/>
          <w:szCs w:val="20"/>
        </w:rPr>
        <w:t xml:space="preserve"> (</w:t>
      </w:r>
      <w:r w:rsidRPr="00163D76">
        <w:rPr>
          <w:rFonts w:ascii="Cambria" w:hAnsi="Cambria"/>
          <w:sz w:val="20"/>
          <w:szCs w:val="20"/>
        </w:rPr>
        <w:t>Yare II</w:t>
      </w:r>
      <w:r w:rsidR="008B1B00" w:rsidRPr="00163D76">
        <w:rPr>
          <w:rFonts w:ascii="Cambria" w:hAnsi="Cambria"/>
          <w:sz w:val="20"/>
          <w:szCs w:val="20"/>
        </w:rPr>
        <w:t>)</w:t>
      </w:r>
      <w:r w:rsidR="00D86071" w:rsidRPr="00163D76">
        <w:rPr>
          <w:rFonts w:ascii="Cambria" w:hAnsi="Cambria"/>
          <w:sz w:val="20"/>
          <w:szCs w:val="20"/>
        </w:rPr>
        <w:t xml:space="preserve">. </w:t>
      </w:r>
      <w:r w:rsidRPr="00163D76">
        <w:rPr>
          <w:rFonts w:ascii="Cambria" w:hAnsi="Cambria"/>
          <w:sz w:val="20"/>
          <w:szCs w:val="20"/>
        </w:rPr>
        <w:t xml:space="preserve">Alegan que dicho traslado se habría </w:t>
      </w:r>
      <w:r w:rsidR="006716CE" w:rsidRPr="00163D76">
        <w:rPr>
          <w:rFonts w:ascii="Cambria" w:hAnsi="Cambria"/>
          <w:sz w:val="20"/>
          <w:szCs w:val="20"/>
        </w:rPr>
        <w:t>realizado</w:t>
      </w:r>
      <w:r w:rsidRPr="00163D76">
        <w:rPr>
          <w:rFonts w:ascii="Cambria" w:hAnsi="Cambria"/>
          <w:sz w:val="20"/>
          <w:szCs w:val="20"/>
        </w:rPr>
        <w:t xml:space="preserve"> por la noche y que </w:t>
      </w:r>
      <w:r w:rsidR="008820B4">
        <w:rPr>
          <w:rFonts w:ascii="Cambria" w:hAnsi="Cambria"/>
          <w:sz w:val="20"/>
          <w:szCs w:val="20"/>
        </w:rPr>
        <w:t>recién</w:t>
      </w:r>
      <w:r w:rsidRPr="00163D76">
        <w:rPr>
          <w:rFonts w:ascii="Cambria" w:hAnsi="Cambria"/>
          <w:sz w:val="20"/>
          <w:szCs w:val="20"/>
        </w:rPr>
        <w:t xml:space="preserve"> luego de </w:t>
      </w:r>
      <w:r w:rsidR="00EA4E65">
        <w:rPr>
          <w:rFonts w:ascii="Cambria" w:hAnsi="Cambria"/>
          <w:sz w:val="20"/>
          <w:szCs w:val="20"/>
        </w:rPr>
        <w:t>cuatro</w:t>
      </w:r>
      <w:r w:rsidRPr="00163D76">
        <w:rPr>
          <w:rFonts w:ascii="Cambria" w:hAnsi="Cambria"/>
          <w:sz w:val="20"/>
          <w:szCs w:val="20"/>
        </w:rPr>
        <w:t xml:space="preserve"> días </w:t>
      </w:r>
      <w:r w:rsidR="006716CE" w:rsidRPr="00163D76">
        <w:rPr>
          <w:rFonts w:ascii="Cambria" w:hAnsi="Cambria"/>
          <w:sz w:val="20"/>
          <w:szCs w:val="20"/>
        </w:rPr>
        <w:t>habrían podido</w:t>
      </w:r>
      <w:r w:rsidRPr="00163D76">
        <w:rPr>
          <w:rFonts w:ascii="Cambria" w:hAnsi="Cambria"/>
          <w:sz w:val="20"/>
          <w:szCs w:val="20"/>
        </w:rPr>
        <w:t xml:space="preserve"> ser localizados por sus familiares. </w:t>
      </w:r>
      <w:r w:rsidRPr="00BD1A74">
        <w:rPr>
          <w:rFonts w:ascii="Cambria" w:hAnsi="Cambria"/>
          <w:sz w:val="20"/>
          <w:szCs w:val="20"/>
        </w:rPr>
        <w:t xml:space="preserve">Durante la estadía en dicha prisión se habría </w:t>
      </w:r>
      <w:r w:rsidR="002E7284">
        <w:rPr>
          <w:rFonts w:ascii="Cambria" w:hAnsi="Cambria"/>
          <w:sz w:val="20"/>
          <w:szCs w:val="20"/>
        </w:rPr>
        <w:t>sustanciado</w:t>
      </w:r>
      <w:r w:rsidRPr="00BD1A74">
        <w:rPr>
          <w:rFonts w:ascii="Cambria" w:hAnsi="Cambria"/>
          <w:sz w:val="20"/>
          <w:szCs w:val="20"/>
        </w:rPr>
        <w:t xml:space="preserve"> el </w:t>
      </w:r>
      <w:r w:rsidR="006716CE" w:rsidRPr="00BD1A74">
        <w:rPr>
          <w:rFonts w:ascii="Cambria" w:hAnsi="Cambria"/>
          <w:sz w:val="20"/>
          <w:szCs w:val="20"/>
        </w:rPr>
        <w:t xml:space="preserve">proceso penal </w:t>
      </w:r>
      <w:r w:rsidRPr="00BD1A74">
        <w:rPr>
          <w:rFonts w:ascii="Cambria" w:hAnsi="Cambria"/>
          <w:sz w:val="20"/>
          <w:szCs w:val="20"/>
        </w:rPr>
        <w:t>contra de las presuntas víctimas. Finalmente, en marzo de 2006 habrían sido trasladad</w:t>
      </w:r>
      <w:r w:rsidR="00EA4E65">
        <w:rPr>
          <w:rFonts w:ascii="Cambria" w:hAnsi="Cambria"/>
          <w:sz w:val="20"/>
          <w:szCs w:val="20"/>
        </w:rPr>
        <w:t>o</w:t>
      </w:r>
      <w:r w:rsidRPr="00BD1A74">
        <w:rPr>
          <w:rFonts w:ascii="Cambria" w:hAnsi="Cambria"/>
          <w:sz w:val="20"/>
          <w:szCs w:val="20"/>
        </w:rPr>
        <w:t xml:space="preserve">s a la DISIP nuevamente. </w:t>
      </w:r>
    </w:p>
    <w:p w14:paraId="76B5FBEF" w14:textId="77777777" w:rsidR="00051DA5" w:rsidRPr="00051DA5" w:rsidRDefault="00051DA5" w:rsidP="00051DA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47E6DBC2" w14:textId="623F3B49" w:rsidR="002B18C2" w:rsidRPr="00E336C0" w:rsidRDefault="002B18C2" w:rsidP="002B18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2A7397">
        <w:rPr>
          <w:rFonts w:ascii="Cambria" w:hAnsi="Cambria" w:cs="Arial"/>
          <w:sz w:val="20"/>
          <w:szCs w:val="20"/>
        </w:rPr>
        <w:t>En la DISIP las presuntas víctimas habrían sido recluidas en calabozos individuales</w:t>
      </w:r>
      <w:r w:rsidR="000115A5">
        <w:rPr>
          <w:rFonts w:ascii="Cambria" w:hAnsi="Cambria" w:cs="Arial"/>
          <w:sz w:val="20"/>
          <w:szCs w:val="20"/>
        </w:rPr>
        <w:t xml:space="preserve"> de 2 x 2 metros, sin ventanas y </w:t>
      </w:r>
      <w:r w:rsidR="00787014">
        <w:rPr>
          <w:rFonts w:ascii="Cambria" w:hAnsi="Cambria" w:cs="Arial"/>
          <w:sz w:val="20"/>
          <w:szCs w:val="20"/>
        </w:rPr>
        <w:t>provist</w:t>
      </w:r>
      <w:r w:rsidR="000115A5">
        <w:rPr>
          <w:rFonts w:ascii="Cambria" w:hAnsi="Cambria" w:cs="Arial"/>
          <w:sz w:val="20"/>
          <w:szCs w:val="20"/>
        </w:rPr>
        <w:t>o</w:t>
      </w:r>
      <w:r w:rsidR="00787014">
        <w:rPr>
          <w:rFonts w:ascii="Cambria" w:hAnsi="Cambria" w:cs="Arial"/>
          <w:sz w:val="20"/>
          <w:szCs w:val="20"/>
        </w:rPr>
        <w:t>s de</w:t>
      </w:r>
      <w:r w:rsidRPr="002A7397">
        <w:rPr>
          <w:rFonts w:ascii="Cambria" w:hAnsi="Cambria" w:cs="Arial"/>
          <w:sz w:val="20"/>
          <w:szCs w:val="20"/>
        </w:rPr>
        <w:t xml:space="preserve"> una pequeña cama de cemento. Alegan que habría</w:t>
      </w:r>
      <w:r w:rsidR="00EA4E65">
        <w:rPr>
          <w:rFonts w:ascii="Cambria" w:hAnsi="Cambria" w:cs="Arial"/>
          <w:sz w:val="20"/>
          <w:szCs w:val="20"/>
        </w:rPr>
        <w:t>n</w:t>
      </w:r>
      <w:r w:rsidRPr="002A7397">
        <w:rPr>
          <w:rFonts w:ascii="Cambria" w:hAnsi="Cambria" w:cs="Arial"/>
          <w:sz w:val="20"/>
          <w:szCs w:val="20"/>
        </w:rPr>
        <w:t xml:space="preserve"> sido autorizados a exponerse al sol una vez por quincena por el lapso de una hora, o </w:t>
      </w:r>
      <w:r w:rsidR="00787014">
        <w:rPr>
          <w:rFonts w:ascii="Cambria" w:hAnsi="Cambria" w:cs="Arial"/>
          <w:sz w:val="20"/>
          <w:szCs w:val="20"/>
        </w:rPr>
        <w:t xml:space="preserve">incluso </w:t>
      </w:r>
      <w:r w:rsidRPr="002A7397">
        <w:rPr>
          <w:rFonts w:ascii="Cambria" w:hAnsi="Cambria" w:cs="Arial"/>
          <w:sz w:val="20"/>
          <w:szCs w:val="20"/>
        </w:rPr>
        <w:t xml:space="preserve">menos, y que en las celdas </w:t>
      </w:r>
      <w:r w:rsidR="00EA4E65">
        <w:rPr>
          <w:rFonts w:ascii="Cambria" w:hAnsi="Cambria" w:cs="Arial"/>
          <w:sz w:val="20"/>
          <w:szCs w:val="20"/>
        </w:rPr>
        <w:t>no hab</w:t>
      </w:r>
      <w:r w:rsidRPr="002A7397">
        <w:rPr>
          <w:rFonts w:ascii="Cambria" w:hAnsi="Cambria" w:cs="Arial"/>
          <w:sz w:val="20"/>
          <w:szCs w:val="20"/>
        </w:rPr>
        <w:t>ía corrientes de aire natural y solía experimentarse calor sofocante.</w:t>
      </w:r>
      <w:r w:rsidR="008B1F6F">
        <w:rPr>
          <w:rFonts w:ascii="Cambria" w:hAnsi="Cambria" w:cs="Arial"/>
          <w:sz w:val="20"/>
          <w:szCs w:val="20"/>
        </w:rPr>
        <w:t xml:space="preserve"> </w:t>
      </w:r>
      <w:r w:rsidRPr="002A7397">
        <w:rPr>
          <w:rFonts w:ascii="Cambria" w:hAnsi="Cambria" w:cs="Arial"/>
          <w:sz w:val="20"/>
          <w:szCs w:val="20"/>
        </w:rPr>
        <w:t xml:space="preserve">Puntualizaron además que </w:t>
      </w:r>
      <w:r w:rsidRPr="002A7397">
        <w:rPr>
          <w:rFonts w:ascii="Cambria" w:hAnsi="Cambria"/>
          <w:sz w:val="20"/>
          <w:szCs w:val="20"/>
        </w:rPr>
        <w:t xml:space="preserve">Rolando Jesús Guevara Pérez habría estado </w:t>
      </w:r>
      <w:r w:rsidRPr="002A7397">
        <w:rPr>
          <w:rFonts w:ascii="Cambria" w:hAnsi="Cambria" w:cs="Arial"/>
          <w:sz w:val="20"/>
          <w:szCs w:val="20"/>
        </w:rPr>
        <w:t xml:space="preserve">más de un mes enfermo sin que los </w:t>
      </w:r>
      <w:r w:rsidR="00BD078A">
        <w:rPr>
          <w:rFonts w:ascii="Cambria" w:hAnsi="Cambria" w:cs="Arial"/>
          <w:sz w:val="20"/>
          <w:szCs w:val="20"/>
        </w:rPr>
        <w:t xml:space="preserve">médicos </w:t>
      </w:r>
      <w:r w:rsidRPr="004F1EF2">
        <w:rPr>
          <w:rFonts w:ascii="Cambria" w:hAnsi="Cambria" w:cs="Arial"/>
          <w:sz w:val="20"/>
          <w:szCs w:val="20"/>
        </w:rPr>
        <w:t>especialistas</w:t>
      </w:r>
      <w:r w:rsidRPr="002A7397">
        <w:rPr>
          <w:rFonts w:ascii="Cambria" w:hAnsi="Cambria" w:cs="Arial"/>
          <w:sz w:val="20"/>
          <w:szCs w:val="20"/>
        </w:rPr>
        <w:t xml:space="preserve"> de la DISIP pudieran establecer de qué enfermedad se trataba. Alegan que luego de exámenes médicos </w:t>
      </w:r>
      <w:r w:rsidR="00A27782">
        <w:rPr>
          <w:rFonts w:ascii="Cambria" w:hAnsi="Cambria" w:cs="Arial"/>
          <w:sz w:val="20"/>
          <w:szCs w:val="20"/>
        </w:rPr>
        <w:t>—</w:t>
      </w:r>
      <w:r w:rsidRPr="002A7397">
        <w:rPr>
          <w:rFonts w:ascii="Cambria" w:hAnsi="Cambria" w:cs="Arial"/>
          <w:sz w:val="20"/>
          <w:szCs w:val="20"/>
        </w:rPr>
        <w:t>costeados por su cónyuge</w:t>
      </w:r>
      <w:r w:rsidR="00A27782">
        <w:rPr>
          <w:rFonts w:ascii="Cambria" w:hAnsi="Cambria" w:cs="Arial"/>
          <w:sz w:val="20"/>
          <w:szCs w:val="20"/>
        </w:rPr>
        <w:t>—</w:t>
      </w:r>
      <w:r w:rsidRPr="002A7397">
        <w:rPr>
          <w:rFonts w:ascii="Cambria" w:hAnsi="Cambria" w:cs="Arial"/>
          <w:sz w:val="20"/>
          <w:szCs w:val="20"/>
        </w:rPr>
        <w:t xml:space="preserve"> se habría determinado que se trataba de una mononucleosis derivada del ambiente viral en el cual había vivido desde el </w:t>
      </w:r>
      <w:r w:rsidR="00EE4AF7">
        <w:rPr>
          <w:rFonts w:ascii="Cambria" w:hAnsi="Cambria" w:cs="Arial"/>
          <w:sz w:val="20"/>
          <w:szCs w:val="20"/>
        </w:rPr>
        <w:t>inicio</w:t>
      </w:r>
      <w:r w:rsidRPr="002A7397">
        <w:rPr>
          <w:rFonts w:ascii="Cambria" w:hAnsi="Cambria" w:cs="Arial"/>
          <w:sz w:val="20"/>
          <w:szCs w:val="20"/>
        </w:rPr>
        <w:t xml:space="preserve"> de su detención. </w:t>
      </w:r>
    </w:p>
    <w:p w14:paraId="7E897146" w14:textId="77777777" w:rsidR="002B18C2" w:rsidRPr="00E336C0" w:rsidRDefault="002B18C2" w:rsidP="002B18C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0B49855B" w14:textId="2D601F0F" w:rsidR="00E248A0" w:rsidRDefault="00E248A0" w:rsidP="00E248A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357FF9">
        <w:rPr>
          <w:rFonts w:ascii="Cambria" w:hAnsi="Cambria"/>
          <w:sz w:val="20"/>
          <w:szCs w:val="20"/>
        </w:rPr>
        <w:t>Por todo lo anterior, los peticionarios alega</w:t>
      </w:r>
      <w:r w:rsidR="008E3FFE">
        <w:rPr>
          <w:rFonts w:ascii="Cambria" w:hAnsi="Cambria"/>
          <w:sz w:val="20"/>
          <w:szCs w:val="20"/>
        </w:rPr>
        <w:t>ro</w:t>
      </w:r>
      <w:r w:rsidRPr="00357FF9">
        <w:rPr>
          <w:rFonts w:ascii="Cambria" w:hAnsi="Cambria"/>
          <w:sz w:val="20"/>
          <w:szCs w:val="20"/>
        </w:rPr>
        <w:t xml:space="preserve">n que el Estado venezolano es responsable por la violación de los derechos consagrados en los artículos </w:t>
      </w:r>
      <w:r w:rsidR="001D5BA0" w:rsidRPr="00EF5F2A">
        <w:rPr>
          <w:rFonts w:ascii="Cambria" w:hAnsi="Cambria"/>
          <w:sz w:val="20"/>
          <w:szCs w:val="20"/>
        </w:rPr>
        <w:t xml:space="preserve">4, 5, 7, 8, 9, </w:t>
      </w:r>
      <w:r w:rsidR="001D5BA0">
        <w:rPr>
          <w:rFonts w:ascii="Cambria" w:hAnsi="Cambria"/>
          <w:sz w:val="20"/>
          <w:szCs w:val="20"/>
        </w:rPr>
        <w:t>11, 14, 24 y</w:t>
      </w:r>
      <w:r w:rsidR="001D5BA0" w:rsidRPr="00EF5F2A">
        <w:rPr>
          <w:rFonts w:ascii="Cambria" w:hAnsi="Cambria"/>
          <w:sz w:val="20"/>
          <w:szCs w:val="20"/>
        </w:rPr>
        <w:t xml:space="preserve"> 25</w:t>
      </w:r>
      <w:r w:rsidR="001D5BA0">
        <w:rPr>
          <w:rFonts w:ascii="Cambria" w:hAnsi="Cambria"/>
          <w:sz w:val="20"/>
          <w:szCs w:val="20"/>
        </w:rPr>
        <w:t xml:space="preserve"> </w:t>
      </w:r>
      <w:r w:rsidRPr="00357FF9">
        <w:rPr>
          <w:rFonts w:ascii="Cambria" w:hAnsi="Cambria"/>
          <w:sz w:val="20"/>
          <w:szCs w:val="20"/>
        </w:rPr>
        <w:t xml:space="preserve">de la Convención Americana </w:t>
      </w:r>
      <w:r w:rsidRPr="00EE4AF7">
        <w:rPr>
          <w:rFonts w:ascii="Cambria" w:hAnsi="Cambria"/>
          <w:sz w:val="20"/>
          <w:szCs w:val="20"/>
        </w:rPr>
        <w:t>y el artículo 15 de la Convención Interamericana contra el Terrorismo.</w:t>
      </w:r>
      <w:r w:rsidRPr="00357FF9">
        <w:rPr>
          <w:rFonts w:ascii="Cambria" w:hAnsi="Cambria"/>
          <w:sz w:val="20"/>
          <w:szCs w:val="20"/>
        </w:rPr>
        <w:t xml:space="preserve"> </w:t>
      </w:r>
    </w:p>
    <w:p w14:paraId="3DB44191" w14:textId="77777777" w:rsidR="00756BC2" w:rsidRPr="001E5676" w:rsidRDefault="00756BC2" w:rsidP="001E5676">
      <w:pPr>
        <w:rPr>
          <w:sz w:val="20"/>
          <w:szCs w:val="20"/>
          <w:lang w:val="es-AR"/>
        </w:rPr>
      </w:pPr>
    </w:p>
    <w:p w14:paraId="602EEDCB" w14:textId="77777777" w:rsidR="005F3885" w:rsidRPr="00357FF9" w:rsidRDefault="005F3885" w:rsidP="00C04D34">
      <w:pPr>
        <w:pStyle w:val="Heading2"/>
        <w:tabs>
          <w:tab w:val="left" w:pos="1440"/>
        </w:tabs>
        <w:ind w:left="0" w:firstLine="720"/>
      </w:pPr>
      <w:r w:rsidRPr="00357FF9">
        <w:t xml:space="preserve">El Estado </w:t>
      </w:r>
    </w:p>
    <w:p w14:paraId="13F6051D" w14:textId="77777777" w:rsidR="005F3885" w:rsidRPr="00357FF9" w:rsidRDefault="005F3885" w:rsidP="00C04D3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hAnsi="Cambria"/>
          <w:sz w:val="20"/>
          <w:szCs w:val="20"/>
        </w:rPr>
      </w:pPr>
    </w:p>
    <w:p w14:paraId="7581676C" w14:textId="4E6910FF" w:rsidR="005F3885" w:rsidRDefault="008418D4" w:rsidP="00C04D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Cambria" w:hAnsi="Cambria"/>
          <w:sz w:val="20"/>
          <w:szCs w:val="20"/>
        </w:rPr>
        <w:t>El Estado solicitó</w:t>
      </w:r>
      <w:r w:rsidR="003975AC" w:rsidRPr="00357FF9">
        <w:rPr>
          <w:rFonts w:ascii="Cambria" w:hAnsi="Cambria"/>
          <w:sz w:val="20"/>
          <w:szCs w:val="20"/>
        </w:rPr>
        <w:t xml:space="preserve"> a la Comisión que declare inadmisible la petición por </w:t>
      </w:r>
      <w:r w:rsidR="00383592">
        <w:rPr>
          <w:rFonts w:ascii="Cambria" w:hAnsi="Cambria"/>
          <w:sz w:val="20"/>
          <w:szCs w:val="20"/>
        </w:rPr>
        <w:t xml:space="preserve">cuanto ésta no cumple </w:t>
      </w:r>
      <w:r w:rsidR="003975AC" w:rsidRPr="00357FF9">
        <w:rPr>
          <w:rFonts w:ascii="Cambria" w:hAnsi="Cambria"/>
          <w:sz w:val="20"/>
          <w:szCs w:val="20"/>
        </w:rPr>
        <w:t>con l</w:t>
      </w:r>
      <w:r w:rsidR="0073489E">
        <w:rPr>
          <w:rFonts w:ascii="Cambria" w:hAnsi="Cambria"/>
          <w:sz w:val="20"/>
          <w:szCs w:val="20"/>
        </w:rPr>
        <w:t>os requisitos del artículo 46.1.</w:t>
      </w:r>
      <w:r w:rsidR="003975AC" w:rsidRPr="00357FF9">
        <w:rPr>
          <w:rFonts w:ascii="Cambria" w:hAnsi="Cambria"/>
          <w:sz w:val="20"/>
          <w:szCs w:val="20"/>
        </w:rPr>
        <w:t>a y 46.1</w:t>
      </w:r>
      <w:r w:rsidR="0073489E">
        <w:rPr>
          <w:rFonts w:ascii="Cambria" w:hAnsi="Cambria"/>
          <w:sz w:val="20"/>
          <w:szCs w:val="20"/>
        </w:rPr>
        <w:t>.</w:t>
      </w:r>
      <w:r w:rsidR="003975AC" w:rsidRPr="00357FF9">
        <w:rPr>
          <w:rFonts w:ascii="Cambria" w:hAnsi="Cambria"/>
          <w:sz w:val="20"/>
          <w:szCs w:val="20"/>
        </w:rPr>
        <w:t xml:space="preserve">b de la Convención </w:t>
      </w:r>
      <w:r w:rsidR="003975AC" w:rsidRPr="008418D4">
        <w:rPr>
          <w:rFonts w:ascii="Cambria" w:hAnsi="Cambria"/>
          <w:sz w:val="20"/>
          <w:szCs w:val="20"/>
        </w:rPr>
        <w:t xml:space="preserve">Americana y por no estar comprendida en las excepciones contempladas en el </w:t>
      </w:r>
      <w:r w:rsidR="0073489E">
        <w:rPr>
          <w:rFonts w:ascii="Cambria" w:hAnsi="Cambria"/>
          <w:sz w:val="20"/>
          <w:szCs w:val="20"/>
        </w:rPr>
        <w:t>a</w:t>
      </w:r>
      <w:r w:rsidR="003975AC" w:rsidRPr="008418D4">
        <w:rPr>
          <w:rFonts w:ascii="Cambria" w:hAnsi="Cambria"/>
          <w:sz w:val="20"/>
          <w:szCs w:val="20"/>
        </w:rPr>
        <w:t>rtículo 46.2 del mismo texto</w:t>
      </w:r>
      <w:r w:rsidR="003975AC" w:rsidRPr="00357FF9">
        <w:rPr>
          <w:rFonts w:ascii="Cambria" w:hAnsi="Cambria"/>
          <w:sz w:val="20"/>
          <w:szCs w:val="20"/>
        </w:rPr>
        <w:t>. Asimismo, solicita a la Comisión que declare que el Estado Venezolano no es responsable por la</w:t>
      </w:r>
      <w:r w:rsidR="00324F98">
        <w:rPr>
          <w:rFonts w:ascii="Cambria" w:hAnsi="Cambria"/>
          <w:sz w:val="20"/>
          <w:szCs w:val="20"/>
        </w:rPr>
        <w:t>s</w:t>
      </w:r>
      <w:r w:rsidR="003975AC" w:rsidRPr="00357FF9">
        <w:rPr>
          <w:rFonts w:ascii="Cambria" w:hAnsi="Cambria"/>
          <w:sz w:val="20"/>
          <w:szCs w:val="20"/>
        </w:rPr>
        <w:t xml:space="preserve"> violaci</w:t>
      </w:r>
      <w:r w:rsidR="00313A7E">
        <w:rPr>
          <w:rFonts w:ascii="Cambria" w:hAnsi="Cambria"/>
          <w:sz w:val="20"/>
          <w:szCs w:val="20"/>
        </w:rPr>
        <w:t>ones alegadas.</w:t>
      </w:r>
      <w:r w:rsidR="003975AC" w:rsidRPr="00357FF9">
        <w:rPr>
          <w:rFonts w:ascii="Cambria" w:hAnsi="Cambria"/>
          <w:sz w:val="20"/>
          <w:szCs w:val="20"/>
        </w:rPr>
        <w:t xml:space="preserve"> </w:t>
      </w:r>
    </w:p>
    <w:p w14:paraId="08386404" w14:textId="77777777" w:rsidR="003975AC" w:rsidRPr="00357FF9" w:rsidRDefault="003975AC" w:rsidP="008418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5A0D4DBE" w14:textId="77777777" w:rsidR="00A90561" w:rsidRDefault="00377056" w:rsidP="00B367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Cambria" w:hAnsi="Cambria"/>
          <w:sz w:val="20"/>
          <w:szCs w:val="20"/>
        </w:rPr>
        <w:lastRenderedPageBreak/>
        <w:t>El Estado a</w:t>
      </w:r>
      <w:r w:rsidR="00480F44" w:rsidRPr="00F862A0">
        <w:rPr>
          <w:rFonts w:ascii="Cambria" w:hAnsi="Cambria"/>
          <w:sz w:val="20"/>
          <w:szCs w:val="20"/>
        </w:rPr>
        <w:t xml:space="preserve">lega que la </w:t>
      </w:r>
      <w:r w:rsidR="00A90561">
        <w:rPr>
          <w:rFonts w:ascii="Cambria" w:hAnsi="Cambria"/>
          <w:sz w:val="20"/>
          <w:szCs w:val="20"/>
        </w:rPr>
        <w:t>falta de</w:t>
      </w:r>
      <w:r w:rsidR="00480F44" w:rsidRPr="00F862A0">
        <w:rPr>
          <w:rFonts w:ascii="Cambria" w:hAnsi="Cambria"/>
          <w:sz w:val="20"/>
          <w:szCs w:val="20"/>
        </w:rPr>
        <w:t xml:space="preserve"> agotamiento de los recursos internos</w:t>
      </w:r>
      <w:r w:rsidR="00601772" w:rsidRPr="00F862A0">
        <w:rPr>
          <w:rFonts w:ascii="Cambria" w:hAnsi="Cambria"/>
          <w:sz w:val="20"/>
          <w:szCs w:val="20"/>
        </w:rPr>
        <w:t xml:space="preserve"> </w:t>
      </w:r>
      <w:r w:rsidR="00A90561">
        <w:rPr>
          <w:rFonts w:ascii="Cambria" w:hAnsi="Cambria"/>
          <w:sz w:val="20"/>
          <w:szCs w:val="20"/>
        </w:rPr>
        <w:t>habría sido admitida</w:t>
      </w:r>
      <w:r w:rsidR="008418D4" w:rsidRPr="00F862A0">
        <w:rPr>
          <w:rFonts w:ascii="Cambria" w:hAnsi="Cambria"/>
          <w:sz w:val="20"/>
          <w:szCs w:val="20"/>
        </w:rPr>
        <w:t xml:space="preserve"> expresamente</w:t>
      </w:r>
      <w:r w:rsidR="00601772" w:rsidRPr="00F862A0">
        <w:rPr>
          <w:rFonts w:ascii="Cambria" w:hAnsi="Cambria"/>
          <w:sz w:val="20"/>
          <w:szCs w:val="20"/>
        </w:rPr>
        <w:t xml:space="preserve"> por los peticionarios en sus presentaciones ante la CIDH</w:t>
      </w:r>
      <w:r w:rsidR="00EA4E65" w:rsidRPr="00F862A0">
        <w:rPr>
          <w:rFonts w:ascii="Cambria" w:hAnsi="Cambria"/>
          <w:sz w:val="20"/>
          <w:szCs w:val="20"/>
        </w:rPr>
        <w:t>.</w:t>
      </w:r>
      <w:r w:rsidR="00A90561">
        <w:rPr>
          <w:rFonts w:ascii="Cambria" w:hAnsi="Cambria"/>
          <w:sz w:val="20"/>
          <w:szCs w:val="20"/>
        </w:rPr>
        <w:t xml:space="preserve"> Lo cual, a su criterio,</w:t>
      </w:r>
      <w:r w:rsidR="00D359E6" w:rsidRPr="00F862A0">
        <w:rPr>
          <w:rFonts w:ascii="Cambria" w:hAnsi="Cambria"/>
          <w:sz w:val="20"/>
          <w:szCs w:val="20"/>
        </w:rPr>
        <w:t xml:space="preserve"> atentaría contra la naturaleza subsidiaria del Sistema Interamericano.</w:t>
      </w:r>
      <w:r w:rsidR="008418D4" w:rsidRPr="00F862A0">
        <w:rPr>
          <w:rFonts w:ascii="Cambria" w:hAnsi="Cambria"/>
          <w:sz w:val="20"/>
          <w:szCs w:val="20"/>
        </w:rPr>
        <w:t xml:space="preserve"> </w:t>
      </w:r>
      <w:r w:rsidR="00F862A0">
        <w:rPr>
          <w:rFonts w:ascii="Cambria" w:hAnsi="Cambria"/>
          <w:sz w:val="20"/>
          <w:szCs w:val="20"/>
        </w:rPr>
        <w:t>En este sentido, e</w:t>
      </w:r>
      <w:r w:rsidR="008E5124" w:rsidRPr="00F862A0">
        <w:rPr>
          <w:rFonts w:ascii="Cambria" w:hAnsi="Cambria"/>
          <w:sz w:val="20"/>
          <w:szCs w:val="20"/>
        </w:rPr>
        <w:t xml:space="preserve">l Estado </w:t>
      </w:r>
      <w:r w:rsidR="00480F44" w:rsidRPr="00F862A0">
        <w:rPr>
          <w:rFonts w:ascii="Cambria" w:hAnsi="Cambria"/>
          <w:sz w:val="20"/>
          <w:szCs w:val="20"/>
        </w:rPr>
        <w:t>señal</w:t>
      </w:r>
      <w:r w:rsidR="008060BC" w:rsidRPr="00F862A0">
        <w:rPr>
          <w:rFonts w:ascii="Cambria" w:hAnsi="Cambria"/>
          <w:sz w:val="20"/>
          <w:szCs w:val="20"/>
        </w:rPr>
        <w:t>ó</w:t>
      </w:r>
      <w:r w:rsidR="00480F44" w:rsidRPr="00F862A0">
        <w:rPr>
          <w:rFonts w:ascii="Cambria" w:hAnsi="Cambria"/>
          <w:sz w:val="20"/>
          <w:szCs w:val="20"/>
        </w:rPr>
        <w:t xml:space="preserve"> que </w:t>
      </w:r>
      <w:r w:rsidR="004F60DD" w:rsidRPr="00F862A0">
        <w:rPr>
          <w:rFonts w:ascii="Cambria" w:hAnsi="Cambria"/>
          <w:sz w:val="20"/>
          <w:szCs w:val="20"/>
        </w:rPr>
        <w:t>la petición habría sido</w:t>
      </w:r>
      <w:r w:rsidR="00E91E33" w:rsidRPr="00F862A0">
        <w:rPr>
          <w:rFonts w:ascii="Cambria" w:hAnsi="Cambria"/>
          <w:sz w:val="20"/>
          <w:szCs w:val="20"/>
        </w:rPr>
        <w:t xml:space="preserve"> interpuesta </w:t>
      </w:r>
      <w:r w:rsidR="00525EDA" w:rsidRPr="00F862A0">
        <w:rPr>
          <w:rFonts w:ascii="Cambria" w:hAnsi="Cambria"/>
          <w:sz w:val="20"/>
          <w:szCs w:val="20"/>
        </w:rPr>
        <w:t xml:space="preserve">en pleno curso del proceso interno y, por lo tanto, </w:t>
      </w:r>
      <w:r w:rsidR="00E91E33" w:rsidRPr="00F862A0">
        <w:rPr>
          <w:rFonts w:ascii="Cambria" w:hAnsi="Cambria"/>
          <w:sz w:val="20"/>
          <w:szCs w:val="20"/>
        </w:rPr>
        <w:t>antes de que los peticionarios hubieran agotado los recursos internos</w:t>
      </w:r>
      <w:r w:rsidR="00525EDA" w:rsidRPr="00F862A0">
        <w:rPr>
          <w:rFonts w:ascii="Cambria" w:hAnsi="Cambria"/>
          <w:sz w:val="20"/>
          <w:szCs w:val="20"/>
        </w:rPr>
        <w:t xml:space="preserve"> conforme lo </w:t>
      </w:r>
      <w:r w:rsidR="008060BC" w:rsidRPr="00F862A0">
        <w:rPr>
          <w:rFonts w:ascii="Cambria" w:hAnsi="Cambria"/>
          <w:sz w:val="20"/>
          <w:szCs w:val="20"/>
        </w:rPr>
        <w:t>requiere</w:t>
      </w:r>
      <w:r w:rsidR="00525EDA" w:rsidRPr="00F862A0">
        <w:rPr>
          <w:rFonts w:ascii="Cambria" w:hAnsi="Cambria"/>
          <w:sz w:val="20"/>
          <w:szCs w:val="20"/>
        </w:rPr>
        <w:t xml:space="preserve"> el artículo 46 de la Convención. Según el Estado, ello quedó </w:t>
      </w:r>
      <w:r w:rsidR="00480F44" w:rsidRPr="00F862A0">
        <w:rPr>
          <w:rFonts w:ascii="Cambria" w:hAnsi="Cambria"/>
          <w:sz w:val="20"/>
          <w:szCs w:val="20"/>
        </w:rPr>
        <w:t xml:space="preserve">evidenciado en el hecho de que </w:t>
      </w:r>
      <w:r w:rsidR="00E91E33" w:rsidRPr="00F862A0">
        <w:rPr>
          <w:rFonts w:ascii="Cambria" w:hAnsi="Cambria"/>
          <w:sz w:val="20"/>
          <w:szCs w:val="20"/>
        </w:rPr>
        <w:t xml:space="preserve">la sentencia condenatoria </w:t>
      </w:r>
      <w:r w:rsidR="00EB38E8" w:rsidRPr="00F862A0">
        <w:rPr>
          <w:rFonts w:ascii="Cambria" w:hAnsi="Cambria"/>
          <w:sz w:val="20"/>
          <w:szCs w:val="20"/>
        </w:rPr>
        <w:t>de primera instancia</w:t>
      </w:r>
      <w:r w:rsidR="00480F44" w:rsidRPr="00F862A0">
        <w:rPr>
          <w:rFonts w:ascii="Cambria" w:hAnsi="Cambria"/>
          <w:sz w:val="20"/>
          <w:szCs w:val="20"/>
        </w:rPr>
        <w:t xml:space="preserve"> </w:t>
      </w:r>
      <w:r w:rsidR="00EB38E8" w:rsidRPr="00F862A0">
        <w:rPr>
          <w:rFonts w:ascii="Cambria" w:hAnsi="Cambria"/>
          <w:sz w:val="20"/>
          <w:szCs w:val="20"/>
        </w:rPr>
        <w:t>—emitida el</w:t>
      </w:r>
      <w:r w:rsidR="004F60DD" w:rsidRPr="00F862A0">
        <w:rPr>
          <w:rFonts w:ascii="Cambria" w:hAnsi="Cambria"/>
          <w:sz w:val="20"/>
          <w:szCs w:val="20"/>
        </w:rPr>
        <w:t xml:space="preserve"> 20 de diciembre de 2005</w:t>
      </w:r>
      <w:r w:rsidR="00EB38E8" w:rsidRPr="00F862A0">
        <w:rPr>
          <w:rFonts w:ascii="Cambria" w:hAnsi="Cambria"/>
          <w:sz w:val="20"/>
          <w:szCs w:val="20"/>
        </w:rPr>
        <w:t>—</w:t>
      </w:r>
      <w:r w:rsidR="004F60DD" w:rsidRPr="00F862A0">
        <w:rPr>
          <w:rFonts w:ascii="Cambria" w:hAnsi="Cambria"/>
          <w:sz w:val="20"/>
          <w:szCs w:val="20"/>
        </w:rPr>
        <w:t xml:space="preserve"> </w:t>
      </w:r>
      <w:r w:rsidR="00480F44" w:rsidRPr="00F862A0">
        <w:rPr>
          <w:rFonts w:ascii="Cambria" w:hAnsi="Cambria"/>
          <w:sz w:val="20"/>
          <w:szCs w:val="20"/>
        </w:rPr>
        <w:t xml:space="preserve">es </w:t>
      </w:r>
      <w:r w:rsidR="00E91E33" w:rsidRPr="00F862A0">
        <w:rPr>
          <w:rFonts w:ascii="Cambria" w:hAnsi="Cambria"/>
          <w:sz w:val="20"/>
          <w:szCs w:val="20"/>
        </w:rPr>
        <w:t>posterior a la interposición de la petición</w:t>
      </w:r>
      <w:r w:rsidR="00480F44" w:rsidRPr="00F862A0">
        <w:rPr>
          <w:rFonts w:ascii="Cambria" w:hAnsi="Cambria"/>
          <w:sz w:val="20"/>
          <w:szCs w:val="20"/>
        </w:rPr>
        <w:t xml:space="preserve"> ante la Comisión.</w:t>
      </w:r>
      <w:r w:rsidR="00525EDA" w:rsidRPr="00F862A0">
        <w:rPr>
          <w:rFonts w:ascii="Cambria" w:hAnsi="Cambria"/>
          <w:sz w:val="20"/>
          <w:szCs w:val="20"/>
        </w:rPr>
        <w:t xml:space="preserve"> </w:t>
      </w:r>
    </w:p>
    <w:p w14:paraId="1958B8E7" w14:textId="77777777" w:rsidR="00A90561" w:rsidRDefault="00A90561" w:rsidP="00A9056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4834BA94" w14:textId="5F73ACC1" w:rsidR="008060BC" w:rsidRPr="00F862A0" w:rsidRDefault="00A90561" w:rsidP="00B367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Cambria" w:hAnsi="Cambria"/>
          <w:sz w:val="20"/>
          <w:szCs w:val="20"/>
        </w:rPr>
        <w:t>Aduce</w:t>
      </w:r>
      <w:r w:rsidR="00EB38E8" w:rsidRPr="00F862A0">
        <w:rPr>
          <w:rFonts w:ascii="Cambria" w:hAnsi="Cambria"/>
          <w:sz w:val="20"/>
          <w:szCs w:val="20"/>
        </w:rPr>
        <w:t xml:space="preserve"> que la Comisión inició un trámite que permitió a</w:t>
      </w:r>
      <w:r w:rsidR="006779B4" w:rsidRPr="00F862A0">
        <w:rPr>
          <w:rFonts w:ascii="Cambria" w:hAnsi="Cambria"/>
          <w:sz w:val="20"/>
          <w:szCs w:val="20"/>
        </w:rPr>
        <w:t xml:space="preserve"> </w:t>
      </w:r>
      <w:r w:rsidR="00EB38E8" w:rsidRPr="00F862A0">
        <w:rPr>
          <w:rFonts w:ascii="Cambria" w:hAnsi="Cambria"/>
          <w:sz w:val="20"/>
          <w:szCs w:val="20"/>
        </w:rPr>
        <w:t>l</w:t>
      </w:r>
      <w:r w:rsidR="006779B4" w:rsidRPr="00F862A0">
        <w:rPr>
          <w:rFonts w:ascii="Cambria" w:hAnsi="Cambria"/>
          <w:sz w:val="20"/>
          <w:szCs w:val="20"/>
        </w:rPr>
        <w:t>os</w:t>
      </w:r>
      <w:r w:rsidR="00EB38E8" w:rsidRPr="00F862A0">
        <w:rPr>
          <w:rFonts w:ascii="Cambria" w:hAnsi="Cambria"/>
          <w:sz w:val="20"/>
          <w:szCs w:val="20"/>
        </w:rPr>
        <w:t xml:space="preserve"> peticionario</w:t>
      </w:r>
      <w:r w:rsidR="006779B4" w:rsidRPr="00F862A0">
        <w:rPr>
          <w:rFonts w:ascii="Cambria" w:hAnsi="Cambria"/>
          <w:sz w:val="20"/>
          <w:szCs w:val="20"/>
        </w:rPr>
        <w:t>s</w:t>
      </w:r>
      <w:r w:rsidR="00EB38E8" w:rsidRPr="00F862A0">
        <w:rPr>
          <w:rFonts w:ascii="Cambria" w:hAnsi="Cambria"/>
          <w:sz w:val="20"/>
          <w:szCs w:val="20"/>
        </w:rPr>
        <w:t xml:space="preserve"> ir agregando progresivamente nueva información al </w:t>
      </w:r>
      <w:r w:rsidR="006779B4" w:rsidRPr="00F862A0">
        <w:rPr>
          <w:rFonts w:ascii="Cambria" w:hAnsi="Cambria"/>
          <w:sz w:val="20"/>
          <w:szCs w:val="20"/>
        </w:rPr>
        <w:t>expediente mediante un intercambio de correspondencia que se extendió por el lapso de 3 años</w:t>
      </w:r>
      <w:r w:rsidR="008060BC" w:rsidRPr="00F862A0">
        <w:rPr>
          <w:rFonts w:ascii="Cambria" w:hAnsi="Cambria"/>
          <w:sz w:val="20"/>
          <w:szCs w:val="20"/>
        </w:rPr>
        <w:t>,</w:t>
      </w:r>
      <w:r w:rsidR="006779B4" w:rsidRPr="00F862A0">
        <w:rPr>
          <w:rFonts w:ascii="Cambria" w:hAnsi="Cambria"/>
          <w:sz w:val="20"/>
          <w:szCs w:val="20"/>
        </w:rPr>
        <w:t xml:space="preserve"> a lo largo de los cuales </w:t>
      </w:r>
      <w:r w:rsidR="00F862A0">
        <w:rPr>
          <w:rFonts w:ascii="Cambria" w:hAnsi="Cambria"/>
          <w:sz w:val="20"/>
          <w:szCs w:val="20"/>
        </w:rPr>
        <w:t xml:space="preserve">los peticionarios </w:t>
      </w:r>
      <w:r w:rsidR="006779B4" w:rsidRPr="00F862A0">
        <w:rPr>
          <w:rFonts w:ascii="Cambria" w:hAnsi="Cambria"/>
          <w:sz w:val="20"/>
          <w:szCs w:val="20"/>
        </w:rPr>
        <w:t xml:space="preserve">habrían modificado su </w:t>
      </w:r>
      <w:r w:rsidR="00EB38E8" w:rsidRPr="00F862A0">
        <w:rPr>
          <w:rFonts w:ascii="Cambria" w:hAnsi="Cambria"/>
          <w:sz w:val="20"/>
          <w:szCs w:val="20"/>
        </w:rPr>
        <w:t>petitorio, su</w:t>
      </w:r>
      <w:r w:rsidR="008060BC" w:rsidRPr="00F862A0">
        <w:rPr>
          <w:rFonts w:ascii="Cambria" w:hAnsi="Cambria"/>
          <w:sz w:val="20"/>
          <w:szCs w:val="20"/>
        </w:rPr>
        <w:t>s</w:t>
      </w:r>
      <w:r w:rsidR="00EB38E8" w:rsidRPr="00F862A0">
        <w:rPr>
          <w:rFonts w:ascii="Cambria" w:hAnsi="Cambria"/>
          <w:sz w:val="20"/>
          <w:szCs w:val="20"/>
        </w:rPr>
        <w:t xml:space="preserve"> pretensi</w:t>
      </w:r>
      <w:r w:rsidR="008060BC" w:rsidRPr="00F862A0">
        <w:rPr>
          <w:rFonts w:ascii="Cambria" w:hAnsi="Cambria"/>
          <w:sz w:val="20"/>
          <w:szCs w:val="20"/>
        </w:rPr>
        <w:t>o</w:t>
      </w:r>
      <w:r w:rsidR="00EB38E8" w:rsidRPr="00F862A0">
        <w:rPr>
          <w:rFonts w:ascii="Cambria" w:hAnsi="Cambria"/>
          <w:sz w:val="20"/>
          <w:szCs w:val="20"/>
        </w:rPr>
        <w:t>n</w:t>
      </w:r>
      <w:r w:rsidR="008060BC" w:rsidRPr="00F862A0">
        <w:rPr>
          <w:rFonts w:ascii="Cambria" w:hAnsi="Cambria"/>
          <w:sz w:val="20"/>
          <w:szCs w:val="20"/>
        </w:rPr>
        <w:t>es</w:t>
      </w:r>
      <w:r w:rsidR="00EB38E8" w:rsidRPr="00F862A0">
        <w:rPr>
          <w:rFonts w:ascii="Cambria" w:hAnsi="Cambria"/>
          <w:sz w:val="20"/>
          <w:szCs w:val="20"/>
        </w:rPr>
        <w:t xml:space="preserve"> y los hechos denunciados. </w:t>
      </w:r>
      <w:r w:rsidR="00525EDA" w:rsidRPr="00F862A0">
        <w:rPr>
          <w:rFonts w:ascii="Cambria" w:hAnsi="Cambria"/>
          <w:sz w:val="20"/>
          <w:szCs w:val="20"/>
        </w:rPr>
        <w:t>En tal sentido</w:t>
      </w:r>
      <w:r w:rsidR="00EB38E8" w:rsidRPr="00F862A0">
        <w:rPr>
          <w:rFonts w:ascii="Cambria" w:hAnsi="Cambria"/>
          <w:sz w:val="20"/>
          <w:szCs w:val="20"/>
        </w:rPr>
        <w:t>, alega que la actividad de la Comisión exced</w:t>
      </w:r>
      <w:r w:rsidR="008060BC" w:rsidRPr="00F862A0">
        <w:rPr>
          <w:rFonts w:ascii="Cambria" w:hAnsi="Cambria"/>
          <w:sz w:val="20"/>
          <w:szCs w:val="20"/>
        </w:rPr>
        <w:t>ió</w:t>
      </w:r>
      <w:r w:rsidR="00EB38E8" w:rsidRPr="00F862A0">
        <w:rPr>
          <w:rFonts w:ascii="Cambria" w:hAnsi="Cambria"/>
          <w:sz w:val="20"/>
          <w:szCs w:val="20"/>
        </w:rPr>
        <w:t xml:space="preserve"> por mucho </w:t>
      </w:r>
      <w:r w:rsidR="00525EDA" w:rsidRPr="00F862A0">
        <w:rPr>
          <w:rFonts w:ascii="Cambria" w:hAnsi="Cambria"/>
          <w:sz w:val="20"/>
          <w:szCs w:val="20"/>
        </w:rPr>
        <w:t xml:space="preserve">las facultades conferidas por </w:t>
      </w:r>
      <w:r w:rsidR="00EB38E8" w:rsidRPr="00F862A0">
        <w:rPr>
          <w:rFonts w:ascii="Cambria" w:hAnsi="Cambria"/>
          <w:sz w:val="20"/>
          <w:szCs w:val="20"/>
        </w:rPr>
        <w:t xml:space="preserve">el </w:t>
      </w:r>
      <w:r w:rsidR="005C0ECD" w:rsidRPr="00F862A0">
        <w:rPr>
          <w:rFonts w:ascii="Cambria" w:hAnsi="Cambria"/>
          <w:sz w:val="20"/>
          <w:szCs w:val="20"/>
        </w:rPr>
        <w:t>artículo 26</w:t>
      </w:r>
      <w:r w:rsidR="00EB38E8" w:rsidRPr="00F862A0">
        <w:rPr>
          <w:rFonts w:ascii="Cambria" w:hAnsi="Cambria"/>
          <w:sz w:val="20"/>
          <w:szCs w:val="20"/>
        </w:rPr>
        <w:t xml:space="preserve"> del Reglamento, el cual permite a la Secretaría Ejecutiva solicitar información al peticionario</w:t>
      </w:r>
      <w:r w:rsidR="005C0ECD" w:rsidRPr="00F862A0">
        <w:rPr>
          <w:rFonts w:ascii="Cambria" w:hAnsi="Cambria"/>
          <w:sz w:val="20"/>
          <w:szCs w:val="20"/>
        </w:rPr>
        <w:t xml:space="preserve"> si una petición no reúne los requisitos exigidos para su admisibilidad</w:t>
      </w:r>
      <w:r w:rsidR="00EB38E8" w:rsidRPr="00F862A0">
        <w:rPr>
          <w:rFonts w:ascii="Cambria" w:hAnsi="Cambria"/>
          <w:sz w:val="20"/>
          <w:szCs w:val="20"/>
        </w:rPr>
        <w:t xml:space="preserve">. </w:t>
      </w:r>
      <w:r w:rsidR="00BF53FC" w:rsidRPr="00F862A0">
        <w:rPr>
          <w:rFonts w:ascii="Cambria" w:hAnsi="Cambria"/>
          <w:sz w:val="20"/>
          <w:szCs w:val="20"/>
        </w:rPr>
        <w:t xml:space="preserve">En este sentido, sostuvo que </w:t>
      </w:r>
      <w:r w:rsidR="008060BC" w:rsidRPr="00F862A0">
        <w:rPr>
          <w:rFonts w:ascii="Cambria" w:hAnsi="Cambria"/>
          <w:sz w:val="20"/>
          <w:szCs w:val="20"/>
        </w:rPr>
        <w:t>la tramitación de la petición a nivel internacional se dio de manera paralela a la sustanciación de los procesos internos</w:t>
      </w:r>
      <w:r w:rsidR="00BF53FC" w:rsidRPr="00F862A0">
        <w:rPr>
          <w:rFonts w:ascii="Cambria" w:hAnsi="Cambria"/>
          <w:sz w:val="20"/>
          <w:szCs w:val="20"/>
        </w:rPr>
        <w:t xml:space="preserve"> sin que </w:t>
      </w:r>
      <w:r w:rsidR="008060BC" w:rsidRPr="00F862A0">
        <w:rPr>
          <w:rFonts w:ascii="Cambria" w:hAnsi="Cambria"/>
          <w:sz w:val="20"/>
          <w:szCs w:val="20"/>
        </w:rPr>
        <w:t xml:space="preserve">los peticionarios </w:t>
      </w:r>
      <w:r w:rsidR="00BF53FC" w:rsidRPr="00F862A0">
        <w:rPr>
          <w:rFonts w:ascii="Cambria" w:hAnsi="Cambria"/>
          <w:sz w:val="20"/>
          <w:szCs w:val="20"/>
        </w:rPr>
        <w:t xml:space="preserve">demostraran </w:t>
      </w:r>
      <w:r w:rsidR="008060BC" w:rsidRPr="00F862A0">
        <w:rPr>
          <w:rFonts w:ascii="Cambria" w:hAnsi="Cambria"/>
          <w:sz w:val="20"/>
          <w:szCs w:val="20"/>
        </w:rPr>
        <w:t>razones para justificar una excepción al requisito del previo agotamiento de los recursos internos.</w:t>
      </w:r>
      <w:r w:rsidR="00B367A7" w:rsidRPr="00F862A0">
        <w:rPr>
          <w:rFonts w:ascii="Cambria" w:hAnsi="Cambria"/>
          <w:sz w:val="20"/>
          <w:szCs w:val="20"/>
        </w:rPr>
        <w:t xml:space="preserve"> </w:t>
      </w:r>
      <w:r w:rsidR="00BF53FC" w:rsidRPr="00F862A0">
        <w:rPr>
          <w:rFonts w:ascii="Cambria" w:hAnsi="Cambria"/>
          <w:sz w:val="20"/>
          <w:szCs w:val="20"/>
        </w:rPr>
        <w:t>Adicionalmente</w:t>
      </w:r>
      <w:r w:rsidR="00B367A7" w:rsidRPr="00F862A0">
        <w:rPr>
          <w:rFonts w:ascii="Cambria" w:hAnsi="Cambria"/>
          <w:sz w:val="20"/>
          <w:szCs w:val="20"/>
        </w:rPr>
        <w:t xml:space="preserve">, el Estado </w:t>
      </w:r>
      <w:r w:rsidR="00BF53FC" w:rsidRPr="00F862A0">
        <w:rPr>
          <w:rFonts w:ascii="Cambria" w:hAnsi="Cambria"/>
          <w:sz w:val="20"/>
          <w:szCs w:val="20"/>
        </w:rPr>
        <w:t>señaló</w:t>
      </w:r>
      <w:r w:rsidR="00B367A7" w:rsidRPr="00F862A0">
        <w:rPr>
          <w:rFonts w:ascii="Cambria" w:hAnsi="Cambria"/>
          <w:sz w:val="20"/>
          <w:szCs w:val="20"/>
        </w:rPr>
        <w:t xml:space="preserve"> que los peticionarios se encontraban en conocimiento de la existencia de recursos que aún no habían agotado y que procedieron a hacerlo l</w:t>
      </w:r>
      <w:r w:rsidR="00E67838" w:rsidRPr="00F862A0">
        <w:rPr>
          <w:rFonts w:ascii="Cambria" w:hAnsi="Cambria"/>
          <w:sz w:val="20"/>
          <w:szCs w:val="20"/>
        </w:rPr>
        <w:t>uego de interponer la petición.</w:t>
      </w:r>
    </w:p>
    <w:p w14:paraId="152EDF76" w14:textId="77777777" w:rsidR="008060BC" w:rsidRPr="008060BC" w:rsidRDefault="008060BC" w:rsidP="00BF53F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590FF74B" w14:textId="69BC2D25" w:rsidR="009209FD" w:rsidRPr="006779B4" w:rsidRDefault="00BF53FC" w:rsidP="00C04D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Cambria" w:hAnsi="Cambria"/>
          <w:sz w:val="20"/>
          <w:szCs w:val="20"/>
        </w:rPr>
        <w:t>De manera adicional</w:t>
      </w:r>
      <w:r w:rsidR="008E5124" w:rsidRPr="006779B4">
        <w:rPr>
          <w:rFonts w:ascii="Cambria" w:hAnsi="Cambria"/>
          <w:sz w:val="20"/>
          <w:szCs w:val="20"/>
        </w:rPr>
        <w:t xml:space="preserve">, el Estado formuló argumentos </w:t>
      </w:r>
      <w:r>
        <w:rPr>
          <w:rFonts w:ascii="Cambria" w:hAnsi="Cambria"/>
          <w:sz w:val="20"/>
          <w:szCs w:val="20"/>
        </w:rPr>
        <w:t xml:space="preserve">específicos </w:t>
      </w:r>
      <w:r w:rsidR="008E5124" w:rsidRPr="006779B4">
        <w:rPr>
          <w:rFonts w:ascii="Cambria" w:hAnsi="Cambria"/>
          <w:sz w:val="20"/>
          <w:szCs w:val="20"/>
        </w:rPr>
        <w:t>respecto las distintas líneas procesales abiertas en sede interna.</w:t>
      </w:r>
    </w:p>
    <w:p w14:paraId="081EE912" w14:textId="77777777" w:rsidR="00B907CF" w:rsidRDefault="00B907CF" w:rsidP="00B907CF">
      <w:pPr>
        <w:pStyle w:val="ListParagraph"/>
        <w:rPr>
          <w:sz w:val="20"/>
          <w:szCs w:val="20"/>
          <w:lang w:val="es-AR"/>
        </w:rPr>
      </w:pPr>
    </w:p>
    <w:p w14:paraId="106BE13C" w14:textId="59A83B53" w:rsidR="00BF53FC" w:rsidRPr="00E336C0" w:rsidRDefault="00BF53FC" w:rsidP="00BF53FC">
      <w:pPr>
        <w:pStyle w:val="ListParagraph"/>
        <w:ind w:left="1440" w:hanging="720"/>
        <w:rPr>
          <w:i/>
          <w:sz w:val="20"/>
          <w:szCs w:val="20"/>
          <w:lang w:val="es-AR"/>
        </w:rPr>
      </w:pPr>
      <w:r w:rsidRPr="008418D4">
        <w:rPr>
          <w:sz w:val="20"/>
          <w:szCs w:val="20"/>
          <w:lang w:val="es-AR"/>
        </w:rPr>
        <w:t>a.</w:t>
      </w:r>
      <w:r w:rsidRPr="008418D4">
        <w:rPr>
          <w:i/>
          <w:sz w:val="20"/>
          <w:szCs w:val="20"/>
          <w:lang w:val="es-AR"/>
        </w:rPr>
        <w:t xml:space="preserve"> </w:t>
      </w:r>
      <w:r w:rsidRPr="008418D4">
        <w:rPr>
          <w:i/>
          <w:sz w:val="20"/>
          <w:szCs w:val="20"/>
          <w:lang w:val="es-AR"/>
        </w:rPr>
        <w:tab/>
        <w:t>Alegada</w:t>
      </w:r>
      <w:r w:rsidRPr="00DF4FAA">
        <w:rPr>
          <w:i/>
          <w:sz w:val="20"/>
          <w:szCs w:val="20"/>
          <w:lang w:val="es-AR"/>
        </w:rPr>
        <w:t xml:space="preserve"> detención de las presuntas víctimas</w:t>
      </w:r>
    </w:p>
    <w:p w14:paraId="0FC61471" w14:textId="77777777" w:rsidR="00162B32" w:rsidRPr="00F33269" w:rsidRDefault="00162B32" w:rsidP="00F33269">
      <w:pPr>
        <w:rPr>
          <w:sz w:val="20"/>
          <w:szCs w:val="20"/>
          <w:lang w:val="es-AR"/>
        </w:rPr>
      </w:pPr>
    </w:p>
    <w:p w14:paraId="24531BBF" w14:textId="07BBE9D1" w:rsidR="006C76EA" w:rsidRDefault="00F140E9" w:rsidP="006C76E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Cambria" w:hAnsi="Cambria"/>
          <w:sz w:val="20"/>
          <w:szCs w:val="20"/>
          <w:lang w:val="es-AR"/>
        </w:rPr>
        <w:t xml:space="preserve">El Estado </w:t>
      </w:r>
      <w:r w:rsidRPr="006C76EA">
        <w:rPr>
          <w:rFonts w:ascii="Cambria" w:hAnsi="Cambria"/>
          <w:sz w:val="20"/>
          <w:szCs w:val="20"/>
        </w:rPr>
        <w:t>cuestio</w:t>
      </w:r>
      <w:r>
        <w:rPr>
          <w:rFonts w:ascii="Cambria" w:hAnsi="Cambria"/>
          <w:sz w:val="20"/>
          <w:szCs w:val="20"/>
        </w:rPr>
        <w:t>na</w:t>
      </w:r>
      <w:r w:rsidR="006C76EA" w:rsidRPr="006C76EA">
        <w:rPr>
          <w:rFonts w:ascii="Cambria" w:hAnsi="Cambria"/>
          <w:sz w:val="20"/>
          <w:szCs w:val="20"/>
        </w:rPr>
        <w:t xml:space="preserve"> los alegatos aportados por los peticionarios sobre las circunstancias en las que habrían tenido lugar las detenciones de las presuntas víctimas, señalando que existían inconsistencias</w:t>
      </w:r>
      <w:r w:rsidR="008B1F6F">
        <w:rPr>
          <w:rFonts w:ascii="Cambria" w:hAnsi="Cambria"/>
          <w:sz w:val="20"/>
          <w:szCs w:val="20"/>
        </w:rPr>
        <w:t xml:space="preserve"> </w:t>
      </w:r>
      <w:r w:rsidR="006C76EA" w:rsidRPr="006C76EA">
        <w:rPr>
          <w:rFonts w:ascii="Cambria" w:hAnsi="Cambria"/>
          <w:sz w:val="20"/>
          <w:szCs w:val="20"/>
        </w:rPr>
        <w:t>y contradicciones entre las declaraciones vertidas por ellas en sede interna y lo afirmado en la petición ante la CIDH</w:t>
      </w:r>
      <w:r w:rsidR="006C76EA">
        <w:rPr>
          <w:rFonts w:ascii="Cambria" w:hAnsi="Cambria"/>
          <w:sz w:val="20"/>
          <w:szCs w:val="20"/>
        </w:rPr>
        <w:t xml:space="preserve">. Al respecto, formuló las siguientes precisiones. </w:t>
      </w:r>
    </w:p>
    <w:p w14:paraId="21AB6007" w14:textId="77777777" w:rsidR="006C76EA" w:rsidRDefault="006C76EA" w:rsidP="006C76E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213B3E93" w14:textId="085A63C4" w:rsidR="00A439B3" w:rsidRPr="0040462A" w:rsidRDefault="00A90694" w:rsidP="004046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Cambria" w:hAnsi="Cambria"/>
          <w:sz w:val="20"/>
          <w:szCs w:val="20"/>
        </w:rPr>
        <w:t>Juan Bautista Guevara Rodríguez</w:t>
      </w:r>
      <w:r w:rsidR="00B907CF" w:rsidRPr="00DF2DA6">
        <w:rPr>
          <w:rFonts w:ascii="Cambria" w:hAnsi="Cambria"/>
          <w:sz w:val="20"/>
          <w:szCs w:val="20"/>
        </w:rPr>
        <w:t xml:space="preserve"> </w:t>
      </w:r>
      <w:r>
        <w:rPr>
          <w:rFonts w:ascii="Cambria" w:hAnsi="Cambria"/>
          <w:sz w:val="20"/>
          <w:szCs w:val="20"/>
        </w:rPr>
        <w:t>habría</w:t>
      </w:r>
      <w:r w:rsidR="002E631B" w:rsidRPr="00DF2DA6">
        <w:rPr>
          <w:rFonts w:ascii="Cambria" w:hAnsi="Cambria"/>
          <w:sz w:val="20"/>
          <w:szCs w:val="20"/>
        </w:rPr>
        <w:t xml:space="preserve"> sido </w:t>
      </w:r>
      <w:r w:rsidR="00B907CF" w:rsidRPr="00DF2DA6">
        <w:rPr>
          <w:rFonts w:ascii="Cambria" w:hAnsi="Cambria"/>
          <w:sz w:val="20"/>
          <w:szCs w:val="20"/>
        </w:rPr>
        <w:t xml:space="preserve">aprendido por funcionarios de la DISIP en el Hotel </w:t>
      </w:r>
      <w:r w:rsidR="002E631B" w:rsidRPr="00DF2DA6">
        <w:rPr>
          <w:rFonts w:ascii="Cambria" w:hAnsi="Cambria"/>
          <w:sz w:val="20"/>
          <w:szCs w:val="20"/>
        </w:rPr>
        <w:t>“</w:t>
      </w:r>
      <w:r w:rsidR="00B907CF" w:rsidRPr="00DF2DA6">
        <w:rPr>
          <w:rFonts w:ascii="Cambria" w:hAnsi="Cambria"/>
          <w:sz w:val="20"/>
          <w:szCs w:val="20"/>
        </w:rPr>
        <w:t>Bella Vista</w:t>
      </w:r>
      <w:r w:rsidR="002E631B" w:rsidRPr="00DF2DA6">
        <w:rPr>
          <w:rFonts w:ascii="Cambria" w:hAnsi="Cambria"/>
          <w:sz w:val="20"/>
          <w:szCs w:val="20"/>
        </w:rPr>
        <w:t>”</w:t>
      </w:r>
      <w:r w:rsidR="00B907CF" w:rsidRPr="00DF2DA6">
        <w:rPr>
          <w:rFonts w:ascii="Cambria" w:hAnsi="Cambria"/>
          <w:sz w:val="20"/>
          <w:szCs w:val="20"/>
        </w:rPr>
        <w:t xml:space="preserve">, en el Estado Portuguesa, en virtud de una orden de </w:t>
      </w:r>
      <w:r>
        <w:rPr>
          <w:rFonts w:ascii="Cambria" w:hAnsi="Cambria"/>
          <w:sz w:val="20"/>
          <w:szCs w:val="20"/>
        </w:rPr>
        <w:t>detención</w:t>
      </w:r>
      <w:r w:rsidR="00B907CF" w:rsidRPr="00DF2DA6">
        <w:rPr>
          <w:rFonts w:ascii="Cambria" w:hAnsi="Cambria"/>
          <w:sz w:val="20"/>
          <w:szCs w:val="20"/>
        </w:rPr>
        <w:t xml:space="preserve"> </w:t>
      </w:r>
      <w:r>
        <w:rPr>
          <w:rFonts w:ascii="Cambria" w:hAnsi="Cambria"/>
          <w:sz w:val="20"/>
          <w:szCs w:val="20"/>
        </w:rPr>
        <w:t>emitida</w:t>
      </w:r>
      <w:r w:rsidR="002E631B" w:rsidRPr="00DF2DA6">
        <w:rPr>
          <w:rFonts w:ascii="Cambria" w:hAnsi="Cambria"/>
          <w:sz w:val="20"/>
          <w:szCs w:val="20"/>
        </w:rPr>
        <w:t xml:space="preserve"> </w:t>
      </w:r>
      <w:r w:rsidR="00B907CF" w:rsidRPr="00DF2DA6">
        <w:rPr>
          <w:rFonts w:ascii="Cambria" w:hAnsi="Cambria"/>
          <w:sz w:val="20"/>
          <w:szCs w:val="20"/>
        </w:rPr>
        <w:t xml:space="preserve">por el </w:t>
      </w:r>
      <w:r w:rsidR="005F32EC" w:rsidRPr="00DF2DA6">
        <w:rPr>
          <w:rFonts w:ascii="Cambria" w:hAnsi="Cambria"/>
          <w:sz w:val="20"/>
          <w:szCs w:val="20"/>
        </w:rPr>
        <w:t>Juzgado 34°</w:t>
      </w:r>
      <w:r w:rsidR="00B907CF" w:rsidRPr="00DF2DA6">
        <w:rPr>
          <w:rFonts w:ascii="Cambria" w:hAnsi="Cambria"/>
          <w:sz w:val="20"/>
          <w:szCs w:val="20"/>
        </w:rPr>
        <w:t xml:space="preserve">, previa solicitud </w:t>
      </w:r>
      <w:r w:rsidR="00DA16BD" w:rsidRPr="00DF2DA6">
        <w:rPr>
          <w:rFonts w:ascii="Cambria" w:hAnsi="Cambria"/>
          <w:sz w:val="20"/>
          <w:szCs w:val="20"/>
        </w:rPr>
        <w:t>d</w:t>
      </w:r>
      <w:r w:rsidR="00B907CF" w:rsidRPr="00DF2DA6">
        <w:rPr>
          <w:rFonts w:ascii="Cambria" w:hAnsi="Cambria"/>
          <w:sz w:val="20"/>
          <w:szCs w:val="20"/>
        </w:rPr>
        <w:t xml:space="preserve">el Ministerio Público. </w:t>
      </w:r>
      <w:r w:rsidR="00DA16BD" w:rsidRPr="00DF2DA6">
        <w:rPr>
          <w:rFonts w:ascii="Cambria" w:hAnsi="Cambria"/>
          <w:sz w:val="20"/>
          <w:szCs w:val="20"/>
        </w:rPr>
        <w:t xml:space="preserve">Según el Estado, </w:t>
      </w:r>
      <w:r w:rsidR="00B907CF" w:rsidRPr="00DF2DA6">
        <w:rPr>
          <w:rFonts w:ascii="Cambria" w:hAnsi="Cambria"/>
          <w:sz w:val="20"/>
          <w:szCs w:val="20"/>
        </w:rPr>
        <w:t xml:space="preserve">una vez ejecutada </w:t>
      </w:r>
      <w:r w:rsidR="00BB3E5A" w:rsidRPr="00DF2DA6">
        <w:rPr>
          <w:rFonts w:ascii="Cambria" w:hAnsi="Cambria"/>
          <w:sz w:val="20"/>
          <w:szCs w:val="20"/>
        </w:rPr>
        <w:t>dicha</w:t>
      </w:r>
      <w:r w:rsidR="00B907CF" w:rsidRPr="00DF2DA6">
        <w:rPr>
          <w:rFonts w:ascii="Cambria" w:hAnsi="Cambria"/>
          <w:sz w:val="20"/>
          <w:szCs w:val="20"/>
        </w:rPr>
        <w:t xml:space="preserve"> orden de </w:t>
      </w:r>
      <w:r w:rsidR="00BB3E5A" w:rsidRPr="00DF2DA6">
        <w:rPr>
          <w:rFonts w:ascii="Cambria" w:hAnsi="Cambria"/>
          <w:sz w:val="20"/>
          <w:szCs w:val="20"/>
        </w:rPr>
        <w:t>detención</w:t>
      </w:r>
      <w:r w:rsidR="00B907CF" w:rsidRPr="00DF2DA6">
        <w:rPr>
          <w:rFonts w:ascii="Cambria" w:hAnsi="Cambria"/>
          <w:sz w:val="20"/>
          <w:szCs w:val="20"/>
        </w:rPr>
        <w:t xml:space="preserve">, Juan Bautista Guevara Rodríguez habría sido puesto a </w:t>
      </w:r>
      <w:r w:rsidR="00DA16BD" w:rsidRPr="00DF2DA6">
        <w:rPr>
          <w:rFonts w:ascii="Cambria" w:hAnsi="Cambria"/>
          <w:sz w:val="20"/>
          <w:szCs w:val="20"/>
        </w:rPr>
        <w:t xml:space="preserve">disposición </w:t>
      </w:r>
      <w:r w:rsidR="00B907CF" w:rsidRPr="00DF2DA6">
        <w:rPr>
          <w:rFonts w:ascii="Cambria" w:hAnsi="Cambria"/>
          <w:sz w:val="20"/>
          <w:szCs w:val="20"/>
        </w:rPr>
        <w:t>de</w:t>
      </w:r>
      <w:r w:rsidR="00DF2DA6" w:rsidRPr="00DF2DA6">
        <w:rPr>
          <w:rFonts w:ascii="Cambria" w:hAnsi="Cambria"/>
          <w:sz w:val="20"/>
          <w:szCs w:val="20"/>
        </w:rPr>
        <w:t>l referido</w:t>
      </w:r>
      <w:r w:rsidR="00DA16BD" w:rsidRPr="00DF2DA6">
        <w:rPr>
          <w:rFonts w:ascii="Cambria" w:hAnsi="Cambria"/>
          <w:sz w:val="20"/>
          <w:szCs w:val="20"/>
        </w:rPr>
        <w:t xml:space="preserve"> tribunal, </w:t>
      </w:r>
      <w:r w:rsidR="001837B5" w:rsidRPr="00DF2DA6">
        <w:rPr>
          <w:rFonts w:ascii="Cambria" w:hAnsi="Cambria"/>
          <w:sz w:val="20"/>
          <w:szCs w:val="20"/>
        </w:rPr>
        <w:t xml:space="preserve">el cual </w:t>
      </w:r>
      <w:r w:rsidR="00B4000B" w:rsidRPr="00DF2DA6">
        <w:rPr>
          <w:rFonts w:ascii="Cambria" w:hAnsi="Cambria"/>
          <w:sz w:val="20"/>
          <w:szCs w:val="20"/>
        </w:rPr>
        <w:t xml:space="preserve">llevó </w:t>
      </w:r>
      <w:r w:rsidR="001837B5" w:rsidRPr="00DF2DA6">
        <w:rPr>
          <w:rFonts w:ascii="Cambria" w:hAnsi="Cambria"/>
          <w:sz w:val="20"/>
          <w:szCs w:val="20"/>
        </w:rPr>
        <w:t xml:space="preserve">a cabo </w:t>
      </w:r>
      <w:r w:rsidR="00B907CF" w:rsidRPr="00DF2DA6">
        <w:rPr>
          <w:rFonts w:ascii="Cambria" w:hAnsi="Cambria"/>
          <w:sz w:val="20"/>
          <w:szCs w:val="20"/>
        </w:rPr>
        <w:t>la audiencia</w:t>
      </w:r>
      <w:r w:rsidR="00DA16BD" w:rsidRPr="00DF2DA6">
        <w:rPr>
          <w:rFonts w:ascii="Cambria" w:hAnsi="Cambria"/>
          <w:sz w:val="20"/>
          <w:szCs w:val="20"/>
        </w:rPr>
        <w:t xml:space="preserve"> correspondiente</w:t>
      </w:r>
      <w:r w:rsidR="00B907CF" w:rsidRPr="00DF2DA6">
        <w:rPr>
          <w:rFonts w:ascii="Cambria" w:hAnsi="Cambria"/>
          <w:sz w:val="20"/>
          <w:szCs w:val="20"/>
        </w:rPr>
        <w:t xml:space="preserve">, </w:t>
      </w:r>
      <w:r w:rsidR="00B4000B" w:rsidRPr="00DF2DA6">
        <w:rPr>
          <w:rFonts w:ascii="Cambria" w:hAnsi="Cambria"/>
          <w:sz w:val="20"/>
          <w:szCs w:val="20"/>
        </w:rPr>
        <w:t xml:space="preserve">acogió </w:t>
      </w:r>
      <w:r w:rsidR="00B907CF" w:rsidRPr="00DF2DA6">
        <w:rPr>
          <w:rFonts w:ascii="Cambria" w:hAnsi="Cambria"/>
          <w:sz w:val="20"/>
          <w:szCs w:val="20"/>
        </w:rPr>
        <w:t>la precalificación fiscal</w:t>
      </w:r>
      <w:r w:rsidR="009C764E" w:rsidRPr="00DF2DA6">
        <w:rPr>
          <w:rFonts w:ascii="Cambria" w:hAnsi="Cambria"/>
          <w:sz w:val="20"/>
          <w:szCs w:val="20"/>
        </w:rPr>
        <w:t xml:space="preserve"> y</w:t>
      </w:r>
      <w:r w:rsidR="00B907CF" w:rsidRPr="00DF2DA6">
        <w:rPr>
          <w:rFonts w:ascii="Cambria" w:hAnsi="Cambria"/>
          <w:sz w:val="20"/>
          <w:szCs w:val="20"/>
        </w:rPr>
        <w:t xml:space="preserve"> </w:t>
      </w:r>
      <w:r w:rsidR="00B4000B" w:rsidRPr="00DF2DA6">
        <w:rPr>
          <w:rFonts w:ascii="Cambria" w:hAnsi="Cambria"/>
          <w:sz w:val="20"/>
          <w:szCs w:val="20"/>
        </w:rPr>
        <w:t xml:space="preserve">decretó </w:t>
      </w:r>
      <w:r w:rsidR="00B907CF" w:rsidRPr="00DF2DA6">
        <w:rPr>
          <w:rFonts w:ascii="Cambria" w:hAnsi="Cambria"/>
          <w:sz w:val="20"/>
          <w:szCs w:val="20"/>
        </w:rPr>
        <w:t xml:space="preserve">su </w:t>
      </w:r>
      <w:r w:rsidR="00B4000B" w:rsidRPr="00DF2DA6">
        <w:rPr>
          <w:rFonts w:ascii="Cambria" w:hAnsi="Cambria"/>
          <w:sz w:val="20"/>
          <w:szCs w:val="20"/>
        </w:rPr>
        <w:t>privación judicial preventiva de libertad</w:t>
      </w:r>
      <w:r w:rsidR="00B907CF" w:rsidRPr="00DF2DA6">
        <w:rPr>
          <w:rFonts w:ascii="Cambria" w:hAnsi="Cambria"/>
          <w:sz w:val="20"/>
          <w:szCs w:val="20"/>
        </w:rPr>
        <w:t xml:space="preserve">. </w:t>
      </w:r>
      <w:r w:rsidR="00DA16BD" w:rsidRPr="00DF2DA6">
        <w:rPr>
          <w:rFonts w:ascii="Cambria" w:hAnsi="Cambria"/>
          <w:sz w:val="20"/>
          <w:szCs w:val="20"/>
        </w:rPr>
        <w:t xml:space="preserve">Dicha decisión fue </w:t>
      </w:r>
      <w:r w:rsidR="002615AF" w:rsidRPr="00DF2DA6">
        <w:rPr>
          <w:rFonts w:ascii="Cambria" w:hAnsi="Cambria"/>
          <w:sz w:val="20"/>
          <w:szCs w:val="20"/>
        </w:rPr>
        <w:t>apelad</w:t>
      </w:r>
      <w:r w:rsidR="00DA16BD" w:rsidRPr="00DF2DA6">
        <w:rPr>
          <w:rFonts w:ascii="Cambria" w:hAnsi="Cambria"/>
          <w:sz w:val="20"/>
          <w:szCs w:val="20"/>
        </w:rPr>
        <w:t>a</w:t>
      </w:r>
      <w:r w:rsidR="002615AF" w:rsidRPr="00DF2DA6">
        <w:rPr>
          <w:rFonts w:ascii="Cambria" w:hAnsi="Cambria"/>
          <w:sz w:val="20"/>
          <w:szCs w:val="20"/>
        </w:rPr>
        <w:t xml:space="preserve"> por los representantes de la presunta víctima</w:t>
      </w:r>
      <w:r w:rsidR="008E3FFE" w:rsidRPr="00DF2DA6">
        <w:rPr>
          <w:rFonts w:ascii="Cambria" w:hAnsi="Cambria"/>
          <w:sz w:val="20"/>
          <w:szCs w:val="20"/>
        </w:rPr>
        <w:t>.</w:t>
      </w:r>
      <w:r w:rsidR="00DA16BD" w:rsidRPr="00DF2DA6">
        <w:rPr>
          <w:rFonts w:ascii="Cambria" w:hAnsi="Cambria"/>
          <w:sz w:val="20"/>
          <w:szCs w:val="20"/>
        </w:rPr>
        <w:t xml:space="preserve"> </w:t>
      </w:r>
      <w:r w:rsidR="0022225C" w:rsidRPr="00DF2DA6">
        <w:rPr>
          <w:rFonts w:ascii="Cambria" w:hAnsi="Cambria"/>
          <w:sz w:val="20"/>
          <w:szCs w:val="20"/>
        </w:rPr>
        <w:t xml:space="preserve">En relación con la detención preventiva de </w:t>
      </w:r>
      <w:r w:rsidR="00B907CF" w:rsidRPr="00DF2DA6">
        <w:rPr>
          <w:rFonts w:ascii="Cambria" w:hAnsi="Cambria"/>
          <w:sz w:val="20"/>
          <w:szCs w:val="20"/>
        </w:rPr>
        <w:t xml:space="preserve">Rolando Jesús Guevara Pérez, </w:t>
      </w:r>
      <w:r w:rsidR="00854274" w:rsidRPr="00DF2DA6">
        <w:rPr>
          <w:rFonts w:ascii="Cambria" w:hAnsi="Cambria"/>
          <w:sz w:val="20"/>
          <w:szCs w:val="20"/>
        </w:rPr>
        <w:t xml:space="preserve">decretada el 29 de noviembre de 2004, </w:t>
      </w:r>
      <w:r w:rsidR="002615AF" w:rsidRPr="00DF2DA6">
        <w:rPr>
          <w:rFonts w:ascii="Cambria" w:hAnsi="Cambria"/>
          <w:sz w:val="20"/>
          <w:szCs w:val="20"/>
        </w:rPr>
        <w:t>e</w:t>
      </w:r>
      <w:r w:rsidR="00D50853" w:rsidRPr="00DF2DA6">
        <w:rPr>
          <w:rFonts w:ascii="Cambria" w:hAnsi="Cambria"/>
          <w:sz w:val="20"/>
          <w:szCs w:val="20"/>
        </w:rPr>
        <w:t xml:space="preserve">l Estado señaló que la </w:t>
      </w:r>
      <w:r w:rsidR="0022225C" w:rsidRPr="00DF2DA6">
        <w:rPr>
          <w:rFonts w:ascii="Cambria" w:hAnsi="Cambria"/>
          <w:sz w:val="20"/>
          <w:szCs w:val="20"/>
        </w:rPr>
        <w:t xml:space="preserve">misma habría sido apelada por sus representantes y subsiguientemente </w:t>
      </w:r>
      <w:r w:rsidR="00D50853" w:rsidRPr="00DF2DA6">
        <w:rPr>
          <w:rFonts w:ascii="Cambria" w:hAnsi="Cambria"/>
          <w:sz w:val="20"/>
          <w:szCs w:val="20"/>
        </w:rPr>
        <w:t xml:space="preserve">desestimada por la </w:t>
      </w:r>
      <w:r w:rsidR="008E3FFE" w:rsidRPr="00DF2DA6">
        <w:rPr>
          <w:rFonts w:ascii="Cambria" w:hAnsi="Cambria"/>
          <w:sz w:val="20"/>
          <w:szCs w:val="20"/>
        </w:rPr>
        <w:t>Sala 4</w:t>
      </w:r>
      <w:r w:rsidR="0040462A" w:rsidRPr="0040462A">
        <w:rPr>
          <w:rFonts w:ascii="Cambria" w:hAnsi="Cambria"/>
          <w:sz w:val="20"/>
          <w:szCs w:val="20"/>
          <w:vertAlign w:val="superscript"/>
        </w:rPr>
        <w:t>a</w:t>
      </w:r>
      <w:r w:rsidR="008E3FFE" w:rsidRPr="00DF2DA6">
        <w:rPr>
          <w:rFonts w:ascii="Cambria" w:hAnsi="Cambria"/>
          <w:sz w:val="20"/>
          <w:szCs w:val="20"/>
        </w:rPr>
        <w:t xml:space="preserve"> de la Corte de Apelaciones</w:t>
      </w:r>
      <w:r w:rsidR="00854274" w:rsidRPr="00DF2DA6">
        <w:rPr>
          <w:rFonts w:ascii="Cambria" w:hAnsi="Cambria"/>
          <w:sz w:val="20"/>
          <w:szCs w:val="20"/>
        </w:rPr>
        <w:t xml:space="preserve">, </w:t>
      </w:r>
      <w:r w:rsidR="00074647" w:rsidRPr="00DF2DA6">
        <w:rPr>
          <w:rFonts w:ascii="Cambria" w:hAnsi="Cambria"/>
          <w:sz w:val="20"/>
          <w:szCs w:val="20"/>
        </w:rPr>
        <w:t>por cuanto</w:t>
      </w:r>
      <w:r w:rsidR="0022225C" w:rsidRPr="00DF2DA6">
        <w:rPr>
          <w:rFonts w:ascii="Cambria" w:hAnsi="Cambria"/>
          <w:sz w:val="20"/>
          <w:szCs w:val="20"/>
        </w:rPr>
        <w:t xml:space="preserve"> la impugnación se fundaba en </w:t>
      </w:r>
      <w:r w:rsidR="002615AF" w:rsidRPr="00DF2DA6">
        <w:rPr>
          <w:rFonts w:ascii="Cambria" w:hAnsi="Cambria"/>
          <w:sz w:val="20"/>
          <w:szCs w:val="20"/>
        </w:rPr>
        <w:t xml:space="preserve">argumentos </w:t>
      </w:r>
      <w:r w:rsidR="0022225C" w:rsidRPr="00DF2DA6">
        <w:rPr>
          <w:rFonts w:ascii="Cambria" w:hAnsi="Cambria"/>
          <w:sz w:val="20"/>
          <w:szCs w:val="20"/>
        </w:rPr>
        <w:t xml:space="preserve">relacionados con la </w:t>
      </w:r>
      <w:r w:rsidR="002615AF" w:rsidRPr="00DF2DA6">
        <w:rPr>
          <w:rFonts w:ascii="Cambria" w:hAnsi="Cambria"/>
          <w:sz w:val="20"/>
          <w:szCs w:val="20"/>
        </w:rPr>
        <w:t xml:space="preserve">legitimidad de </w:t>
      </w:r>
      <w:r w:rsidR="0022225C" w:rsidRPr="00DF2DA6">
        <w:rPr>
          <w:rFonts w:ascii="Cambria" w:hAnsi="Cambria"/>
          <w:sz w:val="20"/>
          <w:szCs w:val="20"/>
        </w:rPr>
        <w:t xml:space="preserve">las </w:t>
      </w:r>
      <w:r w:rsidR="002615AF" w:rsidRPr="00DF2DA6">
        <w:rPr>
          <w:rFonts w:ascii="Cambria" w:hAnsi="Cambria"/>
          <w:sz w:val="20"/>
          <w:szCs w:val="20"/>
        </w:rPr>
        <w:t>pruebas</w:t>
      </w:r>
      <w:r w:rsidR="0022225C" w:rsidRPr="00DF2DA6">
        <w:rPr>
          <w:rFonts w:ascii="Cambria" w:hAnsi="Cambria"/>
          <w:sz w:val="20"/>
          <w:szCs w:val="20"/>
        </w:rPr>
        <w:t xml:space="preserve"> habidas en el expediente</w:t>
      </w:r>
      <w:r w:rsidR="00074647" w:rsidRPr="00DF2DA6">
        <w:rPr>
          <w:rFonts w:ascii="Cambria" w:hAnsi="Cambria"/>
          <w:sz w:val="20"/>
          <w:szCs w:val="20"/>
        </w:rPr>
        <w:t>. Ello</w:t>
      </w:r>
      <w:r w:rsidR="00D50853" w:rsidRPr="00DF2DA6">
        <w:rPr>
          <w:rFonts w:ascii="Cambria" w:hAnsi="Cambria"/>
          <w:sz w:val="20"/>
          <w:szCs w:val="20"/>
        </w:rPr>
        <w:t xml:space="preserve">, según señala el Estado, resultaría improcedente en dicha etapa procesal. </w:t>
      </w:r>
      <w:r w:rsidR="00854274" w:rsidRPr="00DF2DA6">
        <w:rPr>
          <w:rFonts w:ascii="Cambria" w:hAnsi="Cambria"/>
          <w:sz w:val="20"/>
          <w:szCs w:val="20"/>
        </w:rPr>
        <w:t xml:space="preserve">Similares argumentos </w:t>
      </w:r>
      <w:r w:rsidR="003A3FA3">
        <w:rPr>
          <w:rFonts w:ascii="Cambria" w:hAnsi="Cambria"/>
          <w:sz w:val="20"/>
          <w:szCs w:val="20"/>
        </w:rPr>
        <w:t>planteó</w:t>
      </w:r>
      <w:r w:rsidR="00854274" w:rsidRPr="00DF2DA6">
        <w:rPr>
          <w:rFonts w:ascii="Cambria" w:hAnsi="Cambria"/>
          <w:sz w:val="20"/>
          <w:szCs w:val="20"/>
        </w:rPr>
        <w:t xml:space="preserve"> el Estado en </w:t>
      </w:r>
      <w:r w:rsidR="00B907CF" w:rsidRPr="00DF2DA6">
        <w:rPr>
          <w:rFonts w:ascii="Cambria" w:hAnsi="Cambria"/>
          <w:sz w:val="20"/>
          <w:szCs w:val="20"/>
        </w:rPr>
        <w:t>lo que respe</w:t>
      </w:r>
      <w:r w:rsidR="0022225C" w:rsidRPr="00DF2DA6">
        <w:rPr>
          <w:rFonts w:ascii="Cambria" w:hAnsi="Cambria"/>
          <w:sz w:val="20"/>
          <w:szCs w:val="20"/>
        </w:rPr>
        <w:t>c</w:t>
      </w:r>
      <w:r w:rsidR="00B907CF" w:rsidRPr="00DF2DA6">
        <w:rPr>
          <w:rFonts w:ascii="Cambria" w:hAnsi="Cambria"/>
          <w:sz w:val="20"/>
          <w:szCs w:val="20"/>
        </w:rPr>
        <w:t>ta a</w:t>
      </w:r>
      <w:r w:rsidR="00854274" w:rsidRPr="00DF2DA6">
        <w:rPr>
          <w:rFonts w:ascii="Cambria" w:hAnsi="Cambria"/>
          <w:sz w:val="20"/>
          <w:szCs w:val="20"/>
        </w:rPr>
        <w:t xml:space="preserve"> la apelación de la detención preventiva decretada contra</w:t>
      </w:r>
      <w:r w:rsidR="00B907CF" w:rsidRPr="00DF2DA6">
        <w:rPr>
          <w:rFonts w:ascii="Cambria" w:hAnsi="Cambria"/>
          <w:sz w:val="20"/>
          <w:szCs w:val="20"/>
        </w:rPr>
        <w:t xml:space="preserve"> Otoniel José Guevara Pérez</w:t>
      </w:r>
      <w:r w:rsidR="00854274" w:rsidRPr="00DF2DA6">
        <w:rPr>
          <w:rFonts w:ascii="Cambria" w:hAnsi="Cambria"/>
          <w:sz w:val="20"/>
          <w:szCs w:val="20"/>
        </w:rPr>
        <w:t xml:space="preserve">, recurso que también habría sido </w:t>
      </w:r>
      <w:r w:rsidR="009D1106" w:rsidRPr="00DF2DA6">
        <w:rPr>
          <w:rFonts w:ascii="Cambria" w:hAnsi="Cambria"/>
          <w:sz w:val="20"/>
          <w:szCs w:val="20"/>
        </w:rPr>
        <w:t>declarado “sin lugar”</w:t>
      </w:r>
      <w:r w:rsidR="0022225C" w:rsidRPr="00DF2DA6">
        <w:rPr>
          <w:rFonts w:ascii="Cambria" w:hAnsi="Cambria"/>
          <w:sz w:val="20"/>
          <w:szCs w:val="20"/>
        </w:rPr>
        <w:t xml:space="preserve"> por </w:t>
      </w:r>
      <w:r w:rsidR="008E3FFE" w:rsidRPr="00DF2DA6">
        <w:rPr>
          <w:rFonts w:ascii="Cambria" w:hAnsi="Cambria"/>
          <w:sz w:val="20"/>
          <w:szCs w:val="20"/>
        </w:rPr>
        <w:t>la misma sala</w:t>
      </w:r>
      <w:r w:rsidR="00854274" w:rsidRPr="00DF2DA6">
        <w:rPr>
          <w:rFonts w:ascii="Cambria" w:hAnsi="Cambria"/>
          <w:sz w:val="20"/>
          <w:szCs w:val="20"/>
        </w:rPr>
        <w:t xml:space="preserve">. </w:t>
      </w:r>
      <w:r w:rsidR="003A3FA3">
        <w:rPr>
          <w:rFonts w:ascii="Cambria" w:hAnsi="Cambria"/>
          <w:sz w:val="20"/>
          <w:szCs w:val="20"/>
        </w:rPr>
        <w:t>En atención a estas consideraciones concluyó</w:t>
      </w:r>
      <w:r w:rsidR="000176D9" w:rsidRPr="00DF2DA6">
        <w:rPr>
          <w:rFonts w:ascii="Cambria" w:hAnsi="Cambria"/>
          <w:sz w:val="20"/>
          <w:szCs w:val="20"/>
        </w:rPr>
        <w:t xml:space="preserve"> que </w:t>
      </w:r>
      <w:r w:rsidR="009F2AE6" w:rsidRPr="00DF2DA6">
        <w:rPr>
          <w:rFonts w:ascii="Cambria" w:hAnsi="Cambria"/>
          <w:sz w:val="20"/>
          <w:szCs w:val="20"/>
        </w:rPr>
        <w:t>“los peticionarios contaron con un recurso judicial eficaz conforme a las reglas del debido proceso y que incluso fue ejercido sin impedimento alguno contra la decisión que ellos consideraron violentó sus derechos humanos”.</w:t>
      </w:r>
      <w:r w:rsidR="006C76EA" w:rsidRPr="00DF2DA6">
        <w:rPr>
          <w:rFonts w:ascii="Cambria" w:hAnsi="Cambria"/>
          <w:sz w:val="20"/>
          <w:szCs w:val="20"/>
        </w:rPr>
        <w:t xml:space="preserve"> </w:t>
      </w:r>
    </w:p>
    <w:p w14:paraId="29AE4F21" w14:textId="77777777" w:rsidR="002A57F8" w:rsidRPr="00A96F06" w:rsidRDefault="002A57F8" w:rsidP="002A57F8">
      <w:pPr>
        <w:pStyle w:val="ListParagraph"/>
        <w:rPr>
          <w:sz w:val="20"/>
          <w:szCs w:val="20"/>
          <w:lang w:val="es-AR"/>
        </w:rPr>
      </w:pPr>
    </w:p>
    <w:p w14:paraId="1F1E7610" w14:textId="77777777" w:rsidR="002A57F8" w:rsidRDefault="002A57F8" w:rsidP="002A57F8">
      <w:pPr>
        <w:pStyle w:val="ListParagraph"/>
        <w:rPr>
          <w:i/>
          <w:sz w:val="20"/>
          <w:szCs w:val="20"/>
          <w:lang w:val="es-AR"/>
        </w:rPr>
      </w:pPr>
      <w:r w:rsidRPr="00C82783">
        <w:rPr>
          <w:sz w:val="20"/>
          <w:szCs w:val="20"/>
          <w:lang w:val="es-AR"/>
        </w:rPr>
        <w:t>b.</w:t>
      </w:r>
      <w:r>
        <w:rPr>
          <w:i/>
          <w:sz w:val="20"/>
          <w:szCs w:val="20"/>
          <w:lang w:val="es-AR"/>
        </w:rPr>
        <w:t xml:space="preserve"> </w:t>
      </w:r>
      <w:r>
        <w:rPr>
          <w:i/>
          <w:sz w:val="20"/>
          <w:szCs w:val="20"/>
          <w:lang w:val="es-AR"/>
        </w:rPr>
        <w:tab/>
        <w:t xml:space="preserve">Investigación por los actos de </w:t>
      </w:r>
      <w:r w:rsidRPr="0069579C">
        <w:rPr>
          <w:i/>
          <w:sz w:val="20"/>
          <w:szCs w:val="20"/>
          <w:lang w:val="es-AR"/>
        </w:rPr>
        <w:t>tortura (Expte. C-175)</w:t>
      </w:r>
    </w:p>
    <w:p w14:paraId="5C7A7868" w14:textId="77777777" w:rsidR="002A57F8" w:rsidRDefault="002A57F8" w:rsidP="002A57F8">
      <w:pPr>
        <w:pStyle w:val="ListParagraph"/>
        <w:rPr>
          <w:i/>
          <w:sz w:val="20"/>
          <w:szCs w:val="20"/>
          <w:lang w:val="es-AR"/>
        </w:rPr>
      </w:pPr>
    </w:p>
    <w:p w14:paraId="2961886F" w14:textId="44735E69" w:rsidR="002A57F8" w:rsidRPr="00DF2DA6" w:rsidRDefault="002A57F8" w:rsidP="00DF2DA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357FF9">
        <w:rPr>
          <w:rFonts w:ascii="Cambria" w:hAnsi="Cambria"/>
          <w:sz w:val="20"/>
          <w:szCs w:val="20"/>
        </w:rPr>
        <w:t>E</w:t>
      </w:r>
      <w:r>
        <w:rPr>
          <w:rFonts w:ascii="Cambria" w:hAnsi="Cambria"/>
          <w:sz w:val="20"/>
          <w:szCs w:val="20"/>
        </w:rPr>
        <w:t>l Estado afirm</w:t>
      </w:r>
      <w:r w:rsidR="00035009">
        <w:rPr>
          <w:rFonts w:ascii="Cambria" w:hAnsi="Cambria"/>
          <w:sz w:val="20"/>
          <w:szCs w:val="20"/>
        </w:rPr>
        <w:t>a</w:t>
      </w:r>
      <w:r>
        <w:rPr>
          <w:rFonts w:ascii="Cambria" w:hAnsi="Cambria"/>
          <w:sz w:val="20"/>
          <w:szCs w:val="20"/>
        </w:rPr>
        <w:t xml:space="preserve"> que el mismo día </w:t>
      </w:r>
      <w:r w:rsidR="004A7603">
        <w:rPr>
          <w:rFonts w:ascii="Cambria" w:hAnsi="Cambria"/>
          <w:sz w:val="20"/>
          <w:szCs w:val="20"/>
        </w:rPr>
        <w:t xml:space="preserve">en </w:t>
      </w:r>
      <w:r>
        <w:rPr>
          <w:rFonts w:ascii="Cambria" w:hAnsi="Cambria"/>
          <w:sz w:val="20"/>
          <w:szCs w:val="20"/>
        </w:rPr>
        <w:t xml:space="preserve">que se puso en conocimiento </w:t>
      </w:r>
      <w:r w:rsidR="004A7603">
        <w:rPr>
          <w:rFonts w:ascii="Cambria" w:hAnsi="Cambria"/>
          <w:sz w:val="20"/>
          <w:szCs w:val="20"/>
        </w:rPr>
        <w:t>a</w:t>
      </w:r>
      <w:r>
        <w:rPr>
          <w:rFonts w:ascii="Cambria" w:hAnsi="Cambria"/>
          <w:sz w:val="20"/>
          <w:szCs w:val="20"/>
        </w:rPr>
        <w:t xml:space="preserve"> la Fiscalía 126° la denuncia por alegadas torturas, se habría </w:t>
      </w:r>
      <w:r w:rsidR="003A3FA3">
        <w:rPr>
          <w:rFonts w:ascii="Cambria" w:hAnsi="Cambria"/>
          <w:sz w:val="20"/>
          <w:szCs w:val="20"/>
        </w:rPr>
        <w:t>iniciado</w:t>
      </w:r>
      <w:r>
        <w:rPr>
          <w:rFonts w:ascii="Cambria" w:hAnsi="Cambria"/>
          <w:sz w:val="20"/>
          <w:szCs w:val="20"/>
        </w:rPr>
        <w:t xml:space="preserve"> la correspondiente </w:t>
      </w:r>
      <w:r w:rsidR="003A3FA3">
        <w:rPr>
          <w:rFonts w:ascii="Cambria" w:hAnsi="Cambria"/>
          <w:sz w:val="20"/>
          <w:szCs w:val="20"/>
        </w:rPr>
        <w:t>investigación</w:t>
      </w:r>
      <w:r>
        <w:rPr>
          <w:rFonts w:ascii="Cambria" w:hAnsi="Cambria"/>
          <w:sz w:val="20"/>
          <w:szCs w:val="20"/>
        </w:rPr>
        <w:t xml:space="preserve">. </w:t>
      </w:r>
      <w:r w:rsidR="003A3FA3">
        <w:rPr>
          <w:rFonts w:ascii="Cambria" w:hAnsi="Cambria"/>
          <w:sz w:val="20"/>
          <w:szCs w:val="20"/>
        </w:rPr>
        <w:t>L</w:t>
      </w:r>
      <w:r>
        <w:rPr>
          <w:rFonts w:ascii="Cambria" w:hAnsi="Cambria"/>
          <w:sz w:val="20"/>
          <w:szCs w:val="20"/>
        </w:rPr>
        <w:t xml:space="preserve">os peticionarios solicitaron la producción de </w:t>
      </w:r>
      <w:r w:rsidR="00DF2DA6">
        <w:rPr>
          <w:rFonts w:ascii="Cambria" w:hAnsi="Cambria"/>
          <w:sz w:val="20"/>
          <w:szCs w:val="20"/>
        </w:rPr>
        <w:t>ciertas medidas probatorias</w:t>
      </w:r>
      <w:r>
        <w:rPr>
          <w:rFonts w:ascii="Cambria" w:hAnsi="Cambria"/>
          <w:sz w:val="20"/>
          <w:szCs w:val="20"/>
        </w:rPr>
        <w:t xml:space="preserve"> </w:t>
      </w:r>
      <w:r w:rsidR="00DF2DA6">
        <w:rPr>
          <w:rFonts w:ascii="Cambria" w:hAnsi="Cambria"/>
          <w:sz w:val="20"/>
          <w:szCs w:val="20"/>
        </w:rPr>
        <w:t>que</w:t>
      </w:r>
      <w:r>
        <w:rPr>
          <w:rFonts w:ascii="Cambria" w:hAnsi="Cambria"/>
          <w:sz w:val="20"/>
          <w:szCs w:val="20"/>
        </w:rPr>
        <w:t xml:space="preserve"> fueron consideradas “impertinentes” por el fiscal actuante. Conforme alega el Estado, ello no habría sido </w:t>
      </w:r>
      <w:r w:rsidR="00DF2DA6">
        <w:rPr>
          <w:rFonts w:ascii="Cambria" w:hAnsi="Cambria"/>
          <w:sz w:val="20"/>
          <w:szCs w:val="20"/>
        </w:rPr>
        <w:t>impugnado por los peticionarios, incluso cuando cabía contra el fiscal el recurso de recusación, en los términos del artículo 54 de la Ley Orgánica del Ministerio Público.</w:t>
      </w:r>
      <w:r w:rsidR="00DF2DA6" w:rsidRPr="005165F8">
        <w:rPr>
          <w:rFonts w:ascii="Cambria" w:hAnsi="Cambria"/>
          <w:sz w:val="20"/>
          <w:szCs w:val="20"/>
        </w:rPr>
        <w:t xml:space="preserve"> </w:t>
      </w:r>
    </w:p>
    <w:p w14:paraId="1DBBD1CF" w14:textId="77777777" w:rsidR="002A57F8" w:rsidRDefault="002A57F8" w:rsidP="002A57F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496CB09D" w14:textId="1CF5932E" w:rsidR="002A57F8" w:rsidRPr="00C5011B" w:rsidRDefault="00DF2DA6" w:rsidP="002A57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Cambria" w:hAnsi="Cambria"/>
          <w:sz w:val="20"/>
          <w:szCs w:val="20"/>
        </w:rPr>
        <w:lastRenderedPageBreak/>
        <w:t>E</w:t>
      </w:r>
      <w:r w:rsidR="002A57F8" w:rsidRPr="00B12CB4">
        <w:rPr>
          <w:rFonts w:ascii="Cambria" w:hAnsi="Cambria"/>
          <w:sz w:val="20"/>
          <w:szCs w:val="20"/>
        </w:rPr>
        <w:t xml:space="preserve">l Estado </w:t>
      </w:r>
      <w:r w:rsidR="00416344">
        <w:rPr>
          <w:rFonts w:ascii="Cambria" w:hAnsi="Cambria"/>
          <w:sz w:val="20"/>
          <w:szCs w:val="20"/>
        </w:rPr>
        <w:t>aduce</w:t>
      </w:r>
      <w:r w:rsidR="002A57F8" w:rsidRPr="00B12CB4">
        <w:rPr>
          <w:rFonts w:ascii="Cambria" w:hAnsi="Cambria"/>
          <w:sz w:val="20"/>
          <w:szCs w:val="20"/>
        </w:rPr>
        <w:t xml:space="preserve"> que el Ministerio </w:t>
      </w:r>
      <w:r>
        <w:rPr>
          <w:rFonts w:ascii="Cambria" w:hAnsi="Cambria"/>
          <w:sz w:val="20"/>
          <w:szCs w:val="20"/>
        </w:rPr>
        <w:t xml:space="preserve">Público </w:t>
      </w:r>
      <w:r w:rsidR="00416344">
        <w:rPr>
          <w:rFonts w:ascii="Cambria" w:hAnsi="Cambria"/>
          <w:sz w:val="20"/>
          <w:szCs w:val="20"/>
        </w:rPr>
        <w:t>practicó</w:t>
      </w:r>
      <w:r w:rsidR="002A57F8" w:rsidRPr="00B12CB4">
        <w:rPr>
          <w:rFonts w:ascii="Cambria" w:hAnsi="Cambria"/>
          <w:sz w:val="20"/>
          <w:szCs w:val="20"/>
        </w:rPr>
        <w:t xml:space="preserve"> una serie de diligencias útiles y necesarias a los fines de establecer las responsabilidades pertinentes. </w:t>
      </w:r>
      <w:r>
        <w:rPr>
          <w:rFonts w:ascii="Cambria" w:hAnsi="Cambria"/>
          <w:sz w:val="20"/>
          <w:szCs w:val="20"/>
        </w:rPr>
        <w:t>Posteriormente</w:t>
      </w:r>
      <w:r w:rsidR="002A57F8">
        <w:rPr>
          <w:rFonts w:ascii="Cambria" w:hAnsi="Cambria"/>
          <w:sz w:val="20"/>
          <w:szCs w:val="20"/>
        </w:rPr>
        <w:t xml:space="preserve">, la Fiscalía procedió al análisis del expediente referido </w:t>
      </w:r>
      <w:r w:rsidR="00416344">
        <w:rPr>
          <w:rFonts w:ascii="Cambria" w:hAnsi="Cambria"/>
          <w:sz w:val="20"/>
          <w:szCs w:val="20"/>
        </w:rPr>
        <w:t xml:space="preserve">concluyendo </w:t>
      </w:r>
      <w:r w:rsidR="002A57F8">
        <w:rPr>
          <w:rFonts w:ascii="Cambria" w:hAnsi="Cambria"/>
          <w:sz w:val="20"/>
          <w:szCs w:val="20"/>
        </w:rPr>
        <w:t xml:space="preserve">que no existían bases para enjuiciar a persona alguna. Consecuentemente, el 19 de julio de 2006, </w:t>
      </w:r>
      <w:r w:rsidR="00416344">
        <w:rPr>
          <w:rFonts w:ascii="Cambria" w:hAnsi="Cambria"/>
          <w:sz w:val="20"/>
          <w:szCs w:val="20"/>
        </w:rPr>
        <w:t xml:space="preserve">se </w:t>
      </w:r>
      <w:r w:rsidR="002A57F8">
        <w:rPr>
          <w:rFonts w:ascii="Cambria" w:hAnsi="Cambria"/>
          <w:sz w:val="20"/>
          <w:szCs w:val="20"/>
        </w:rPr>
        <w:t xml:space="preserve">declaró el archivo fiscal de la investigación. De ello fue notificado el representante de las presuntas víctimas el 3 de mayo de 2007, sin que </w:t>
      </w:r>
      <w:r w:rsidR="00DB6531">
        <w:rPr>
          <w:rFonts w:ascii="Cambria" w:hAnsi="Cambria"/>
          <w:sz w:val="20"/>
          <w:szCs w:val="20"/>
        </w:rPr>
        <w:t xml:space="preserve">se </w:t>
      </w:r>
      <w:r w:rsidR="002A57F8">
        <w:rPr>
          <w:rFonts w:ascii="Cambria" w:hAnsi="Cambria"/>
          <w:sz w:val="20"/>
          <w:szCs w:val="20"/>
        </w:rPr>
        <w:t xml:space="preserve">hubiera </w:t>
      </w:r>
      <w:r w:rsidR="00AD0A23">
        <w:rPr>
          <w:rFonts w:ascii="Cambria" w:hAnsi="Cambria"/>
          <w:sz w:val="20"/>
          <w:szCs w:val="20"/>
        </w:rPr>
        <w:t>impugnado o recurrido</w:t>
      </w:r>
      <w:r w:rsidR="002A57F8">
        <w:rPr>
          <w:rFonts w:ascii="Cambria" w:hAnsi="Cambria"/>
          <w:sz w:val="20"/>
          <w:szCs w:val="20"/>
        </w:rPr>
        <w:t xml:space="preserve"> tal decisión.</w:t>
      </w:r>
    </w:p>
    <w:p w14:paraId="69C05CA3" w14:textId="77777777" w:rsidR="002A57F8" w:rsidRDefault="002A57F8" w:rsidP="002A57F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1D85D96" w14:textId="29021DBB" w:rsidR="002A57F8" w:rsidRPr="00AD0A23" w:rsidRDefault="002A57F8" w:rsidP="002A57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Cambria" w:hAnsi="Cambria"/>
          <w:sz w:val="20"/>
          <w:szCs w:val="20"/>
        </w:rPr>
        <w:t>El Estado alega que de todo el texto de la petición “</w:t>
      </w:r>
      <w:r w:rsidRPr="00357FF9">
        <w:rPr>
          <w:rFonts w:ascii="Cambria" w:hAnsi="Cambria"/>
          <w:sz w:val="20"/>
          <w:szCs w:val="20"/>
        </w:rPr>
        <w:t xml:space="preserve">no puede establecerse ciertamente que los peticionarios hayan sido sometidos a torturas o tratos crueles por funcionarios policiales, ni mucho menos que fiscales del Ministerio Público hayan participado en la alegada detención ilegal”. </w:t>
      </w:r>
      <w:r>
        <w:rPr>
          <w:rFonts w:ascii="Cambria" w:hAnsi="Cambria"/>
          <w:sz w:val="20"/>
          <w:szCs w:val="20"/>
        </w:rPr>
        <w:t>Agregó que, a pesar de que los peticionarios afirmaron que Juan Bautista Guevara habría denunciado a un fiscal del Ministerio Público durante la audiencia del 8 de marzo de 2005</w:t>
      </w:r>
      <w:r w:rsidR="005F01FB">
        <w:rPr>
          <w:rFonts w:ascii="Cambria" w:hAnsi="Cambria"/>
          <w:sz w:val="20"/>
          <w:szCs w:val="20"/>
        </w:rPr>
        <w:t>,</w:t>
      </w:r>
      <w:r>
        <w:rPr>
          <w:rFonts w:ascii="Cambria" w:hAnsi="Cambria"/>
          <w:sz w:val="20"/>
          <w:szCs w:val="20"/>
        </w:rPr>
        <w:t xml:space="preserve"> por su alegada participación en los denunciados actos de tortura, de sus declaraciones no se desprende ninguna acusación contra algún fiscal del Ministerio Público.</w:t>
      </w:r>
    </w:p>
    <w:p w14:paraId="20BC42E7" w14:textId="2C215B2F" w:rsidR="00D705AB" w:rsidRDefault="00D705AB" w:rsidP="00D705A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548AFFCF" w14:textId="07D8859A" w:rsidR="002A57F8" w:rsidRDefault="005F01FB" w:rsidP="002A57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Cambria" w:hAnsi="Cambria"/>
          <w:sz w:val="20"/>
          <w:szCs w:val="20"/>
        </w:rPr>
        <w:t>E</w:t>
      </w:r>
      <w:r w:rsidR="002A57F8" w:rsidRPr="00357FF9">
        <w:rPr>
          <w:rFonts w:ascii="Cambria" w:hAnsi="Cambria"/>
          <w:sz w:val="20"/>
          <w:szCs w:val="20"/>
        </w:rPr>
        <w:t xml:space="preserve">l Estado indica que de acuerdo al </w:t>
      </w:r>
      <w:r w:rsidR="002A57F8">
        <w:rPr>
          <w:rFonts w:ascii="Cambria" w:hAnsi="Cambria"/>
          <w:sz w:val="20"/>
          <w:szCs w:val="20"/>
        </w:rPr>
        <w:t xml:space="preserve">artículo </w:t>
      </w:r>
      <w:r w:rsidR="002A57F8" w:rsidRPr="00357FF9">
        <w:rPr>
          <w:rFonts w:ascii="Cambria" w:hAnsi="Cambria"/>
          <w:sz w:val="20"/>
          <w:szCs w:val="20"/>
        </w:rPr>
        <w:t xml:space="preserve">315 del Código Orgánico Procesal Penal, la víctima puede en cualquier momento </w:t>
      </w:r>
      <w:r w:rsidR="002A57F8">
        <w:rPr>
          <w:rFonts w:ascii="Cambria" w:hAnsi="Cambria"/>
          <w:sz w:val="20"/>
          <w:szCs w:val="20"/>
        </w:rPr>
        <w:t>“</w:t>
      </w:r>
      <w:r w:rsidR="002A57F8" w:rsidRPr="00357FF9">
        <w:rPr>
          <w:rFonts w:ascii="Cambria" w:hAnsi="Cambria"/>
          <w:sz w:val="20"/>
          <w:szCs w:val="20"/>
        </w:rPr>
        <w:t>solicitar la reapertura de la investigación</w:t>
      </w:r>
      <w:r w:rsidR="002A57F8">
        <w:rPr>
          <w:rFonts w:ascii="Cambria" w:hAnsi="Cambria"/>
          <w:sz w:val="20"/>
          <w:szCs w:val="20"/>
        </w:rPr>
        <w:t>”,</w:t>
      </w:r>
      <w:r w:rsidR="002A57F8" w:rsidRPr="00357FF9">
        <w:rPr>
          <w:rFonts w:ascii="Cambria" w:hAnsi="Cambria"/>
          <w:sz w:val="20"/>
          <w:szCs w:val="20"/>
        </w:rPr>
        <w:t xml:space="preserve"> indicando </w:t>
      </w:r>
      <w:r w:rsidR="002A57F8">
        <w:rPr>
          <w:rFonts w:ascii="Cambria" w:hAnsi="Cambria"/>
          <w:sz w:val="20"/>
          <w:szCs w:val="20"/>
        </w:rPr>
        <w:t xml:space="preserve">para ello </w:t>
      </w:r>
      <w:r w:rsidR="002A57F8" w:rsidRPr="00357FF9">
        <w:rPr>
          <w:rFonts w:ascii="Cambria" w:hAnsi="Cambria"/>
          <w:sz w:val="20"/>
          <w:szCs w:val="20"/>
        </w:rPr>
        <w:t>las diligencias necesarias</w:t>
      </w:r>
      <w:r w:rsidR="002A57F8">
        <w:rPr>
          <w:rFonts w:ascii="Cambria" w:hAnsi="Cambria"/>
          <w:sz w:val="20"/>
          <w:szCs w:val="20"/>
        </w:rPr>
        <w:t xml:space="preserve">. Asimismo, </w:t>
      </w:r>
      <w:r w:rsidR="002A57F8" w:rsidRPr="00357FF9">
        <w:rPr>
          <w:rFonts w:ascii="Cambria" w:hAnsi="Cambria"/>
          <w:sz w:val="20"/>
          <w:szCs w:val="20"/>
        </w:rPr>
        <w:t>tiene la facultad de dirigirse al juez de control</w:t>
      </w:r>
      <w:r w:rsidR="002A57F8">
        <w:rPr>
          <w:rFonts w:ascii="Cambria" w:hAnsi="Cambria"/>
          <w:sz w:val="20"/>
          <w:szCs w:val="20"/>
        </w:rPr>
        <w:t>,</w:t>
      </w:r>
      <w:r w:rsidR="002A57F8" w:rsidRPr="00357FF9">
        <w:rPr>
          <w:rFonts w:ascii="Cambria" w:hAnsi="Cambria"/>
          <w:sz w:val="20"/>
          <w:szCs w:val="20"/>
        </w:rPr>
        <w:t xml:space="preserve"> solicitándole </w:t>
      </w:r>
      <w:r w:rsidR="002A57F8">
        <w:rPr>
          <w:rFonts w:ascii="Cambria" w:hAnsi="Cambria"/>
          <w:sz w:val="20"/>
          <w:szCs w:val="20"/>
        </w:rPr>
        <w:t xml:space="preserve">que </w:t>
      </w:r>
      <w:r w:rsidR="002A57F8" w:rsidRPr="00357FF9">
        <w:rPr>
          <w:rFonts w:ascii="Cambria" w:hAnsi="Cambria"/>
          <w:sz w:val="20"/>
          <w:szCs w:val="20"/>
        </w:rPr>
        <w:t>examine los fundamentos de la medida</w:t>
      </w:r>
      <w:r w:rsidR="002A57F8">
        <w:rPr>
          <w:rFonts w:ascii="Cambria" w:hAnsi="Cambria"/>
          <w:sz w:val="20"/>
          <w:szCs w:val="20"/>
        </w:rPr>
        <w:t xml:space="preserve">. En caso de que el </w:t>
      </w:r>
      <w:r w:rsidR="002A57F8" w:rsidRPr="00357FF9">
        <w:rPr>
          <w:rFonts w:ascii="Cambria" w:hAnsi="Cambria"/>
          <w:sz w:val="20"/>
          <w:szCs w:val="20"/>
        </w:rPr>
        <w:t xml:space="preserve">tribunal encontrare fundada la solicitud de la víctima, puede ordenar el envío de las actuaciones al Fiscal Superior para que éste ordene </w:t>
      </w:r>
      <w:r w:rsidR="002A57F8">
        <w:rPr>
          <w:rFonts w:ascii="Cambria" w:hAnsi="Cambria"/>
          <w:sz w:val="20"/>
          <w:szCs w:val="20"/>
        </w:rPr>
        <w:t>que</w:t>
      </w:r>
      <w:r w:rsidR="002A57F8" w:rsidRPr="00357FF9">
        <w:rPr>
          <w:rFonts w:ascii="Cambria" w:hAnsi="Cambria"/>
          <w:sz w:val="20"/>
          <w:szCs w:val="20"/>
        </w:rPr>
        <w:t xml:space="preserve"> otro </w:t>
      </w:r>
      <w:r w:rsidR="002A57F8">
        <w:rPr>
          <w:rFonts w:ascii="Cambria" w:hAnsi="Cambria"/>
          <w:sz w:val="20"/>
          <w:szCs w:val="20"/>
        </w:rPr>
        <w:t>f</w:t>
      </w:r>
      <w:r w:rsidR="002A57F8" w:rsidRPr="00357FF9">
        <w:rPr>
          <w:rFonts w:ascii="Cambria" w:hAnsi="Cambria"/>
          <w:sz w:val="20"/>
          <w:szCs w:val="20"/>
        </w:rPr>
        <w:t xml:space="preserve">iscal realice lo pertinente. </w:t>
      </w:r>
      <w:r>
        <w:rPr>
          <w:rFonts w:ascii="Cambria" w:hAnsi="Cambria"/>
          <w:sz w:val="20"/>
          <w:szCs w:val="20"/>
        </w:rPr>
        <w:t>El</w:t>
      </w:r>
      <w:r w:rsidR="002A57F8">
        <w:rPr>
          <w:rFonts w:ascii="Cambria" w:hAnsi="Cambria"/>
          <w:sz w:val="20"/>
          <w:szCs w:val="20"/>
        </w:rPr>
        <w:t xml:space="preserve"> Estado sostiene </w:t>
      </w:r>
      <w:r w:rsidR="002A57F8" w:rsidRPr="00357FF9">
        <w:rPr>
          <w:rFonts w:ascii="Cambria" w:hAnsi="Cambria"/>
          <w:sz w:val="20"/>
          <w:szCs w:val="20"/>
        </w:rPr>
        <w:t xml:space="preserve">que los peticionarios no </w:t>
      </w:r>
      <w:r w:rsidR="002A57F8">
        <w:rPr>
          <w:rFonts w:ascii="Cambria" w:hAnsi="Cambria"/>
          <w:sz w:val="20"/>
          <w:szCs w:val="20"/>
        </w:rPr>
        <w:t>habrían hecho</w:t>
      </w:r>
      <w:r w:rsidR="002A57F8" w:rsidRPr="00357FF9">
        <w:rPr>
          <w:rFonts w:ascii="Cambria" w:hAnsi="Cambria"/>
          <w:sz w:val="20"/>
          <w:szCs w:val="20"/>
        </w:rPr>
        <w:t xml:space="preserve"> uso de estas facultades a fin de reabrir la </w:t>
      </w:r>
      <w:r w:rsidR="002A57F8" w:rsidRPr="007D5516">
        <w:rPr>
          <w:rFonts w:ascii="Cambria" w:hAnsi="Cambria"/>
          <w:sz w:val="20"/>
          <w:szCs w:val="20"/>
        </w:rPr>
        <w:t>investigación por tortura.</w:t>
      </w:r>
      <w:r w:rsidR="002A57F8" w:rsidRPr="006E2311">
        <w:rPr>
          <w:rFonts w:ascii="Cambria" w:hAnsi="Cambria"/>
          <w:sz w:val="20"/>
          <w:szCs w:val="20"/>
        </w:rPr>
        <w:t xml:space="preserve"> </w:t>
      </w:r>
    </w:p>
    <w:p w14:paraId="416AC672" w14:textId="77777777" w:rsidR="002A57F8" w:rsidRPr="00D705AB" w:rsidRDefault="002A57F8" w:rsidP="00D705AB">
      <w:pPr>
        <w:rPr>
          <w:sz w:val="20"/>
          <w:szCs w:val="20"/>
          <w:lang w:val="es-AR"/>
        </w:rPr>
      </w:pPr>
    </w:p>
    <w:p w14:paraId="3234ABC4" w14:textId="265F1FC8" w:rsidR="002A57F8" w:rsidRPr="00AD0A23" w:rsidRDefault="008A7389" w:rsidP="00AD0A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Cambria" w:hAnsi="Cambria"/>
          <w:sz w:val="20"/>
          <w:szCs w:val="20"/>
          <w:lang w:val="es-AR"/>
        </w:rPr>
        <w:t>E</w:t>
      </w:r>
      <w:r w:rsidR="00DB6531">
        <w:rPr>
          <w:rFonts w:ascii="Cambria" w:hAnsi="Cambria"/>
          <w:sz w:val="20"/>
          <w:szCs w:val="20"/>
          <w:lang w:val="es-AR"/>
        </w:rPr>
        <w:t xml:space="preserve"> Estado</w:t>
      </w:r>
      <w:r w:rsidR="005F25F8" w:rsidRPr="005F25F8">
        <w:rPr>
          <w:rFonts w:ascii="Cambria" w:hAnsi="Cambria"/>
          <w:sz w:val="20"/>
          <w:szCs w:val="20"/>
          <w:lang w:val="es-AR"/>
        </w:rPr>
        <w:t xml:space="preserve"> </w:t>
      </w:r>
      <w:r w:rsidR="005F25F8">
        <w:rPr>
          <w:rFonts w:ascii="Cambria" w:hAnsi="Cambria"/>
          <w:sz w:val="20"/>
          <w:szCs w:val="20"/>
          <w:lang w:val="es-AR"/>
        </w:rPr>
        <w:t>concluye que</w:t>
      </w:r>
      <w:r>
        <w:rPr>
          <w:rFonts w:ascii="Cambria" w:hAnsi="Cambria"/>
          <w:sz w:val="20"/>
          <w:szCs w:val="20"/>
          <w:lang w:val="es-AR"/>
        </w:rPr>
        <w:t xml:space="preserve">, </w:t>
      </w:r>
      <w:r>
        <w:rPr>
          <w:rFonts w:ascii="Cambria" w:hAnsi="Cambria"/>
          <w:sz w:val="20"/>
          <w:szCs w:val="20"/>
        </w:rPr>
        <w:t>en su conjunto,</w:t>
      </w:r>
      <w:r w:rsidR="00AD0A23">
        <w:rPr>
          <w:rFonts w:ascii="Cambria" w:hAnsi="Cambria"/>
          <w:sz w:val="20"/>
          <w:szCs w:val="20"/>
          <w:lang w:val="es-AR"/>
        </w:rPr>
        <w:t xml:space="preserve"> </w:t>
      </w:r>
      <w:r w:rsidR="002A57F8">
        <w:rPr>
          <w:rFonts w:ascii="Cambria" w:hAnsi="Cambria"/>
          <w:sz w:val="20"/>
          <w:szCs w:val="20"/>
        </w:rPr>
        <w:t>la falta de recusación a los fiscales, la falta de solicitud de reapertura de la investigación y la falta de cuestionamiento ante un juez de control</w:t>
      </w:r>
      <w:r w:rsidR="00AD0A23">
        <w:rPr>
          <w:rFonts w:ascii="Cambria" w:hAnsi="Cambria"/>
          <w:sz w:val="20"/>
          <w:szCs w:val="20"/>
        </w:rPr>
        <w:t xml:space="preserve">, </w:t>
      </w:r>
      <w:r w:rsidR="002A57F8">
        <w:rPr>
          <w:rFonts w:ascii="Cambria" w:hAnsi="Cambria"/>
          <w:sz w:val="20"/>
          <w:szCs w:val="20"/>
        </w:rPr>
        <w:t>es indicativo de la inexis</w:t>
      </w:r>
      <w:r w:rsidR="00DB6531">
        <w:rPr>
          <w:rFonts w:ascii="Cambria" w:hAnsi="Cambria"/>
          <w:sz w:val="20"/>
          <w:szCs w:val="20"/>
        </w:rPr>
        <w:t>tencia de las torturas alegadas</w:t>
      </w:r>
      <w:r w:rsidR="002A57F8">
        <w:rPr>
          <w:rFonts w:ascii="Cambria" w:hAnsi="Cambria"/>
          <w:sz w:val="20"/>
          <w:szCs w:val="20"/>
        </w:rPr>
        <w:t xml:space="preserve"> y “en todo caso demuestra la intención caprichosa de no pretender el agotamiento de los recursos internos”.</w:t>
      </w:r>
    </w:p>
    <w:p w14:paraId="65A51F8F" w14:textId="77777777" w:rsidR="002A57F8" w:rsidRPr="002A57F8" w:rsidRDefault="002A57F8" w:rsidP="002A57F8">
      <w:pPr>
        <w:pStyle w:val="ListParagraph"/>
        <w:rPr>
          <w:sz w:val="20"/>
          <w:szCs w:val="20"/>
          <w:lang w:val="es-AR"/>
        </w:rPr>
      </w:pPr>
    </w:p>
    <w:p w14:paraId="0AB89EB9" w14:textId="6069F8CB" w:rsidR="002A57F8" w:rsidRPr="00F1467B" w:rsidRDefault="002A57F8" w:rsidP="002A57F8">
      <w:pPr>
        <w:pStyle w:val="ListParagraph"/>
        <w:ind w:left="1440" w:hanging="720"/>
        <w:rPr>
          <w:i/>
          <w:color w:val="auto"/>
          <w:sz w:val="20"/>
          <w:szCs w:val="20"/>
          <w:lang w:val="es-AR"/>
        </w:rPr>
      </w:pPr>
      <w:r>
        <w:rPr>
          <w:sz w:val="20"/>
          <w:szCs w:val="20"/>
          <w:lang w:val="es-AR"/>
        </w:rPr>
        <w:t>c</w:t>
      </w:r>
      <w:r w:rsidRPr="008418D4">
        <w:rPr>
          <w:sz w:val="20"/>
          <w:szCs w:val="20"/>
          <w:lang w:val="es-AR"/>
        </w:rPr>
        <w:t>.</w:t>
      </w:r>
      <w:r w:rsidRPr="008418D4">
        <w:rPr>
          <w:i/>
          <w:sz w:val="20"/>
          <w:szCs w:val="20"/>
          <w:lang w:val="es-AR"/>
        </w:rPr>
        <w:t xml:space="preserve"> </w:t>
      </w:r>
      <w:r w:rsidRPr="008418D4">
        <w:rPr>
          <w:i/>
          <w:sz w:val="20"/>
          <w:szCs w:val="20"/>
          <w:lang w:val="es-AR"/>
        </w:rPr>
        <w:tab/>
      </w:r>
      <w:r w:rsidRPr="00F1467B">
        <w:rPr>
          <w:i/>
          <w:color w:val="auto"/>
          <w:sz w:val="20"/>
          <w:szCs w:val="20"/>
          <w:lang w:val="es-AR"/>
        </w:rPr>
        <w:t>Proceso penal por el homicidio del fiscal Danilo Baltasar Anderson</w:t>
      </w:r>
    </w:p>
    <w:p w14:paraId="63E5BEEA" w14:textId="77777777" w:rsidR="00E91E33" w:rsidRPr="00357FF9" w:rsidRDefault="00E91E33" w:rsidP="009F2AE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4C1CC3D1" w14:textId="18F9B6E4" w:rsidR="009F0D4F" w:rsidRDefault="005C0FC5" w:rsidP="009F0D4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Theme="majorHAnsi" w:hAnsiTheme="majorHAnsi"/>
          <w:sz w:val="20"/>
          <w:szCs w:val="20"/>
        </w:rPr>
      </w:pPr>
      <w:r w:rsidRPr="009F0D4F">
        <w:rPr>
          <w:rFonts w:asciiTheme="majorHAnsi" w:hAnsiTheme="majorHAnsi"/>
          <w:sz w:val="20"/>
          <w:szCs w:val="20"/>
        </w:rPr>
        <w:t xml:space="preserve">En relación con el proceso penal </w:t>
      </w:r>
      <w:r w:rsidR="00306BCB" w:rsidRPr="009F0D4F">
        <w:rPr>
          <w:rFonts w:asciiTheme="majorHAnsi" w:hAnsiTheme="majorHAnsi"/>
          <w:sz w:val="20"/>
          <w:szCs w:val="20"/>
        </w:rPr>
        <w:t xml:space="preserve">por el homicidio del fiscal </w:t>
      </w:r>
      <w:r w:rsidR="00695971" w:rsidRPr="009F0D4F">
        <w:rPr>
          <w:rFonts w:asciiTheme="majorHAnsi" w:hAnsiTheme="majorHAnsi"/>
          <w:sz w:val="20"/>
          <w:szCs w:val="20"/>
        </w:rPr>
        <w:t>Danilo Baltasar</w:t>
      </w:r>
      <w:r w:rsidR="00306BCB" w:rsidRPr="009F0D4F">
        <w:rPr>
          <w:rFonts w:asciiTheme="majorHAnsi" w:hAnsiTheme="majorHAnsi"/>
          <w:sz w:val="20"/>
          <w:szCs w:val="20"/>
        </w:rPr>
        <w:t xml:space="preserve"> Anderson</w:t>
      </w:r>
      <w:r w:rsidR="00CC4E61" w:rsidRPr="009F0D4F">
        <w:rPr>
          <w:rFonts w:asciiTheme="majorHAnsi" w:hAnsiTheme="majorHAnsi"/>
          <w:sz w:val="20"/>
          <w:szCs w:val="20"/>
        </w:rPr>
        <w:t>,</w:t>
      </w:r>
      <w:r w:rsidR="00306BCB" w:rsidRPr="009F0D4F">
        <w:rPr>
          <w:rFonts w:asciiTheme="majorHAnsi" w:hAnsiTheme="majorHAnsi"/>
          <w:sz w:val="20"/>
          <w:szCs w:val="20"/>
        </w:rPr>
        <w:t xml:space="preserve"> </w:t>
      </w:r>
      <w:r w:rsidRPr="009F0D4F">
        <w:rPr>
          <w:rFonts w:asciiTheme="majorHAnsi" w:hAnsiTheme="majorHAnsi"/>
          <w:sz w:val="20"/>
          <w:szCs w:val="20"/>
        </w:rPr>
        <w:t>en el</w:t>
      </w:r>
      <w:r w:rsidR="00AD0A23">
        <w:rPr>
          <w:rFonts w:asciiTheme="majorHAnsi" w:hAnsiTheme="majorHAnsi"/>
          <w:sz w:val="20"/>
          <w:szCs w:val="20"/>
        </w:rPr>
        <w:t xml:space="preserve"> marco del</w:t>
      </w:r>
      <w:r w:rsidRPr="009F0D4F">
        <w:rPr>
          <w:rFonts w:asciiTheme="majorHAnsi" w:hAnsiTheme="majorHAnsi"/>
          <w:sz w:val="20"/>
          <w:szCs w:val="20"/>
        </w:rPr>
        <w:t xml:space="preserve"> cual las presuntas víctimas fueron condenadas, </w:t>
      </w:r>
      <w:r w:rsidR="00C67385" w:rsidRPr="009F0D4F">
        <w:rPr>
          <w:rFonts w:asciiTheme="majorHAnsi" w:hAnsiTheme="majorHAnsi"/>
          <w:sz w:val="20"/>
          <w:szCs w:val="20"/>
        </w:rPr>
        <w:t xml:space="preserve">el Estado </w:t>
      </w:r>
      <w:r w:rsidR="00E91E33" w:rsidRPr="009F0D4F">
        <w:rPr>
          <w:rFonts w:asciiTheme="majorHAnsi" w:hAnsiTheme="majorHAnsi"/>
          <w:sz w:val="20"/>
          <w:szCs w:val="20"/>
        </w:rPr>
        <w:t>aleg</w:t>
      </w:r>
      <w:r w:rsidR="00FF1ABF" w:rsidRPr="009F0D4F">
        <w:rPr>
          <w:rFonts w:asciiTheme="majorHAnsi" w:hAnsiTheme="majorHAnsi"/>
          <w:sz w:val="20"/>
          <w:szCs w:val="20"/>
        </w:rPr>
        <w:t xml:space="preserve">a que aún </w:t>
      </w:r>
      <w:r w:rsidR="00E91E33" w:rsidRPr="009F0D4F">
        <w:rPr>
          <w:rFonts w:asciiTheme="majorHAnsi" w:hAnsiTheme="majorHAnsi"/>
          <w:sz w:val="20"/>
          <w:szCs w:val="20"/>
        </w:rPr>
        <w:t>pueden interponer</w:t>
      </w:r>
      <w:r w:rsidRPr="009F0D4F">
        <w:rPr>
          <w:rFonts w:asciiTheme="majorHAnsi" w:hAnsiTheme="majorHAnsi"/>
          <w:sz w:val="20"/>
          <w:szCs w:val="20"/>
        </w:rPr>
        <w:t>se</w:t>
      </w:r>
      <w:r w:rsidR="00E91E33" w:rsidRPr="009F0D4F">
        <w:rPr>
          <w:rFonts w:asciiTheme="majorHAnsi" w:hAnsiTheme="majorHAnsi"/>
          <w:sz w:val="20"/>
          <w:szCs w:val="20"/>
        </w:rPr>
        <w:t xml:space="preserve"> recursos en la etapa de ejecución</w:t>
      </w:r>
      <w:r w:rsidR="004F60DD" w:rsidRPr="009F0D4F">
        <w:rPr>
          <w:rFonts w:asciiTheme="majorHAnsi" w:hAnsiTheme="majorHAnsi"/>
          <w:sz w:val="20"/>
          <w:szCs w:val="20"/>
        </w:rPr>
        <w:t xml:space="preserve"> de sentencia</w:t>
      </w:r>
      <w:r w:rsidRPr="009F0D4F">
        <w:rPr>
          <w:rFonts w:asciiTheme="majorHAnsi" w:hAnsiTheme="majorHAnsi"/>
          <w:sz w:val="20"/>
          <w:szCs w:val="20"/>
        </w:rPr>
        <w:t>, lo</w:t>
      </w:r>
      <w:r w:rsidR="00AD0A23">
        <w:rPr>
          <w:rFonts w:asciiTheme="majorHAnsi" w:hAnsiTheme="majorHAnsi"/>
          <w:sz w:val="20"/>
          <w:szCs w:val="20"/>
        </w:rPr>
        <w:t xml:space="preserve"> cual no ha ocurrido</w:t>
      </w:r>
      <w:r w:rsidRPr="009F0D4F">
        <w:rPr>
          <w:rFonts w:asciiTheme="majorHAnsi" w:hAnsiTheme="majorHAnsi"/>
          <w:sz w:val="20"/>
          <w:szCs w:val="20"/>
        </w:rPr>
        <w:t xml:space="preserve">. </w:t>
      </w:r>
      <w:r w:rsidR="009F0D4F" w:rsidRPr="009F0D4F">
        <w:rPr>
          <w:rFonts w:asciiTheme="majorHAnsi" w:hAnsiTheme="majorHAnsi"/>
          <w:sz w:val="20"/>
          <w:szCs w:val="20"/>
        </w:rPr>
        <w:t xml:space="preserve">Específicamente alega que </w:t>
      </w:r>
      <w:r w:rsidR="00DB6531">
        <w:rPr>
          <w:rFonts w:asciiTheme="majorHAnsi" w:hAnsiTheme="majorHAnsi"/>
          <w:sz w:val="20"/>
          <w:szCs w:val="20"/>
        </w:rPr>
        <w:t xml:space="preserve">los peticionarios </w:t>
      </w:r>
      <w:r w:rsidR="009F0D4F" w:rsidRPr="009F0D4F">
        <w:rPr>
          <w:rFonts w:asciiTheme="majorHAnsi" w:hAnsiTheme="majorHAnsi"/>
          <w:sz w:val="20"/>
          <w:szCs w:val="20"/>
        </w:rPr>
        <w:t xml:space="preserve">no habrían hecho uso del recurso de revisión de sentencia, establecido en el artículo 470 del Código Orgánico Procesal Penal, el cual procede contra sentencia firme y persigue el objetivo de nulificar la sentencia y absolver consecuentemente al penado. </w:t>
      </w:r>
    </w:p>
    <w:p w14:paraId="4FC835D4" w14:textId="77777777" w:rsidR="0040462A" w:rsidRDefault="0040462A" w:rsidP="004046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27D6830F" w14:textId="6A0B3317" w:rsidR="0040462A" w:rsidRDefault="0040462A" w:rsidP="004046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357FF9">
        <w:rPr>
          <w:rFonts w:ascii="Cambria" w:hAnsi="Cambria"/>
          <w:sz w:val="20"/>
          <w:szCs w:val="20"/>
        </w:rPr>
        <w:t>En cuanto a las presuntas vulneraciones al artículo 8 de la Convención Americana, el Estado alega que las presuntas víctimas fueron escuchad</w:t>
      </w:r>
      <w:r>
        <w:rPr>
          <w:rFonts w:ascii="Cambria" w:hAnsi="Cambria"/>
          <w:sz w:val="20"/>
          <w:szCs w:val="20"/>
        </w:rPr>
        <w:t>a</w:t>
      </w:r>
      <w:r w:rsidRPr="00357FF9">
        <w:rPr>
          <w:rFonts w:ascii="Cambria" w:hAnsi="Cambria"/>
          <w:sz w:val="20"/>
          <w:szCs w:val="20"/>
        </w:rPr>
        <w:t xml:space="preserve">s por </w:t>
      </w:r>
      <w:r w:rsidR="00077CA0">
        <w:rPr>
          <w:rFonts w:ascii="Cambria" w:hAnsi="Cambria"/>
          <w:sz w:val="20"/>
          <w:szCs w:val="20"/>
        </w:rPr>
        <w:t>un</w:t>
      </w:r>
      <w:r w:rsidRPr="00357FF9">
        <w:rPr>
          <w:rFonts w:ascii="Cambria" w:hAnsi="Cambria"/>
          <w:sz w:val="20"/>
          <w:szCs w:val="20"/>
        </w:rPr>
        <w:t xml:space="preserve"> juez natural, por tribunales competentes previamente establecidos</w:t>
      </w:r>
      <w:r>
        <w:rPr>
          <w:rFonts w:ascii="Cambria" w:hAnsi="Cambria"/>
          <w:sz w:val="20"/>
          <w:szCs w:val="20"/>
        </w:rPr>
        <w:t>,</w:t>
      </w:r>
      <w:r w:rsidRPr="00357FF9">
        <w:rPr>
          <w:rFonts w:ascii="Cambria" w:hAnsi="Cambria"/>
          <w:sz w:val="20"/>
          <w:szCs w:val="20"/>
        </w:rPr>
        <w:t xml:space="preserve"> independiente</w:t>
      </w:r>
      <w:r>
        <w:rPr>
          <w:rFonts w:ascii="Cambria" w:hAnsi="Cambria"/>
          <w:sz w:val="20"/>
          <w:szCs w:val="20"/>
        </w:rPr>
        <w:t>s</w:t>
      </w:r>
      <w:r w:rsidRPr="00357FF9">
        <w:rPr>
          <w:rFonts w:ascii="Cambria" w:hAnsi="Cambria"/>
          <w:sz w:val="20"/>
          <w:szCs w:val="20"/>
        </w:rPr>
        <w:t xml:space="preserve"> e imparciales y en plazos</w:t>
      </w:r>
      <w:r>
        <w:rPr>
          <w:rFonts w:ascii="Cambria" w:hAnsi="Cambria"/>
          <w:sz w:val="20"/>
          <w:szCs w:val="20"/>
        </w:rPr>
        <w:t xml:space="preserve"> razonables. Asimismo, afirmó que se había respetado </w:t>
      </w:r>
      <w:r w:rsidRPr="00357FF9">
        <w:rPr>
          <w:rFonts w:ascii="Cambria" w:hAnsi="Cambria"/>
          <w:sz w:val="20"/>
          <w:szCs w:val="20"/>
        </w:rPr>
        <w:t>la presunción de inocencia de los peticionarios</w:t>
      </w:r>
      <w:r>
        <w:rPr>
          <w:rFonts w:ascii="Cambria" w:hAnsi="Cambria"/>
          <w:sz w:val="20"/>
          <w:szCs w:val="20"/>
        </w:rPr>
        <w:t>,</w:t>
      </w:r>
      <w:r w:rsidRPr="00357FF9">
        <w:rPr>
          <w:rFonts w:ascii="Cambria" w:hAnsi="Cambria"/>
          <w:sz w:val="20"/>
          <w:szCs w:val="20"/>
        </w:rPr>
        <w:t xml:space="preserve"> con las limitaciones que impuso la medida privativa de libertad,</w:t>
      </w:r>
      <w:r>
        <w:rPr>
          <w:rFonts w:ascii="Cambria" w:hAnsi="Cambria"/>
          <w:sz w:val="20"/>
          <w:szCs w:val="20"/>
        </w:rPr>
        <w:t xml:space="preserve"> y que se había </w:t>
      </w:r>
      <w:r w:rsidRPr="00357FF9">
        <w:rPr>
          <w:rFonts w:ascii="Cambria" w:hAnsi="Cambria"/>
          <w:sz w:val="20"/>
          <w:szCs w:val="20"/>
        </w:rPr>
        <w:t>concedi</w:t>
      </w:r>
      <w:r>
        <w:rPr>
          <w:rFonts w:ascii="Cambria" w:hAnsi="Cambria"/>
          <w:sz w:val="20"/>
          <w:szCs w:val="20"/>
        </w:rPr>
        <w:t>d</w:t>
      </w:r>
      <w:r w:rsidRPr="00357FF9">
        <w:rPr>
          <w:rFonts w:ascii="Cambria" w:hAnsi="Cambria"/>
          <w:sz w:val="20"/>
          <w:szCs w:val="20"/>
        </w:rPr>
        <w:t>o a</w:t>
      </w:r>
      <w:r>
        <w:rPr>
          <w:rFonts w:ascii="Cambria" w:hAnsi="Cambria"/>
          <w:sz w:val="20"/>
          <w:szCs w:val="20"/>
        </w:rPr>
        <w:t xml:space="preserve"> </w:t>
      </w:r>
      <w:r w:rsidRPr="00357FF9">
        <w:rPr>
          <w:rFonts w:ascii="Cambria" w:hAnsi="Cambria"/>
          <w:sz w:val="20"/>
          <w:szCs w:val="20"/>
        </w:rPr>
        <w:t>l</w:t>
      </w:r>
      <w:r>
        <w:rPr>
          <w:rFonts w:ascii="Cambria" w:hAnsi="Cambria"/>
          <w:sz w:val="20"/>
          <w:szCs w:val="20"/>
        </w:rPr>
        <w:t>os</w:t>
      </w:r>
      <w:r w:rsidRPr="00357FF9">
        <w:rPr>
          <w:rFonts w:ascii="Cambria" w:hAnsi="Cambria"/>
          <w:sz w:val="20"/>
          <w:szCs w:val="20"/>
        </w:rPr>
        <w:t xml:space="preserve"> inculpado</w:t>
      </w:r>
      <w:r>
        <w:rPr>
          <w:rFonts w:ascii="Cambria" w:hAnsi="Cambria"/>
          <w:sz w:val="20"/>
          <w:szCs w:val="20"/>
        </w:rPr>
        <w:t>s</w:t>
      </w:r>
      <w:r w:rsidRPr="00357FF9">
        <w:rPr>
          <w:rFonts w:ascii="Cambria" w:hAnsi="Cambria"/>
          <w:sz w:val="20"/>
          <w:szCs w:val="20"/>
        </w:rPr>
        <w:t xml:space="preserve"> el tiempo y los medios para su defensa, </w:t>
      </w:r>
      <w:r>
        <w:rPr>
          <w:rFonts w:ascii="Cambria" w:hAnsi="Cambria"/>
          <w:sz w:val="20"/>
          <w:szCs w:val="20"/>
        </w:rPr>
        <w:t>que habían sido</w:t>
      </w:r>
      <w:r w:rsidRPr="00357FF9">
        <w:rPr>
          <w:rFonts w:ascii="Cambria" w:hAnsi="Cambria"/>
          <w:sz w:val="20"/>
          <w:szCs w:val="20"/>
        </w:rPr>
        <w:t xml:space="preserve"> asistidos por un defensor de su elección</w:t>
      </w:r>
      <w:r>
        <w:rPr>
          <w:rFonts w:ascii="Cambria" w:hAnsi="Cambria"/>
          <w:sz w:val="20"/>
          <w:szCs w:val="20"/>
        </w:rPr>
        <w:t>,</w:t>
      </w:r>
      <w:r w:rsidRPr="00357FF9">
        <w:rPr>
          <w:rFonts w:ascii="Cambria" w:hAnsi="Cambria"/>
          <w:sz w:val="20"/>
          <w:szCs w:val="20"/>
        </w:rPr>
        <w:t xml:space="preserve"> con quienes instauraron comunicación libre y privada,</w:t>
      </w:r>
      <w:r>
        <w:rPr>
          <w:rFonts w:ascii="Cambria" w:hAnsi="Cambria"/>
          <w:sz w:val="20"/>
          <w:szCs w:val="20"/>
        </w:rPr>
        <w:t xml:space="preserve"> que</w:t>
      </w:r>
      <w:r w:rsidRPr="00357FF9">
        <w:rPr>
          <w:rFonts w:ascii="Cambria" w:hAnsi="Cambria"/>
          <w:sz w:val="20"/>
          <w:szCs w:val="20"/>
        </w:rPr>
        <w:t xml:space="preserve"> tuvieron la oportunidad de interrogar testigos, </w:t>
      </w:r>
      <w:r>
        <w:rPr>
          <w:rFonts w:ascii="Cambria" w:hAnsi="Cambria"/>
          <w:sz w:val="20"/>
          <w:szCs w:val="20"/>
        </w:rPr>
        <w:t xml:space="preserve">que </w:t>
      </w:r>
      <w:r w:rsidRPr="00357FF9">
        <w:rPr>
          <w:rFonts w:ascii="Cambria" w:hAnsi="Cambria"/>
          <w:sz w:val="20"/>
          <w:szCs w:val="20"/>
        </w:rPr>
        <w:t>no fueron obligados a declarar con</w:t>
      </w:r>
      <w:r>
        <w:rPr>
          <w:rFonts w:ascii="Cambria" w:hAnsi="Cambria"/>
          <w:sz w:val="20"/>
          <w:szCs w:val="20"/>
        </w:rPr>
        <w:t>tra sí</w:t>
      </w:r>
      <w:r w:rsidRPr="00357FF9">
        <w:rPr>
          <w:rFonts w:ascii="Cambria" w:hAnsi="Cambria"/>
          <w:sz w:val="20"/>
          <w:szCs w:val="20"/>
        </w:rPr>
        <w:t xml:space="preserve"> mismos ni a declarars</w:t>
      </w:r>
      <w:r>
        <w:rPr>
          <w:rFonts w:ascii="Cambria" w:hAnsi="Cambria"/>
          <w:sz w:val="20"/>
          <w:szCs w:val="20"/>
        </w:rPr>
        <w:t xml:space="preserve">e culpables, que pudieron recurrir </w:t>
      </w:r>
      <w:r w:rsidRPr="00357FF9">
        <w:rPr>
          <w:rFonts w:ascii="Cambria" w:hAnsi="Cambria"/>
          <w:sz w:val="20"/>
          <w:szCs w:val="20"/>
        </w:rPr>
        <w:t xml:space="preserve">del fallo ante el juez superior </w:t>
      </w:r>
      <w:r>
        <w:rPr>
          <w:rFonts w:ascii="Cambria" w:hAnsi="Cambria"/>
          <w:sz w:val="20"/>
          <w:szCs w:val="20"/>
        </w:rPr>
        <w:t>y que</w:t>
      </w:r>
      <w:r w:rsidRPr="00357FF9">
        <w:rPr>
          <w:rFonts w:ascii="Cambria" w:hAnsi="Cambria"/>
          <w:sz w:val="20"/>
          <w:szCs w:val="20"/>
        </w:rPr>
        <w:t xml:space="preserve"> incluso controlaron la actividad d</w:t>
      </w:r>
      <w:r>
        <w:rPr>
          <w:rFonts w:ascii="Cambria" w:hAnsi="Cambria"/>
          <w:sz w:val="20"/>
          <w:szCs w:val="20"/>
        </w:rPr>
        <w:t xml:space="preserve">e los </w:t>
      </w:r>
      <w:r w:rsidRPr="004A7603">
        <w:rPr>
          <w:rFonts w:ascii="Cambria" w:hAnsi="Cambria"/>
          <w:sz w:val="20"/>
          <w:szCs w:val="20"/>
        </w:rPr>
        <w:t>jueces mediante casación.</w:t>
      </w:r>
      <w:r w:rsidRPr="00357FF9">
        <w:rPr>
          <w:rFonts w:ascii="Cambria" w:hAnsi="Cambria"/>
          <w:sz w:val="20"/>
          <w:szCs w:val="20"/>
        </w:rPr>
        <w:t xml:space="preserve"> </w:t>
      </w:r>
    </w:p>
    <w:p w14:paraId="6B6EB1A2" w14:textId="77777777" w:rsidR="0040462A" w:rsidRPr="006941C8" w:rsidRDefault="0040462A" w:rsidP="0040462A">
      <w:pPr>
        <w:pStyle w:val="ListParagraph"/>
        <w:rPr>
          <w:sz w:val="20"/>
          <w:szCs w:val="20"/>
          <w:lang w:val="es-AR"/>
        </w:rPr>
      </w:pPr>
    </w:p>
    <w:p w14:paraId="10A1963B" w14:textId="77777777" w:rsidR="0040462A" w:rsidRDefault="0040462A" w:rsidP="004046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6B4172">
        <w:rPr>
          <w:rFonts w:ascii="Cambria" w:hAnsi="Cambria"/>
          <w:sz w:val="20"/>
          <w:szCs w:val="20"/>
        </w:rPr>
        <w:t xml:space="preserve">En relación con el hecho de que las presuntas víctimas hubieran sido condenadas por un </w:t>
      </w:r>
      <w:r>
        <w:rPr>
          <w:rFonts w:ascii="Cambria" w:hAnsi="Cambria"/>
          <w:sz w:val="20"/>
          <w:szCs w:val="20"/>
        </w:rPr>
        <w:t>juzgado en conformación</w:t>
      </w:r>
      <w:r w:rsidRPr="006B4172">
        <w:rPr>
          <w:rFonts w:ascii="Cambria" w:hAnsi="Cambria"/>
          <w:sz w:val="20"/>
          <w:szCs w:val="20"/>
        </w:rPr>
        <w:t xml:space="preserve"> unipersonal, el Estado </w:t>
      </w:r>
      <w:r>
        <w:rPr>
          <w:rFonts w:ascii="Cambria" w:hAnsi="Cambria"/>
          <w:sz w:val="20"/>
          <w:szCs w:val="20"/>
        </w:rPr>
        <w:t>ofreció</w:t>
      </w:r>
      <w:r w:rsidRPr="006B4172">
        <w:rPr>
          <w:rFonts w:ascii="Cambria" w:hAnsi="Cambria"/>
          <w:sz w:val="20"/>
          <w:szCs w:val="20"/>
        </w:rPr>
        <w:t xml:space="preserve"> una reseña sobre la evolución del instituto del escabinado en Venezuela, figura mediante la cual se incorporó al régimen procesal penal la participación de dos jueces</w:t>
      </w:r>
      <w:r>
        <w:rPr>
          <w:rFonts w:ascii="Cambria" w:hAnsi="Cambria"/>
          <w:sz w:val="20"/>
          <w:szCs w:val="20"/>
        </w:rPr>
        <w:t xml:space="preserve"> legos —denominados “escabinos”—</w:t>
      </w:r>
      <w:r w:rsidRPr="006B4172">
        <w:rPr>
          <w:rFonts w:ascii="Cambria" w:hAnsi="Cambria"/>
          <w:sz w:val="20"/>
          <w:szCs w:val="20"/>
        </w:rPr>
        <w:t xml:space="preserve"> llamados a determinar la culpabilidad del acusado junto con el juez profesional en </w:t>
      </w:r>
      <w:r>
        <w:rPr>
          <w:rFonts w:ascii="Cambria" w:hAnsi="Cambria"/>
          <w:sz w:val="20"/>
          <w:szCs w:val="20"/>
        </w:rPr>
        <w:t xml:space="preserve">la instancia de </w:t>
      </w:r>
      <w:r w:rsidRPr="006B4172">
        <w:rPr>
          <w:rFonts w:ascii="Cambria" w:hAnsi="Cambria"/>
          <w:sz w:val="20"/>
          <w:szCs w:val="20"/>
        </w:rPr>
        <w:t>juicio oral. En tal sentido, el Estado puntualizó que del artículo 164 del Código Civil se desprende que, solo después de realizadas cinco (5) convocatorias sin que se hubiera podido constituir el tribunal con escabinos, el acusado podría renunciar a su derecho de ser juzgado por jueces legos y ser juzgado únicamente por un juez profesional. Sin embargo, el Estado señaló que</w:t>
      </w:r>
      <w:r>
        <w:rPr>
          <w:rFonts w:ascii="Cambria" w:hAnsi="Cambria"/>
          <w:sz w:val="20"/>
          <w:szCs w:val="20"/>
        </w:rPr>
        <w:t>,</w:t>
      </w:r>
      <w:r w:rsidRPr="006B4172">
        <w:rPr>
          <w:rFonts w:ascii="Cambria" w:hAnsi="Cambria"/>
          <w:sz w:val="20"/>
          <w:szCs w:val="20"/>
        </w:rPr>
        <w:t xml:space="preserve"> el 22 de diciembre de 2003</w:t>
      </w:r>
      <w:r>
        <w:rPr>
          <w:rFonts w:ascii="Cambria" w:hAnsi="Cambria"/>
          <w:sz w:val="20"/>
          <w:szCs w:val="20"/>
        </w:rPr>
        <w:t xml:space="preserve">, </w:t>
      </w:r>
      <w:r w:rsidRPr="006B4172">
        <w:rPr>
          <w:rFonts w:ascii="Cambria" w:hAnsi="Cambria"/>
          <w:sz w:val="20"/>
          <w:szCs w:val="20"/>
        </w:rPr>
        <w:t>la Sala Constitucional del Tribunal Supremo de Justicia</w:t>
      </w:r>
      <w:r>
        <w:rPr>
          <w:rFonts w:ascii="Cambria" w:hAnsi="Cambria"/>
          <w:sz w:val="20"/>
          <w:szCs w:val="20"/>
        </w:rPr>
        <w:t xml:space="preserve"> modificó el criterio legislativo mediante sentencia vinculante</w:t>
      </w:r>
      <w:r w:rsidRPr="006B4172">
        <w:rPr>
          <w:rFonts w:ascii="Cambria" w:hAnsi="Cambria"/>
          <w:sz w:val="20"/>
          <w:szCs w:val="20"/>
        </w:rPr>
        <w:t>,</w:t>
      </w:r>
      <w:r>
        <w:rPr>
          <w:rFonts w:ascii="Cambria" w:hAnsi="Cambria"/>
          <w:sz w:val="20"/>
          <w:szCs w:val="20"/>
        </w:rPr>
        <w:t xml:space="preserve"> estableciendo que</w:t>
      </w:r>
      <w:r w:rsidRPr="006B4172">
        <w:rPr>
          <w:rFonts w:ascii="Cambria" w:hAnsi="Cambria"/>
          <w:sz w:val="20"/>
          <w:szCs w:val="20"/>
        </w:rPr>
        <w:t xml:space="preserve"> no constituiría ninguna irregularidad que un juez unipersonal se </w:t>
      </w:r>
      <w:r w:rsidRPr="006B4172">
        <w:rPr>
          <w:rFonts w:ascii="Cambria" w:hAnsi="Cambria"/>
          <w:sz w:val="20"/>
          <w:szCs w:val="20"/>
        </w:rPr>
        <w:lastRenderedPageBreak/>
        <w:t>constituya luego de dos</w:t>
      </w:r>
      <w:r>
        <w:rPr>
          <w:rFonts w:ascii="Cambria" w:hAnsi="Cambria"/>
          <w:sz w:val="20"/>
          <w:szCs w:val="20"/>
        </w:rPr>
        <w:t xml:space="preserve"> (2)</w:t>
      </w:r>
      <w:r w:rsidRPr="006B4172">
        <w:rPr>
          <w:rFonts w:ascii="Cambria" w:hAnsi="Cambria"/>
          <w:sz w:val="20"/>
          <w:szCs w:val="20"/>
        </w:rPr>
        <w:t xml:space="preserve"> convocatorias realizad</w:t>
      </w:r>
      <w:r>
        <w:rPr>
          <w:rFonts w:ascii="Cambria" w:hAnsi="Cambria"/>
          <w:sz w:val="20"/>
          <w:szCs w:val="20"/>
        </w:rPr>
        <w:t>a</w:t>
      </w:r>
      <w:r w:rsidRPr="006B4172">
        <w:rPr>
          <w:rFonts w:ascii="Cambria" w:hAnsi="Cambria"/>
          <w:sz w:val="20"/>
          <w:szCs w:val="20"/>
        </w:rPr>
        <w:t>s</w:t>
      </w:r>
      <w:r>
        <w:rPr>
          <w:rFonts w:ascii="Cambria" w:hAnsi="Cambria"/>
          <w:sz w:val="20"/>
          <w:szCs w:val="20"/>
        </w:rPr>
        <w:t xml:space="preserve"> —en lugar de cinco—</w:t>
      </w:r>
      <w:r w:rsidRPr="006B4172">
        <w:rPr>
          <w:rFonts w:ascii="Cambria" w:hAnsi="Cambria"/>
          <w:sz w:val="20"/>
          <w:szCs w:val="20"/>
        </w:rPr>
        <w:t xml:space="preserve"> sin que </w:t>
      </w:r>
      <w:r w:rsidRPr="005107E2">
        <w:rPr>
          <w:rFonts w:ascii="Cambria" w:hAnsi="Cambria"/>
          <w:sz w:val="20"/>
          <w:szCs w:val="20"/>
        </w:rPr>
        <w:t>los escabinos</w:t>
      </w:r>
      <w:r w:rsidRPr="006B4172">
        <w:rPr>
          <w:rFonts w:ascii="Cambria" w:hAnsi="Cambria"/>
          <w:sz w:val="20"/>
          <w:szCs w:val="20"/>
        </w:rPr>
        <w:t xml:space="preserve"> </w:t>
      </w:r>
      <w:r>
        <w:rPr>
          <w:rFonts w:ascii="Cambria" w:hAnsi="Cambria"/>
          <w:sz w:val="20"/>
          <w:szCs w:val="20"/>
        </w:rPr>
        <w:t>hubieran</w:t>
      </w:r>
      <w:r w:rsidRPr="006B4172">
        <w:rPr>
          <w:rFonts w:ascii="Cambria" w:hAnsi="Cambria"/>
          <w:sz w:val="20"/>
          <w:szCs w:val="20"/>
        </w:rPr>
        <w:t xml:space="preserve"> comparecido, tal como habría ocurrido en este caso.</w:t>
      </w:r>
      <w:r>
        <w:rPr>
          <w:rFonts w:ascii="Cambria" w:hAnsi="Cambria"/>
          <w:sz w:val="20"/>
          <w:szCs w:val="20"/>
        </w:rPr>
        <w:t xml:space="preserve"> Afirma el Estado que fue a tenor de estas interpretaciones que el Juzgado 20° prescindió de los escabinos. </w:t>
      </w:r>
    </w:p>
    <w:p w14:paraId="220D0B02" w14:textId="77777777" w:rsidR="0040462A" w:rsidRDefault="0040462A" w:rsidP="0040462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281AD127" w14:textId="2112C0FF" w:rsidR="0040462A" w:rsidRPr="009F0D4F" w:rsidRDefault="0040462A" w:rsidP="0040462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Theme="majorHAnsi" w:hAnsiTheme="majorHAnsi"/>
          <w:sz w:val="20"/>
          <w:szCs w:val="20"/>
        </w:rPr>
      </w:pPr>
      <w:r>
        <w:rPr>
          <w:rFonts w:ascii="Cambria" w:hAnsi="Cambria"/>
          <w:sz w:val="20"/>
          <w:szCs w:val="20"/>
        </w:rPr>
        <w:t xml:space="preserve">No obstante, sostiene el Estado, los peticionarios habrían apelado la decisión, siendo resuelto dicho recurso el 16 de septiembre de 2005 por la </w:t>
      </w:r>
      <w:r w:rsidRPr="00336B41">
        <w:rPr>
          <w:rFonts w:asciiTheme="majorHAnsi" w:hAnsiTheme="majorHAnsi" w:cs="Calibri"/>
          <w:sz w:val="20"/>
          <w:szCs w:val="20"/>
        </w:rPr>
        <w:t>Sala 7</w:t>
      </w:r>
      <w:r w:rsidRPr="0040462A">
        <w:rPr>
          <w:rFonts w:asciiTheme="majorHAnsi" w:hAnsiTheme="majorHAnsi" w:cs="Calibri"/>
          <w:sz w:val="20"/>
          <w:szCs w:val="20"/>
          <w:vertAlign w:val="superscript"/>
        </w:rPr>
        <w:t>a</w:t>
      </w:r>
      <w:r w:rsidRPr="00336B41">
        <w:rPr>
          <w:rFonts w:asciiTheme="majorHAnsi" w:hAnsiTheme="majorHAnsi" w:cs="Calibri"/>
          <w:sz w:val="20"/>
          <w:szCs w:val="20"/>
        </w:rPr>
        <w:t xml:space="preserve"> de la Corte de Apelaciones</w:t>
      </w:r>
      <w:r>
        <w:rPr>
          <w:rFonts w:ascii="Cambria" w:hAnsi="Cambria"/>
          <w:sz w:val="20"/>
          <w:szCs w:val="20"/>
        </w:rPr>
        <w:t>. Al respecto, el Estado alega que para que el órgano jurisdiccional sea considerado natural “sólo es necesario que exista competencia material y territorial, y que preexista al suceso objeto del proceso”.</w:t>
      </w:r>
    </w:p>
    <w:p w14:paraId="547B069C" w14:textId="77777777" w:rsidR="00FF1ABF" w:rsidRPr="00357FF9" w:rsidRDefault="00FF1ABF" w:rsidP="009F0D4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1875010A" w14:textId="1C8B17C7" w:rsidR="005278D7" w:rsidRPr="009F2AE6" w:rsidRDefault="00FF1ABF" w:rsidP="009F2AE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357FF9">
        <w:rPr>
          <w:rFonts w:ascii="Cambria" w:hAnsi="Cambria"/>
          <w:sz w:val="20"/>
          <w:szCs w:val="20"/>
        </w:rPr>
        <w:t xml:space="preserve">En </w:t>
      </w:r>
      <w:r w:rsidRPr="00FF0960">
        <w:rPr>
          <w:rFonts w:ascii="Cambria" w:hAnsi="Cambria"/>
          <w:sz w:val="20"/>
          <w:szCs w:val="20"/>
        </w:rPr>
        <w:t>cuanto</w:t>
      </w:r>
      <w:r w:rsidR="00C67385" w:rsidRPr="00FF0960">
        <w:rPr>
          <w:rFonts w:ascii="Cambria" w:hAnsi="Cambria"/>
          <w:sz w:val="20"/>
          <w:szCs w:val="20"/>
        </w:rPr>
        <w:t xml:space="preserve"> al amparo</w:t>
      </w:r>
      <w:r w:rsidR="002A78D0" w:rsidRPr="00FF0960">
        <w:rPr>
          <w:rFonts w:ascii="Cambria" w:hAnsi="Cambria"/>
          <w:sz w:val="20"/>
          <w:szCs w:val="20"/>
        </w:rPr>
        <w:t xml:space="preserve"> </w:t>
      </w:r>
      <w:r w:rsidR="00CE7BB6" w:rsidRPr="00FF0960">
        <w:rPr>
          <w:rFonts w:ascii="Cambria" w:hAnsi="Cambria"/>
          <w:sz w:val="20"/>
          <w:szCs w:val="20"/>
        </w:rPr>
        <w:t xml:space="preserve">interpuesto el 24 de enero de 2005 </w:t>
      </w:r>
      <w:r w:rsidR="00D47D30" w:rsidRPr="00FF0960">
        <w:rPr>
          <w:rFonts w:ascii="Cambria" w:hAnsi="Cambria"/>
          <w:sz w:val="20"/>
          <w:szCs w:val="20"/>
        </w:rPr>
        <w:t>ante</w:t>
      </w:r>
      <w:r w:rsidR="00CE7BB6">
        <w:rPr>
          <w:rFonts w:ascii="Cambria" w:hAnsi="Cambria"/>
          <w:sz w:val="20"/>
          <w:szCs w:val="20"/>
        </w:rPr>
        <w:t xml:space="preserve"> la alegada imposibilidad de acceder a las pruebas de fundamentación de la acusación</w:t>
      </w:r>
      <w:r w:rsidR="00C67385">
        <w:rPr>
          <w:rFonts w:ascii="Cambria" w:hAnsi="Cambria"/>
          <w:sz w:val="20"/>
          <w:szCs w:val="20"/>
        </w:rPr>
        <w:t>, sostiene</w:t>
      </w:r>
      <w:r w:rsidRPr="00357FF9">
        <w:rPr>
          <w:rFonts w:ascii="Cambria" w:hAnsi="Cambria"/>
          <w:sz w:val="20"/>
          <w:szCs w:val="20"/>
        </w:rPr>
        <w:t xml:space="preserve"> </w:t>
      </w:r>
      <w:r w:rsidR="008E5124">
        <w:rPr>
          <w:rFonts w:ascii="Cambria" w:hAnsi="Cambria"/>
          <w:sz w:val="20"/>
          <w:szCs w:val="20"/>
        </w:rPr>
        <w:t xml:space="preserve">el Estado </w:t>
      </w:r>
      <w:r w:rsidRPr="00357FF9">
        <w:rPr>
          <w:rFonts w:ascii="Cambria" w:hAnsi="Cambria"/>
          <w:sz w:val="20"/>
          <w:szCs w:val="20"/>
        </w:rPr>
        <w:t>que los peticionarios no</w:t>
      </w:r>
      <w:r w:rsidR="004F60DD">
        <w:rPr>
          <w:rFonts w:ascii="Cambria" w:hAnsi="Cambria"/>
          <w:sz w:val="20"/>
          <w:szCs w:val="20"/>
        </w:rPr>
        <w:t xml:space="preserve"> habrían </w:t>
      </w:r>
      <w:r w:rsidR="002A78D0">
        <w:rPr>
          <w:rFonts w:ascii="Cambria" w:hAnsi="Cambria"/>
          <w:sz w:val="20"/>
          <w:szCs w:val="20"/>
        </w:rPr>
        <w:t xml:space="preserve">apelado </w:t>
      </w:r>
      <w:r w:rsidRPr="00357FF9">
        <w:rPr>
          <w:rFonts w:ascii="Cambria" w:hAnsi="Cambria"/>
          <w:sz w:val="20"/>
          <w:szCs w:val="20"/>
        </w:rPr>
        <w:t xml:space="preserve">la decisión </w:t>
      </w:r>
      <w:r w:rsidR="00CE7BB6">
        <w:rPr>
          <w:rFonts w:ascii="Cambria" w:hAnsi="Cambria"/>
          <w:sz w:val="20"/>
          <w:szCs w:val="20"/>
        </w:rPr>
        <w:t xml:space="preserve">denegatoria </w:t>
      </w:r>
      <w:r w:rsidRPr="00357FF9">
        <w:rPr>
          <w:rFonts w:ascii="Cambria" w:hAnsi="Cambria"/>
          <w:sz w:val="20"/>
          <w:szCs w:val="20"/>
        </w:rPr>
        <w:t xml:space="preserve">de la </w:t>
      </w:r>
      <w:r w:rsidRPr="00C67385">
        <w:rPr>
          <w:rFonts w:ascii="Cambria" w:hAnsi="Cambria"/>
          <w:sz w:val="20"/>
          <w:szCs w:val="20"/>
        </w:rPr>
        <w:t xml:space="preserve">Sala </w:t>
      </w:r>
      <w:r w:rsidR="008E5124">
        <w:rPr>
          <w:rFonts w:ascii="Cambria" w:hAnsi="Cambria"/>
          <w:sz w:val="20"/>
          <w:szCs w:val="20"/>
        </w:rPr>
        <w:t>4</w:t>
      </w:r>
      <w:r w:rsidR="008E5124" w:rsidRPr="008E5124">
        <w:rPr>
          <w:rFonts w:ascii="Cambria" w:hAnsi="Cambria"/>
          <w:sz w:val="20"/>
          <w:szCs w:val="20"/>
          <w:vertAlign w:val="superscript"/>
        </w:rPr>
        <w:t>a</w:t>
      </w:r>
      <w:r w:rsidRPr="00C67385">
        <w:rPr>
          <w:rFonts w:ascii="Cambria" w:hAnsi="Cambria"/>
          <w:sz w:val="20"/>
          <w:szCs w:val="20"/>
        </w:rPr>
        <w:t xml:space="preserve"> de la Corte de Apelaciones</w:t>
      </w:r>
      <w:r w:rsidR="00CE7BB6">
        <w:rPr>
          <w:rFonts w:ascii="Cambria" w:hAnsi="Cambria"/>
          <w:sz w:val="20"/>
          <w:szCs w:val="20"/>
        </w:rPr>
        <w:t>, órgano que actuaba como tribunal de primera instancia en la materia</w:t>
      </w:r>
      <w:r w:rsidRPr="00357FF9">
        <w:rPr>
          <w:rFonts w:ascii="Cambria" w:hAnsi="Cambria"/>
          <w:sz w:val="20"/>
          <w:szCs w:val="20"/>
        </w:rPr>
        <w:t xml:space="preserve">. </w:t>
      </w:r>
      <w:r w:rsidR="00CE7BB6">
        <w:rPr>
          <w:rFonts w:ascii="Cambria" w:hAnsi="Cambria"/>
          <w:sz w:val="20"/>
          <w:szCs w:val="20"/>
        </w:rPr>
        <w:t>En tal sentido, el Estado explic</w:t>
      </w:r>
      <w:r w:rsidR="00285735">
        <w:rPr>
          <w:rFonts w:ascii="Cambria" w:hAnsi="Cambria"/>
          <w:sz w:val="20"/>
          <w:szCs w:val="20"/>
        </w:rPr>
        <w:t>a</w:t>
      </w:r>
      <w:r w:rsidR="00CE7BB6">
        <w:rPr>
          <w:rFonts w:ascii="Cambria" w:hAnsi="Cambria"/>
          <w:sz w:val="20"/>
          <w:szCs w:val="20"/>
        </w:rPr>
        <w:t xml:space="preserve"> que contra dicha decisión procedía el recurso de apelación en los términos del</w:t>
      </w:r>
      <w:r w:rsidRPr="00357FF9">
        <w:rPr>
          <w:rFonts w:ascii="Cambria" w:hAnsi="Cambria"/>
          <w:sz w:val="20"/>
          <w:szCs w:val="20"/>
        </w:rPr>
        <w:t xml:space="preserve"> artículo 35 de la Ley Orgánica de Amparo y Garantías Constitucionales</w:t>
      </w:r>
      <w:r w:rsidR="00D47D30">
        <w:rPr>
          <w:rFonts w:ascii="Cambria" w:hAnsi="Cambria"/>
          <w:sz w:val="20"/>
          <w:szCs w:val="20"/>
        </w:rPr>
        <w:t xml:space="preserve">. </w:t>
      </w:r>
      <w:r w:rsidR="00D359E6">
        <w:rPr>
          <w:rFonts w:ascii="Cambria" w:hAnsi="Cambria"/>
          <w:sz w:val="20"/>
          <w:szCs w:val="20"/>
        </w:rPr>
        <w:t xml:space="preserve">Puntualmente, el Estado indica que los </w:t>
      </w:r>
      <w:r w:rsidR="007A5604">
        <w:rPr>
          <w:rFonts w:ascii="Cambria" w:hAnsi="Cambria"/>
          <w:sz w:val="20"/>
          <w:szCs w:val="20"/>
        </w:rPr>
        <w:t xml:space="preserve">mismos </w:t>
      </w:r>
      <w:r w:rsidR="00D359E6">
        <w:rPr>
          <w:rFonts w:ascii="Cambria" w:hAnsi="Cambria"/>
          <w:sz w:val="20"/>
          <w:szCs w:val="20"/>
        </w:rPr>
        <w:t xml:space="preserve">peticionarios habrían admitido no haber agotado el recuso </w:t>
      </w:r>
      <w:r w:rsidR="00D359E6">
        <w:rPr>
          <w:rFonts w:asciiTheme="majorHAnsi" w:hAnsiTheme="majorHAnsi"/>
          <w:sz w:val="20"/>
          <w:szCs w:val="20"/>
        </w:rPr>
        <w:t>porque “ya estaba por realizarse la audiencia preliminar, a la cual debía[n] preparar[se]”.</w:t>
      </w:r>
      <w:r w:rsidR="003A2BEF">
        <w:rPr>
          <w:rFonts w:asciiTheme="majorHAnsi" w:hAnsiTheme="majorHAnsi"/>
          <w:sz w:val="20"/>
          <w:szCs w:val="20"/>
        </w:rPr>
        <w:t xml:space="preserve"> </w:t>
      </w:r>
      <w:r w:rsidR="00077CA0">
        <w:rPr>
          <w:rFonts w:asciiTheme="majorHAnsi" w:hAnsiTheme="majorHAnsi"/>
          <w:sz w:val="20"/>
          <w:szCs w:val="20"/>
        </w:rPr>
        <w:t>E</w:t>
      </w:r>
      <w:r w:rsidR="003A2BEF">
        <w:rPr>
          <w:rFonts w:asciiTheme="majorHAnsi" w:hAnsiTheme="majorHAnsi"/>
          <w:sz w:val="20"/>
          <w:szCs w:val="20"/>
        </w:rPr>
        <w:t xml:space="preserve">l Estado </w:t>
      </w:r>
      <w:r w:rsidR="00077CA0">
        <w:rPr>
          <w:rFonts w:asciiTheme="majorHAnsi" w:hAnsiTheme="majorHAnsi"/>
          <w:sz w:val="20"/>
          <w:szCs w:val="20"/>
        </w:rPr>
        <w:t xml:space="preserve">concluye </w:t>
      </w:r>
      <w:r w:rsidR="003A2BEF">
        <w:rPr>
          <w:rFonts w:asciiTheme="majorHAnsi" w:hAnsiTheme="majorHAnsi"/>
          <w:sz w:val="20"/>
          <w:szCs w:val="20"/>
        </w:rPr>
        <w:t>que la razón por la cual no fue agotado el recurso obedeció a razones técnicas de su defensa</w:t>
      </w:r>
      <w:r w:rsidR="00EE76EA">
        <w:rPr>
          <w:rFonts w:asciiTheme="majorHAnsi" w:hAnsiTheme="majorHAnsi"/>
          <w:sz w:val="20"/>
          <w:szCs w:val="20"/>
        </w:rPr>
        <w:t xml:space="preserve"> y a su propia torpeza</w:t>
      </w:r>
      <w:r w:rsidR="003A2BEF">
        <w:rPr>
          <w:rFonts w:asciiTheme="majorHAnsi" w:hAnsiTheme="majorHAnsi"/>
          <w:sz w:val="20"/>
          <w:szCs w:val="20"/>
        </w:rPr>
        <w:t>, que de ningún modo son imputables al Estado venezolano.</w:t>
      </w:r>
      <w:r w:rsidR="00D359E6">
        <w:rPr>
          <w:rFonts w:asciiTheme="majorHAnsi" w:hAnsiTheme="majorHAnsi"/>
          <w:sz w:val="20"/>
          <w:szCs w:val="20"/>
        </w:rPr>
        <w:t xml:space="preserve"> </w:t>
      </w:r>
      <w:r w:rsidR="005278D7" w:rsidRPr="00357FF9">
        <w:rPr>
          <w:rFonts w:ascii="Cambria" w:hAnsi="Cambria"/>
          <w:sz w:val="20"/>
          <w:szCs w:val="20"/>
        </w:rPr>
        <w:t xml:space="preserve">Asimismo, los peticionarios tampoco </w:t>
      </w:r>
      <w:r w:rsidR="004F60DD">
        <w:rPr>
          <w:rFonts w:ascii="Cambria" w:hAnsi="Cambria"/>
          <w:sz w:val="20"/>
          <w:szCs w:val="20"/>
        </w:rPr>
        <w:t xml:space="preserve">habrían interpuesto </w:t>
      </w:r>
      <w:r w:rsidR="005278D7" w:rsidRPr="00357FF9">
        <w:rPr>
          <w:rFonts w:ascii="Cambria" w:hAnsi="Cambria"/>
          <w:sz w:val="20"/>
          <w:szCs w:val="20"/>
        </w:rPr>
        <w:t xml:space="preserve">un </w:t>
      </w:r>
      <w:r w:rsidR="005278D7" w:rsidRPr="00820A0E">
        <w:rPr>
          <w:rFonts w:ascii="Cambria" w:hAnsi="Cambria"/>
          <w:sz w:val="20"/>
          <w:szCs w:val="20"/>
        </w:rPr>
        <w:t>recurso de revisión constitucional</w:t>
      </w:r>
      <w:r w:rsidR="005278D7" w:rsidRPr="00357FF9">
        <w:rPr>
          <w:rFonts w:ascii="Cambria" w:hAnsi="Cambria"/>
          <w:sz w:val="20"/>
          <w:szCs w:val="20"/>
        </w:rPr>
        <w:t xml:space="preserve">, </w:t>
      </w:r>
      <w:r w:rsidR="00545C7A">
        <w:rPr>
          <w:rFonts w:ascii="Cambria" w:hAnsi="Cambria"/>
          <w:sz w:val="20"/>
          <w:szCs w:val="20"/>
        </w:rPr>
        <w:t>en los términos d</w:t>
      </w:r>
      <w:r w:rsidR="005278D7" w:rsidRPr="00357FF9">
        <w:rPr>
          <w:rFonts w:ascii="Cambria" w:hAnsi="Cambria"/>
          <w:sz w:val="20"/>
          <w:szCs w:val="20"/>
        </w:rPr>
        <w:t xml:space="preserve">el artículo 336 de la Constitución de la República Bolivariana y el artículo 5.4 de la Ley Orgánica del Tribunal Superior de Justicia. </w:t>
      </w:r>
    </w:p>
    <w:p w14:paraId="2AE4D38D" w14:textId="77777777" w:rsidR="00664F0D" w:rsidRPr="00357FF9" w:rsidRDefault="00664F0D" w:rsidP="00C04D3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hAnsi="Cambria"/>
          <w:sz w:val="20"/>
          <w:szCs w:val="20"/>
        </w:rPr>
      </w:pPr>
    </w:p>
    <w:p w14:paraId="5DEB13AC" w14:textId="47CCCDB2" w:rsidR="00664F0D" w:rsidRDefault="00664F0D" w:rsidP="00C04D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357FF9">
        <w:rPr>
          <w:rFonts w:ascii="Cambria" w:hAnsi="Cambria"/>
          <w:sz w:val="20"/>
          <w:szCs w:val="20"/>
        </w:rPr>
        <w:t xml:space="preserve">El Estado también afirma que a pesar de las graves </w:t>
      </w:r>
      <w:r w:rsidR="009800DB">
        <w:rPr>
          <w:rFonts w:ascii="Cambria" w:hAnsi="Cambria"/>
          <w:sz w:val="20"/>
          <w:szCs w:val="20"/>
        </w:rPr>
        <w:t>acusaciones contra los fiscales intervinientes en los procesos internos formuladas</w:t>
      </w:r>
      <w:r w:rsidR="009800DB" w:rsidRPr="00357FF9">
        <w:rPr>
          <w:rFonts w:ascii="Cambria" w:hAnsi="Cambria"/>
          <w:sz w:val="20"/>
          <w:szCs w:val="20"/>
        </w:rPr>
        <w:t xml:space="preserve"> </w:t>
      </w:r>
      <w:r w:rsidR="009800DB">
        <w:rPr>
          <w:rFonts w:ascii="Cambria" w:hAnsi="Cambria"/>
          <w:sz w:val="20"/>
          <w:szCs w:val="20"/>
        </w:rPr>
        <w:t xml:space="preserve">por los peticionarios </w:t>
      </w:r>
      <w:r w:rsidRPr="00357FF9">
        <w:rPr>
          <w:rFonts w:ascii="Cambria" w:hAnsi="Cambria"/>
          <w:sz w:val="20"/>
          <w:szCs w:val="20"/>
        </w:rPr>
        <w:t>ante la Comisión, los peticionarios no</w:t>
      </w:r>
      <w:r w:rsidR="004F60DD">
        <w:rPr>
          <w:rFonts w:ascii="Cambria" w:hAnsi="Cambria"/>
          <w:sz w:val="20"/>
          <w:szCs w:val="20"/>
        </w:rPr>
        <w:t xml:space="preserve"> </w:t>
      </w:r>
      <w:r w:rsidR="009800DB">
        <w:rPr>
          <w:rFonts w:ascii="Cambria" w:hAnsi="Cambria"/>
          <w:sz w:val="20"/>
          <w:szCs w:val="20"/>
        </w:rPr>
        <w:t>interpusieron</w:t>
      </w:r>
      <w:r w:rsidR="004F60DD">
        <w:rPr>
          <w:rFonts w:ascii="Cambria" w:hAnsi="Cambria"/>
          <w:sz w:val="20"/>
          <w:szCs w:val="20"/>
        </w:rPr>
        <w:t xml:space="preserve"> </w:t>
      </w:r>
      <w:r w:rsidRPr="00357FF9">
        <w:rPr>
          <w:rFonts w:ascii="Cambria" w:hAnsi="Cambria"/>
          <w:sz w:val="20"/>
          <w:szCs w:val="20"/>
        </w:rPr>
        <w:t>recusación contra ellos</w:t>
      </w:r>
      <w:r w:rsidR="007A5604">
        <w:rPr>
          <w:rFonts w:ascii="Cambria" w:hAnsi="Cambria"/>
          <w:sz w:val="20"/>
          <w:szCs w:val="20"/>
        </w:rPr>
        <w:t xml:space="preserve"> durante la sustanciación del caso</w:t>
      </w:r>
      <w:r w:rsidR="00E715B6">
        <w:rPr>
          <w:rFonts w:ascii="Cambria" w:hAnsi="Cambria"/>
          <w:sz w:val="20"/>
          <w:szCs w:val="20"/>
        </w:rPr>
        <w:t>.</w:t>
      </w:r>
      <w:r w:rsidRPr="00357FF9">
        <w:rPr>
          <w:rFonts w:ascii="Cambria" w:hAnsi="Cambria"/>
          <w:sz w:val="20"/>
          <w:szCs w:val="20"/>
        </w:rPr>
        <w:t xml:space="preserve"> </w:t>
      </w:r>
      <w:r w:rsidR="00EE76EA">
        <w:rPr>
          <w:rFonts w:ascii="Cambria" w:hAnsi="Cambria"/>
          <w:sz w:val="20"/>
          <w:szCs w:val="20"/>
        </w:rPr>
        <w:t>Tal inacción procesal, entiende el Estado, torna inadmisibles los planteos de los peticionarios en relación las irregularidades que atribuyen al actuar de los fiscales.</w:t>
      </w:r>
    </w:p>
    <w:p w14:paraId="46BCE006" w14:textId="77777777" w:rsidR="00DE7CFA" w:rsidRPr="00357FF9" w:rsidRDefault="00DE7CFA" w:rsidP="009509A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sz w:val="20"/>
          <w:szCs w:val="20"/>
        </w:rPr>
      </w:pPr>
    </w:p>
    <w:p w14:paraId="7243BDFD" w14:textId="29449B77" w:rsidR="00DE7CFA" w:rsidRPr="003F6480" w:rsidRDefault="005A5FF0" w:rsidP="00C04D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3F6480">
        <w:rPr>
          <w:rFonts w:ascii="Cambria" w:hAnsi="Cambria"/>
          <w:sz w:val="20"/>
          <w:szCs w:val="20"/>
        </w:rPr>
        <w:t xml:space="preserve">En relación </w:t>
      </w:r>
      <w:r w:rsidR="00687E78" w:rsidRPr="003F6480">
        <w:rPr>
          <w:rFonts w:ascii="Cambria" w:hAnsi="Cambria"/>
          <w:sz w:val="20"/>
          <w:szCs w:val="20"/>
        </w:rPr>
        <w:t>con</w:t>
      </w:r>
      <w:r w:rsidRPr="003F6480">
        <w:rPr>
          <w:rFonts w:ascii="Cambria" w:hAnsi="Cambria"/>
          <w:sz w:val="20"/>
          <w:szCs w:val="20"/>
        </w:rPr>
        <w:t xml:space="preserve"> los alegatos sobre </w:t>
      </w:r>
      <w:r w:rsidR="00D705AB">
        <w:rPr>
          <w:rFonts w:ascii="Cambria" w:hAnsi="Cambria"/>
          <w:sz w:val="20"/>
          <w:szCs w:val="20"/>
        </w:rPr>
        <w:t>los tribunales internos con competencia para entender en causas de terrorismo</w:t>
      </w:r>
      <w:r w:rsidR="000C76B0" w:rsidRPr="003F6480">
        <w:rPr>
          <w:rFonts w:ascii="Cambria" w:hAnsi="Cambria"/>
          <w:sz w:val="20"/>
          <w:szCs w:val="20"/>
        </w:rPr>
        <w:t xml:space="preserve">, el Estado alega que el 22 de noviembre de 2004, el Tribunal Supremo de Justicia emitió la Resolución </w:t>
      </w:r>
      <w:r w:rsidR="00BE4454">
        <w:rPr>
          <w:rFonts w:ascii="Cambria" w:hAnsi="Cambria"/>
          <w:sz w:val="20"/>
          <w:szCs w:val="20"/>
        </w:rPr>
        <w:t>N</w:t>
      </w:r>
      <w:r w:rsidR="007A5604">
        <w:rPr>
          <w:rFonts w:ascii="Cambria" w:hAnsi="Cambria"/>
          <w:sz w:val="20"/>
          <w:szCs w:val="20"/>
        </w:rPr>
        <w:t>o</w:t>
      </w:r>
      <w:r w:rsidR="00BE4454">
        <w:rPr>
          <w:rFonts w:ascii="Cambria" w:hAnsi="Cambria"/>
          <w:sz w:val="20"/>
          <w:szCs w:val="20"/>
        </w:rPr>
        <w:t>.</w:t>
      </w:r>
      <w:r w:rsidR="000C76B0" w:rsidRPr="003F6480">
        <w:rPr>
          <w:rFonts w:ascii="Cambria" w:hAnsi="Cambria"/>
          <w:sz w:val="20"/>
          <w:szCs w:val="20"/>
        </w:rPr>
        <w:t xml:space="preserve"> 20</w:t>
      </w:r>
      <w:r w:rsidR="000C76B0" w:rsidRPr="00104256">
        <w:rPr>
          <w:rFonts w:ascii="Cambria" w:hAnsi="Cambria"/>
          <w:sz w:val="20"/>
          <w:szCs w:val="20"/>
        </w:rPr>
        <w:t xml:space="preserve">04-0217, lo cual habría tenido lugar </w:t>
      </w:r>
      <w:r w:rsidRPr="00104256">
        <w:rPr>
          <w:rFonts w:ascii="Cambria" w:hAnsi="Cambria"/>
          <w:sz w:val="20"/>
          <w:szCs w:val="20"/>
        </w:rPr>
        <w:t>con anterioridad a la imputación realizada contra las presuntas víctimas</w:t>
      </w:r>
      <w:r w:rsidR="001C7308" w:rsidRPr="00104256">
        <w:rPr>
          <w:rFonts w:ascii="Cambria" w:hAnsi="Cambria"/>
          <w:sz w:val="20"/>
          <w:szCs w:val="20"/>
        </w:rPr>
        <w:t>.</w:t>
      </w:r>
      <w:r w:rsidR="00104256">
        <w:rPr>
          <w:rFonts w:ascii="Cambria" w:hAnsi="Cambria"/>
          <w:sz w:val="20"/>
          <w:szCs w:val="20"/>
        </w:rPr>
        <w:t xml:space="preserve"> </w:t>
      </w:r>
      <w:r w:rsidR="003A58A1" w:rsidRPr="003F6480">
        <w:rPr>
          <w:rFonts w:ascii="Cambria" w:hAnsi="Cambria"/>
          <w:sz w:val="20"/>
          <w:szCs w:val="20"/>
        </w:rPr>
        <w:t>Mediante dicha resolución, el Tribunal Supremo de Justicia</w:t>
      </w:r>
      <w:r w:rsidR="00E406E3" w:rsidRPr="003F6480">
        <w:rPr>
          <w:rFonts w:ascii="Cambria" w:hAnsi="Cambria"/>
          <w:sz w:val="20"/>
          <w:szCs w:val="20"/>
        </w:rPr>
        <w:t>,</w:t>
      </w:r>
      <w:r w:rsidR="003A58A1" w:rsidRPr="003F6480">
        <w:rPr>
          <w:rFonts w:ascii="Cambria" w:hAnsi="Cambria"/>
          <w:sz w:val="20"/>
          <w:szCs w:val="20"/>
        </w:rPr>
        <w:t xml:space="preserve"> en ejercicio de las atribuciones que le confiere el artículo 267 de la Constitución</w:t>
      </w:r>
      <w:r w:rsidR="00E406E3" w:rsidRPr="003F6480">
        <w:rPr>
          <w:rFonts w:ascii="Cambria" w:hAnsi="Cambria"/>
          <w:sz w:val="20"/>
          <w:szCs w:val="20"/>
        </w:rPr>
        <w:t xml:space="preserve">, </w:t>
      </w:r>
      <w:r w:rsidR="00E406E3" w:rsidRPr="003F6480">
        <w:rPr>
          <w:rFonts w:ascii="Cambria" w:hAnsi="Cambria"/>
          <w:sz w:val="20"/>
          <w:szCs w:val="20"/>
          <w:lang w:val="es-AR"/>
        </w:rPr>
        <w:t xml:space="preserve">atribuyó competencia exclusiva para conocer de causas por delitos vinculados con </w:t>
      </w:r>
      <w:r w:rsidR="00104256">
        <w:rPr>
          <w:rFonts w:ascii="Cambria" w:hAnsi="Cambria"/>
          <w:sz w:val="20"/>
          <w:szCs w:val="20"/>
          <w:lang w:val="es-AR"/>
        </w:rPr>
        <w:t>actos de</w:t>
      </w:r>
      <w:r w:rsidR="00E406E3" w:rsidRPr="003F6480">
        <w:rPr>
          <w:rFonts w:ascii="Cambria" w:hAnsi="Cambria"/>
          <w:sz w:val="20"/>
          <w:szCs w:val="20"/>
          <w:lang w:val="es-AR"/>
        </w:rPr>
        <w:t xml:space="preserve"> terrorismo acaecidos en todo el territorio nacional </w:t>
      </w:r>
      <w:r w:rsidR="002F73C5" w:rsidRPr="003F6480">
        <w:rPr>
          <w:rFonts w:ascii="Cambria" w:hAnsi="Cambria"/>
          <w:sz w:val="20"/>
          <w:szCs w:val="20"/>
          <w:lang w:val="es-AR"/>
        </w:rPr>
        <w:t xml:space="preserve">al Juzgado </w:t>
      </w:r>
      <w:r w:rsidR="003F6480">
        <w:rPr>
          <w:rFonts w:ascii="Cambria" w:hAnsi="Cambria"/>
          <w:sz w:val="20"/>
          <w:szCs w:val="20"/>
          <w:lang w:val="es-AR"/>
        </w:rPr>
        <w:t>3</w:t>
      </w:r>
      <w:r w:rsidR="00C24A17">
        <w:rPr>
          <w:rFonts w:ascii="Cambria" w:hAnsi="Cambria"/>
          <w:sz w:val="20"/>
          <w:szCs w:val="20"/>
          <w:lang w:val="es-AR"/>
        </w:rPr>
        <w:t>4° (</w:t>
      </w:r>
      <w:r w:rsidR="002F73C5" w:rsidRPr="003F6480">
        <w:rPr>
          <w:rFonts w:ascii="Cambria" w:hAnsi="Cambria"/>
          <w:sz w:val="20"/>
          <w:szCs w:val="20"/>
          <w:lang w:val="es-AR"/>
        </w:rPr>
        <w:t>el cual tendría funciones como “coordinador” con facultades para distribuir las causas de esta materia en primera instancia penal</w:t>
      </w:r>
      <w:r w:rsidR="003F6480" w:rsidRPr="003F6480">
        <w:rPr>
          <w:rFonts w:ascii="Cambria" w:hAnsi="Cambria"/>
          <w:sz w:val="20"/>
          <w:szCs w:val="20"/>
          <w:lang w:val="es-AR"/>
        </w:rPr>
        <w:t xml:space="preserve">), </w:t>
      </w:r>
      <w:r w:rsidR="002C525C" w:rsidRPr="003F6480">
        <w:rPr>
          <w:rFonts w:ascii="Cambria" w:hAnsi="Cambria"/>
          <w:sz w:val="20"/>
          <w:szCs w:val="20"/>
        </w:rPr>
        <w:t xml:space="preserve">al Juzgado </w:t>
      </w:r>
      <w:r w:rsidR="001F0F6B" w:rsidRPr="003F6480">
        <w:rPr>
          <w:rFonts w:ascii="Cambria" w:hAnsi="Cambria"/>
          <w:sz w:val="20"/>
          <w:szCs w:val="20"/>
        </w:rPr>
        <w:t>11°</w:t>
      </w:r>
      <w:r w:rsidR="00C24A17">
        <w:rPr>
          <w:rFonts w:ascii="Cambria" w:hAnsi="Cambria"/>
          <w:sz w:val="20"/>
          <w:szCs w:val="20"/>
        </w:rPr>
        <w:t xml:space="preserve">, </w:t>
      </w:r>
      <w:r w:rsidR="002C525C" w:rsidRPr="003F6480">
        <w:rPr>
          <w:rFonts w:ascii="Cambria" w:hAnsi="Cambria"/>
          <w:sz w:val="20"/>
          <w:szCs w:val="20"/>
        </w:rPr>
        <w:t xml:space="preserve">al Juzgado </w:t>
      </w:r>
      <w:r w:rsidR="001F0F6B" w:rsidRPr="003F6480">
        <w:rPr>
          <w:rFonts w:ascii="Cambria" w:hAnsi="Cambria"/>
          <w:sz w:val="20"/>
          <w:szCs w:val="20"/>
        </w:rPr>
        <w:t>6°</w:t>
      </w:r>
      <w:r w:rsidR="00677DA9">
        <w:rPr>
          <w:rFonts w:ascii="Cambria" w:hAnsi="Cambria"/>
          <w:sz w:val="20"/>
          <w:szCs w:val="20"/>
        </w:rPr>
        <w:t xml:space="preserve"> —los tres tribunales de </w:t>
      </w:r>
      <w:r w:rsidR="002C525C" w:rsidRPr="003F6480">
        <w:rPr>
          <w:rFonts w:ascii="Cambria" w:hAnsi="Cambria"/>
          <w:sz w:val="20"/>
          <w:szCs w:val="20"/>
        </w:rPr>
        <w:t xml:space="preserve">Primera Instancia del </w:t>
      </w:r>
      <w:r w:rsidR="000338F1" w:rsidRPr="003F6480">
        <w:rPr>
          <w:rFonts w:ascii="Cambria" w:hAnsi="Cambria"/>
          <w:sz w:val="20"/>
          <w:szCs w:val="20"/>
        </w:rPr>
        <w:t>Área</w:t>
      </w:r>
      <w:r w:rsidR="002C525C" w:rsidRPr="003F6480">
        <w:rPr>
          <w:rFonts w:ascii="Cambria" w:hAnsi="Cambria"/>
          <w:sz w:val="20"/>
          <w:szCs w:val="20"/>
        </w:rPr>
        <w:t xml:space="preserve"> Metropolitana de Caracas</w:t>
      </w:r>
      <w:r w:rsidR="00677DA9">
        <w:rPr>
          <w:rFonts w:ascii="Cambria" w:hAnsi="Cambria"/>
          <w:sz w:val="20"/>
          <w:szCs w:val="20"/>
        </w:rPr>
        <w:t>—</w:t>
      </w:r>
      <w:r w:rsidR="00C24A17">
        <w:rPr>
          <w:rFonts w:ascii="Cambria" w:hAnsi="Cambria"/>
          <w:sz w:val="20"/>
          <w:szCs w:val="20"/>
        </w:rPr>
        <w:t xml:space="preserve"> y a las Salas 4</w:t>
      </w:r>
      <w:r w:rsidR="007A5604" w:rsidRPr="007A5604">
        <w:rPr>
          <w:rFonts w:ascii="Cambria" w:hAnsi="Cambria"/>
          <w:sz w:val="20"/>
          <w:szCs w:val="20"/>
          <w:vertAlign w:val="superscript"/>
        </w:rPr>
        <w:t>a</w:t>
      </w:r>
      <w:r w:rsidR="00C24A17">
        <w:rPr>
          <w:rFonts w:ascii="Cambria" w:hAnsi="Cambria"/>
          <w:sz w:val="20"/>
          <w:szCs w:val="20"/>
        </w:rPr>
        <w:t xml:space="preserve"> y 7</w:t>
      </w:r>
      <w:r w:rsidR="007A5604" w:rsidRPr="007A5604">
        <w:rPr>
          <w:rFonts w:ascii="Cambria" w:hAnsi="Cambria"/>
          <w:sz w:val="20"/>
          <w:szCs w:val="20"/>
          <w:vertAlign w:val="superscript"/>
        </w:rPr>
        <w:t>a</w:t>
      </w:r>
      <w:r w:rsidR="00C24A17">
        <w:rPr>
          <w:rFonts w:ascii="Cambria" w:hAnsi="Cambria"/>
          <w:sz w:val="20"/>
          <w:szCs w:val="20"/>
        </w:rPr>
        <w:t xml:space="preserve"> de la </w:t>
      </w:r>
      <w:r w:rsidR="00677DA9" w:rsidRPr="00677DA9">
        <w:rPr>
          <w:rFonts w:ascii="Cambria" w:hAnsi="Cambria"/>
          <w:sz w:val="20"/>
          <w:szCs w:val="20"/>
        </w:rPr>
        <w:t>Corte de Apelaciones del Área Metropolitana de Caracas</w:t>
      </w:r>
      <w:r w:rsidR="002C525C" w:rsidRPr="003F6480">
        <w:rPr>
          <w:rFonts w:ascii="Cambria" w:hAnsi="Cambria"/>
          <w:sz w:val="20"/>
          <w:szCs w:val="20"/>
        </w:rPr>
        <w:t xml:space="preserve">, para conocer de las causas por delitos vinculados con el terrorismo acaecidos </w:t>
      </w:r>
      <w:r w:rsidR="000338F1" w:rsidRPr="003F6480">
        <w:rPr>
          <w:rFonts w:ascii="Cambria" w:hAnsi="Cambria"/>
          <w:sz w:val="20"/>
          <w:szCs w:val="20"/>
        </w:rPr>
        <w:t xml:space="preserve">en todo el territorio nacional”. </w:t>
      </w:r>
      <w:r w:rsidR="00703273">
        <w:rPr>
          <w:rFonts w:ascii="Cambria" w:hAnsi="Cambria"/>
          <w:sz w:val="20"/>
          <w:szCs w:val="20"/>
        </w:rPr>
        <w:t xml:space="preserve">Según el Estado, estos órganos juzgadores no habrían intervenido únicamente en el caso bajo </w:t>
      </w:r>
      <w:r w:rsidR="00703273" w:rsidRPr="00104256">
        <w:rPr>
          <w:rFonts w:ascii="Cambria" w:hAnsi="Cambria"/>
          <w:sz w:val="20"/>
          <w:szCs w:val="20"/>
        </w:rPr>
        <w:t xml:space="preserve">estudio y las </w:t>
      </w:r>
      <w:r w:rsidR="00104256" w:rsidRPr="00104256">
        <w:rPr>
          <w:rFonts w:ascii="Cambria" w:hAnsi="Cambria"/>
          <w:sz w:val="20"/>
          <w:szCs w:val="20"/>
        </w:rPr>
        <w:t>s</w:t>
      </w:r>
      <w:r w:rsidR="00703273" w:rsidRPr="00104256">
        <w:rPr>
          <w:rFonts w:ascii="Cambria" w:hAnsi="Cambria"/>
          <w:sz w:val="20"/>
          <w:szCs w:val="20"/>
        </w:rPr>
        <w:t>alas con competencia exclusiva</w:t>
      </w:r>
      <w:r w:rsidR="00703273">
        <w:rPr>
          <w:rFonts w:ascii="Cambria" w:hAnsi="Cambria"/>
          <w:sz w:val="20"/>
          <w:szCs w:val="20"/>
        </w:rPr>
        <w:t xml:space="preserve"> para conocer en causas por del</w:t>
      </w:r>
      <w:r w:rsidR="00820A0E">
        <w:rPr>
          <w:rFonts w:ascii="Cambria" w:hAnsi="Cambria"/>
          <w:sz w:val="20"/>
          <w:szCs w:val="20"/>
        </w:rPr>
        <w:t>itos vinculados con terrorismo</w:t>
      </w:r>
      <w:r w:rsidR="00703273">
        <w:rPr>
          <w:rFonts w:ascii="Cambria" w:hAnsi="Cambria"/>
          <w:sz w:val="20"/>
          <w:szCs w:val="20"/>
        </w:rPr>
        <w:t xml:space="preserve"> habían emitido 10 autos y 19 sentencias relacionadas con este delito</w:t>
      </w:r>
      <w:r w:rsidR="00820A0E" w:rsidRPr="00820A0E">
        <w:rPr>
          <w:rFonts w:ascii="Cambria" w:hAnsi="Cambria"/>
          <w:sz w:val="20"/>
          <w:szCs w:val="20"/>
        </w:rPr>
        <w:t xml:space="preserve"> </w:t>
      </w:r>
      <w:r w:rsidR="00820A0E">
        <w:rPr>
          <w:rFonts w:ascii="Cambria" w:hAnsi="Cambria"/>
          <w:sz w:val="20"/>
          <w:szCs w:val="20"/>
        </w:rPr>
        <w:t>entre 2007 y 2009</w:t>
      </w:r>
      <w:r w:rsidR="00703273">
        <w:rPr>
          <w:rFonts w:ascii="Cambria" w:hAnsi="Cambria"/>
          <w:sz w:val="20"/>
          <w:szCs w:val="20"/>
        </w:rPr>
        <w:t>.</w:t>
      </w:r>
    </w:p>
    <w:p w14:paraId="68657C82" w14:textId="77777777" w:rsidR="00DE7CFA" w:rsidRPr="00357FF9" w:rsidRDefault="00DE7CFA" w:rsidP="00C04D3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hAnsi="Cambria"/>
          <w:sz w:val="20"/>
          <w:szCs w:val="20"/>
        </w:rPr>
      </w:pPr>
    </w:p>
    <w:p w14:paraId="1AFC3969" w14:textId="3228A9C4" w:rsidR="00D4074C" w:rsidRDefault="002C525C" w:rsidP="005854B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357FF9">
        <w:rPr>
          <w:rFonts w:ascii="Cambria" w:hAnsi="Cambria"/>
          <w:sz w:val="20"/>
          <w:szCs w:val="20"/>
        </w:rPr>
        <w:t xml:space="preserve">En cuanto a los alegatos de los peticionarios </w:t>
      </w:r>
      <w:r w:rsidR="008B5816">
        <w:rPr>
          <w:rFonts w:ascii="Cambria" w:hAnsi="Cambria"/>
          <w:sz w:val="20"/>
          <w:szCs w:val="20"/>
        </w:rPr>
        <w:t xml:space="preserve">sobre las alegadas </w:t>
      </w:r>
      <w:r w:rsidR="00097BEE">
        <w:rPr>
          <w:rFonts w:ascii="Cambria" w:hAnsi="Cambria"/>
          <w:sz w:val="20"/>
          <w:szCs w:val="20"/>
        </w:rPr>
        <w:t>presiones</w:t>
      </w:r>
      <w:r w:rsidR="008B5816">
        <w:rPr>
          <w:rFonts w:ascii="Cambria" w:hAnsi="Cambria"/>
          <w:sz w:val="20"/>
          <w:szCs w:val="20"/>
        </w:rPr>
        <w:t xml:space="preserve"> ejercidas sobre el Poder Judicial por parte del Poder Ejecutivo, </w:t>
      </w:r>
      <w:r w:rsidRPr="00357FF9">
        <w:rPr>
          <w:rFonts w:ascii="Cambria" w:hAnsi="Cambria"/>
          <w:sz w:val="20"/>
          <w:szCs w:val="20"/>
        </w:rPr>
        <w:t xml:space="preserve">el Estado </w:t>
      </w:r>
      <w:r w:rsidR="00C24ED2">
        <w:rPr>
          <w:rFonts w:ascii="Cambria" w:hAnsi="Cambria"/>
          <w:sz w:val="20"/>
          <w:szCs w:val="20"/>
        </w:rPr>
        <w:t>niega que alguna de las decisiones emitidas por los jueces se haya presentado tendenciosamente con carencia de independencia.</w:t>
      </w:r>
      <w:r w:rsidR="00AD4341">
        <w:rPr>
          <w:rFonts w:ascii="Cambria" w:hAnsi="Cambria"/>
          <w:sz w:val="20"/>
          <w:szCs w:val="20"/>
        </w:rPr>
        <w:t xml:space="preserve"> Agregó el Estado que las manifestaciones realizadas por el Fiscal General de la República en actos públicos y en el canal del Estado</w:t>
      </w:r>
      <w:r w:rsidR="004A6A08">
        <w:rPr>
          <w:rFonts w:ascii="Cambria" w:hAnsi="Cambria"/>
          <w:sz w:val="20"/>
          <w:szCs w:val="20"/>
        </w:rPr>
        <w:t xml:space="preserve"> no configuran por sí solas “información falsa” ni una violación a las garantías judiciales de los peticionarios</w:t>
      </w:r>
      <w:r w:rsidR="00B96D29">
        <w:rPr>
          <w:rFonts w:ascii="Cambria" w:hAnsi="Cambria"/>
          <w:sz w:val="20"/>
          <w:szCs w:val="20"/>
        </w:rPr>
        <w:t>.</w:t>
      </w:r>
    </w:p>
    <w:p w14:paraId="43F16F65" w14:textId="77777777" w:rsidR="00C24ED2" w:rsidRPr="00451194" w:rsidRDefault="00C24ED2" w:rsidP="00451194">
      <w:pPr>
        <w:rPr>
          <w:sz w:val="20"/>
          <w:szCs w:val="20"/>
          <w:lang w:val="es-AR"/>
        </w:rPr>
      </w:pPr>
    </w:p>
    <w:p w14:paraId="2EEA86DA" w14:textId="497F73DB" w:rsidR="00B12CB4" w:rsidRDefault="00582858" w:rsidP="00B96D2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AB7C71">
        <w:rPr>
          <w:rFonts w:ascii="Cambria" w:hAnsi="Cambria"/>
          <w:sz w:val="20"/>
          <w:szCs w:val="20"/>
          <w:lang w:val="es-AR"/>
        </w:rPr>
        <w:t>Adicionalmente, e</w:t>
      </w:r>
      <w:r w:rsidRPr="00AB7C71">
        <w:rPr>
          <w:rFonts w:ascii="Cambria" w:hAnsi="Cambria"/>
          <w:sz w:val="20"/>
          <w:szCs w:val="20"/>
        </w:rPr>
        <w:t>l Estado formuló una serie de argumentos relacionados con las demás violaciones alegadas por los peticionarios. En cuanto a la alegada violación al derecho a la vida</w:t>
      </w:r>
      <w:r w:rsidR="00654CE4">
        <w:rPr>
          <w:rFonts w:ascii="Cambria" w:hAnsi="Cambria"/>
          <w:sz w:val="20"/>
          <w:szCs w:val="20"/>
        </w:rPr>
        <w:t>, consagrado en el artículo 4 de la Convención</w:t>
      </w:r>
      <w:r w:rsidRPr="00AB7C71">
        <w:rPr>
          <w:rFonts w:ascii="Cambria" w:hAnsi="Cambria"/>
          <w:sz w:val="20"/>
          <w:szCs w:val="20"/>
        </w:rPr>
        <w:t xml:space="preserve">, el Estado señaló que los términos de la Convención son claros al establecer que una violación al </w:t>
      </w:r>
      <w:r w:rsidRPr="00AF2BB4">
        <w:rPr>
          <w:rFonts w:ascii="Cambria" w:hAnsi="Cambria"/>
          <w:sz w:val="20"/>
          <w:szCs w:val="20"/>
        </w:rPr>
        <w:t>derecho a la vida</w:t>
      </w:r>
      <w:r w:rsidRPr="00AB7C71">
        <w:rPr>
          <w:rFonts w:ascii="Cambria" w:hAnsi="Cambria"/>
          <w:sz w:val="20"/>
          <w:szCs w:val="20"/>
        </w:rPr>
        <w:t xml:space="preserve"> se comete cuando “existe una privación </w:t>
      </w:r>
      <w:r w:rsidRPr="003178A1">
        <w:rPr>
          <w:rFonts w:ascii="Cambria" w:hAnsi="Cambria"/>
          <w:sz w:val="20"/>
          <w:szCs w:val="20"/>
        </w:rPr>
        <w:t xml:space="preserve">arbitraria o punitiva de la existencia”, lo cual no ocurrió en el caso bajo estudio. </w:t>
      </w:r>
      <w:r w:rsidR="004002BC" w:rsidRPr="003178A1">
        <w:rPr>
          <w:rFonts w:ascii="Cambria" w:hAnsi="Cambria"/>
          <w:sz w:val="20"/>
          <w:szCs w:val="20"/>
        </w:rPr>
        <w:t xml:space="preserve">En cuanto al derecho de rectificación o respuesta, </w:t>
      </w:r>
      <w:r w:rsidR="00654CE4" w:rsidRPr="003178A1">
        <w:rPr>
          <w:rFonts w:ascii="Cambria" w:hAnsi="Cambria"/>
          <w:sz w:val="20"/>
          <w:szCs w:val="20"/>
        </w:rPr>
        <w:t xml:space="preserve">consagrado en el artículo 14 de la Convención, </w:t>
      </w:r>
      <w:r w:rsidR="004002BC" w:rsidRPr="003178A1">
        <w:rPr>
          <w:rFonts w:ascii="Cambria" w:hAnsi="Cambria"/>
          <w:sz w:val="20"/>
          <w:szCs w:val="20"/>
        </w:rPr>
        <w:t xml:space="preserve">señala que no existiría ninguna solicitud a canales televisivos del gobierno para rectificar la información aportada por los funcionarios que conocían del caso. </w:t>
      </w:r>
      <w:r w:rsidR="00AB7C71" w:rsidRPr="003178A1">
        <w:rPr>
          <w:rFonts w:ascii="Cambria" w:hAnsi="Cambria"/>
          <w:sz w:val="20"/>
          <w:szCs w:val="20"/>
        </w:rPr>
        <w:t>E</w:t>
      </w:r>
      <w:r w:rsidR="004002BC" w:rsidRPr="003178A1">
        <w:rPr>
          <w:rFonts w:ascii="Cambria" w:hAnsi="Cambria"/>
          <w:sz w:val="20"/>
          <w:szCs w:val="20"/>
        </w:rPr>
        <w:t xml:space="preserve">n cuanto a los alegatos respecto a la violación al derecho a la igualdad ante la ley, </w:t>
      </w:r>
      <w:r w:rsidR="00654CE4" w:rsidRPr="003178A1">
        <w:rPr>
          <w:rFonts w:ascii="Cambria" w:hAnsi="Cambria"/>
          <w:sz w:val="20"/>
          <w:szCs w:val="20"/>
        </w:rPr>
        <w:t xml:space="preserve">consagrado en el artículo 24 de la </w:t>
      </w:r>
      <w:r w:rsidR="00654CE4" w:rsidRPr="003178A1">
        <w:rPr>
          <w:rFonts w:ascii="Cambria" w:hAnsi="Cambria"/>
          <w:sz w:val="20"/>
          <w:szCs w:val="20"/>
        </w:rPr>
        <w:lastRenderedPageBreak/>
        <w:t xml:space="preserve">Convención, </w:t>
      </w:r>
      <w:r w:rsidR="004002BC" w:rsidRPr="003178A1">
        <w:rPr>
          <w:rFonts w:ascii="Cambria" w:hAnsi="Cambria"/>
          <w:sz w:val="20"/>
          <w:szCs w:val="20"/>
        </w:rPr>
        <w:t xml:space="preserve">el Estado señala que </w:t>
      </w:r>
      <w:r w:rsidR="00B33226" w:rsidRPr="003178A1">
        <w:rPr>
          <w:rFonts w:ascii="Cambria" w:hAnsi="Cambria"/>
          <w:sz w:val="20"/>
          <w:szCs w:val="20"/>
        </w:rPr>
        <w:t xml:space="preserve">no existen indicios </w:t>
      </w:r>
      <w:r w:rsidR="00FB0380" w:rsidRPr="003178A1">
        <w:rPr>
          <w:rFonts w:ascii="Cambria" w:hAnsi="Cambria"/>
          <w:sz w:val="20"/>
          <w:szCs w:val="20"/>
        </w:rPr>
        <w:t>que permitan comprobar que el tratamiento dado al caso fue desigual respecto de otros con las mismas circunstancias</w:t>
      </w:r>
      <w:r w:rsidR="004002BC" w:rsidRPr="003178A1">
        <w:rPr>
          <w:rFonts w:ascii="Cambria" w:hAnsi="Cambria"/>
          <w:sz w:val="20"/>
          <w:szCs w:val="20"/>
        </w:rPr>
        <w:t xml:space="preserve">. </w:t>
      </w:r>
      <w:r w:rsidRPr="003178A1">
        <w:rPr>
          <w:rFonts w:ascii="Cambria" w:hAnsi="Cambria"/>
          <w:sz w:val="20"/>
          <w:szCs w:val="20"/>
        </w:rPr>
        <w:t xml:space="preserve">En </w:t>
      </w:r>
      <w:r w:rsidR="00654CE4" w:rsidRPr="003178A1">
        <w:rPr>
          <w:rFonts w:ascii="Cambria" w:hAnsi="Cambria"/>
          <w:sz w:val="20"/>
          <w:szCs w:val="20"/>
        </w:rPr>
        <w:t>relación con</w:t>
      </w:r>
      <w:r w:rsidRPr="003178A1">
        <w:rPr>
          <w:rFonts w:ascii="Cambria" w:hAnsi="Cambria"/>
          <w:sz w:val="20"/>
          <w:szCs w:val="20"/>
        </w:rPr>
        <w:t xml:space="preserve"> </w:t>
      </w:r>
      <w:r w:rsidR="00654CE4" w:rsidRPr="003178A1">
        <w:rPr>
          <w:rFonts w:ascii="Cambria" w:hAnsi="Cambria"/>
          <w:sz w:val="20"/>
          <w:szCs w:val="20"/>
        </w:rPr>
        <w:t>el derecho a la honra y</w:t>
      </w:r>
      <w:r w:rsidRPr="003178A1">
        <w:rPr>
          <w:rFonts w:ascii="Cambria" w:hAnsi="Cambria"/>
          <w:sz w:val="20"/>
          <w:szCs w:val="20"/>
        </w:rPr>
        <w:t xml:space="preserve"> la dignidad, </w:t>
      </w:r>
      <w:r w:rsidR="00654CE4" w:rsidRPr="003178A1">
        <w:rPr>
          <w:rFonts w:ascii="Cambria" w:hAnsi="Cambria"/>
          <w:sz w:val="20"/>
          <w:szCs w:val="20"/>
        </w:rPr>
        <w:t>consagrado en el artículo 11 de la Convención</w:t>
      </w:r>
      <w:r w:rsidR="00B33226" w:rsidRPr="003178A1">
        <w:rPr>
          <w:rFonts w:ascii="Cambria" w:hAnsi="Cambria"/>
          <w:sz w:val="20"/>
          <w:szCs w:val="20"/>
        </w:rPr>
        <w:t>,</w:t>
      </w:r>
      <w:r w:rsidR="00654CE4" w:rsidRPr="003178A1">
        <w:rPr>
          <w:rFonts w:ascii="Cambria" w:hAnsi="Cambria"/>
          <w:sz w:val="20"/>
          <w:szCs w:val="20"/>
        </w:rPr>
        <w:t xml:space="preserve"> </w:t>
      </w:r>
      <w:r w:rsidRPr="003178A1">
        <w:rPr>
          <w:rFonts w:ascii="Cambria" w:hAnsi="Cambria"/>
          <w:sz w:val="20"/>
          <w:szCs w:val="20"/>
        </w:rPr>
        <w:t xml:space="preserve">afirma </w:t>
      </w:r>
      <w:r w:rsidR="00B33226" w:rsidRPr="003178A1">
        <w:rPr>
          <w:rFonts w:ascii="Cambria" w:hAnsi="Cambria"/>
          <w:sz w:val="20"/>
          <w:szCs w:val="20"/>
        </w:rPr>
        <w:t xml:space="preserve">el Estado </w:t>
      </w:r>
      <w:r w:rsidRPr="003178A1">
        <w:rPr>
          <w:rFonts w:ascii="Cambria" w:hAnsi="Cambria"/>
          <w:sz w:val="20"/>
          <w:szCs w:val="20"/>
        </w:rPr>
        <w:t xml:space="preserve">que </w:t>
      </w:r>
      <w:r w:rsidR="00B33226" w:rsidRPr="003178A1">
        <w:rPr>
          <w:rFonts w:ascii="Cambria" w:hAnsi="Cambria"/>
          <w:sz w:val="20"/>
          <w:szCs w:val="20"/>
        </w:rPr>
        <w:t>las presuntas víctimas</w:t>
      </w:r>
      <w:r w:rsidRPr="003178A1">
        <w:rPr>
          <w:rFonts w:ascii="Cambria" w:hAnsi="Cambria"/>
          <w:sz w:val="20"/>
          <w:szCs w:val="20"/>
        </w:rPr>
        <w:t xml:space="preserve"> habrían tenido la oportunidad</w:t>
      </w:r>
      <w:r w:rsidRPr="00AB7C71">
        <w:rPr>
          <w:rFonts w:ascii="Cambria" w:hAnsi="Cambria"/>
          <w:sz w:val="20"/>
          <w:szCs w:val="20"/>
        </w:rPr>
        <w:t xml:space="preserve"> de acceder a los órganos de justicia para solicitar que se enjuicie penal y civilmente a quienes consideran culpables, pero que no lo habrían hecho. </w:t>
      </w:r>
      <w:r w:rsidR="00B96D29" w:rsidRPr="00357FF9">
        <w:rPr>
          <w:rFonts w:ascii="Cambria" w:hAnsi="Cambria"/>
          <w:sz w:val="20"/>
          <w:szCs w:val="20"/>
        </w:rPr>
        <w:t xml:space="preserve">En cuanto a los alegatos relacionados a las amenazas recibidas por los familiares de la presunta víctima producto de </w:t>
      </w:r>
      <w:r w:rsidR="007A5604">
        <w:rPr>
          <w:rFonts w:ascii="Cambria" w:hAnsi="Cambria"/>
          <w:sz w:val="20"/>
          <w:szCs w:val="20"/>
        </w:rPr>
        <w:t xml:space="preserve">alegadas </w:t>
      </w:r>
      <w:r w:rsidR="00B96D29" w:rsidRPr="00357FF9">
        <w:rPr>
          <w:rFonts w:ascii="Cambria" w:hAnsi="Cambria"/>
          <w:sz w:val="20"/>
          <w:szCs w:val="20"/>
        </w:rPr>
        <w:t>acusaciones por el gobierno, el</w:t>
      </w:r>
      <w:r w:rsidR="00B96D29">
        <w:rPr>
          <w:rFonts w:ascii="Cambria" w:hAnsi="Cambria"/>
          <w:sz w:val="20"/>
          <w:szCs w:val="20"/>
        </w:rPr>
        <w:t xml:space="preserve"> Estado manifiesta que no existiría ninguna</w:t>
      </w:r>
      <w:r w:rsidR="00B96D29" w:rsidRPr="00357FF9">
        <w:rPr>
          <w:rFonts w:ascii="Cambria" w:hAnsi="Cambria"/>
          <w:sz w:val="20"/>
          <w:szCs w:val="20"/>
        </w:rPr>
        <w:t xml:space="preserve"> denuncia </w:t>
      </w:r>
      <w:r w:rsidR="00B33226">
        <w:rPr>
          <w:rFonts w:ascii="Cambria" w:hAnsi="Cambria"/>
          <w:sz w:val="20"/>
          <w:szCs w:val="20"/>
        </w:rPr>
        <w:t xml:space="preserve">radicada </w:t>
      </w:r>
      <w:r w:rsidR="00B96D29" w:rsidRPr="00357FF9">
        <w:rPr>
          <w:rFonts w:ascii="Cambria" w:hAnsi="Cambria"/>
          <w:sz w:val="20"/>
          <w:szCs w:val="20"/>
        </w:rPr>
        <w:t>por los familiares de las presuntas víctimas, lo cual cuestiona</w:t>
      </w:r>
      <w:r w:rsidR="00B96D29">
        <w:rPr>
          <w:rFonts w:ascii="Cambria" w:hAnsi="Cambria"/>
          <w:sz w:val="20"/>
          <w:szCs w:val="20"/>
        </w:rPr>
        <w:t>ría</w:t>
      </w:r>
      <w:r w:rsidR="00B96D29" w:rsidRPr="00357FF9">
        <w:rPr>
          <w:rFonts w:ascii="Cambria" w:hAnsi="Cambria"/>
          <w:sz w:val="20"/>
          <w:szCs w:val="20"/>
        </w:rPr>
        <w:t xml:space="preserve"> la existencia de tales hechos lesivos.</w:t>
      </w:r>
      <w:r w:rsidR="00B96D29">
        <w:rPr>
          <w:rFonts w:ascii="Cambria" w:hAnsi="Cambria"/>
          <w:sz w:val="20"/>
          <w:szCs w:val="20"/>
        </w:rPr>
        <w:t xml:space="preserve"> </w:t>
      </w:r>
    </w:p>
    <w:p w14:paraId="63B31895" w14:textId="77777777" w:rsidR="002A57F8" w:rsidRDefault="002A57F8" w:rsidP="002A57F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41ECABF7" w14:textId="5E6649B2" w:rsidR="00C24ED2" w:rsidRPr="00104256" w:rsidRDefault="002A57F8" w:rsidP="00F3326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sidRPr="00357FF9">
        <w:rPr>
          <w:rFonts w:ascii="Cambria" w:hAnsi="Cambria"/>
          <w:sz w:val="20"/>
          <w:szCs w:val="20"/>
        </w:rPr>
        <w:t xml:space="preserve">En lo que respecta las alegaciones </w:t>
      </w:r>
      <w:r>
        <w:rPr>
          <w:rFonts w:ascii="Cambria" w:hAnsi="Cambria"/>
          <w:sz w:val="20"/>
          <w:szCs w:val="20"/>
        </w:rPr>
        <w:t xml:space="preserve">de los peticionarios acerca del magistrado </w:t>
      </w:r>
      <w:r w:rsidRPr="00357FF9">
        <w:rPr>
          <w:rFonts w:ascii="Cambria" w:hAnsi="Cambria"/>
          <w:sz w:val="20"/>
          <w:szCs w:val="20"/>
        </w:rPr>
        <w:t xml:space="preserve">Eladio Ramón Aponte, el Estado indica que </w:t>
      </w:r>
      <w:r>
        <w:rPr>
          <w:rFonts w:ascii="Cambria" w:hAnsi="Cambria"/>
          <w:sz w:val="20"/>
          <w:szCs w:val="20"/>
        </w:rPr>
        <w:t>“no entiende qué</w:t>
      </w:r>
      <w:r w:rsidRPr="00357FF9">
        <w:rPr>
          <w:rFonts w:ascii="Cambria" w:hAnsi="Cambria"/>
          <w:sz w:val="20"/>
          <w:szCs w:val="20"/>
        </w:rPr>
        <w:t xml:space="preserve"> pretenden los peticionarios, denunciando ante la Comisión el caso del </w:t>
      </w:r>
      <w:r>
        <w:rPr>
          <w:rFonts w:ascii="Cambria" w:hAnsi="Cambria"/>
          <w:sz w:val="20"/>
          <w:szCs w:val="20"/>
        </w:rPr>
        <w:t>ex m</w:t>
      </w:r>
      <w:r w:rsidRPr="00357FF9">
        <w:rPr>
          <w:rFonts w:ascii="Cambria" w:hAnsi="Cambria"/>
          <w:sz w:val="20"/>
          <w:szCs w:val="20"/>
        </w:rPr>
        <w:t>agistrado Eladio Ramón Aponte Aponte y sus declaraciones ante una televisora con sede en Miami Florida”.</w:t>
      </w:r>
      <w:r>
        <w:rPr>
          <w:rFonts w:ascii="Cambria" w:hAnsi="Cambria"/>
          <w:sz w:val="20"/>
          <w:szCs w:val="20"/>
        </w:rPr>
        <w:t xml:space="preserve"> </w:t>
      </w:r>
      <w:r w:rsidRPr="00357FF9">
        <w:rPr>
          <w:rFonts w:ascii="Cambria" w:hAnsi="Cambria"/>
          <w:sz w:val="20"/>
          <w:szCs w:val="20"/>
        </w:rPr>
        <w:t>Indican que el ex magistrado del Tribunal Supremo</w:t>
      </w:r>
      <w:r>
        <w:rPr>
          <w:rFonts w:ascii="Cambria" w:hAnsi="Cambria"/>
          <w:sz w:val="20"/>
          <w:szCs w:val="20"/>
        </w:rPr>
        <w:t xml:space="preserve"> de Justicia habría sido</w:t>
      </w:r>
      <w:r w:rsidRPr="00357FF9">
        <w:rPr>
          <w:rFonts w:ascii="Cambria" w:hAnsi="Cambria"/>
          <w:sz w:val="20"/>
          <w:szCs w:val="20"/>
        </w:rPr>
        <w:t xml:space="preserve"> destituido por la Asamblea Nacional por considerar que incurrió en una falta grave al entregarle unas credenciales a un presunto narcotraficante</w:t>
      </w:r>
      <w:r w:rsidR="00AF2BB4">
        <w:rPr>
          <w:rFonts w:ascii="Cambria" w:hAnsi="Cambria"/>
          <w:sz w:val="20"/>
          <w:szCs w:val="20"/>
        </w:rPr>
        <w:t>, por lo que</w:t>
      </w:r>
      <w:r w:rsidRPr="00357FF9">
        <w:rPr>
          <w:rFonts w:ascii="Cambria" w:hAnsi="Cambria"/>
          <w:sz w:val="20"/>
          <w:szCs w:val="20"/>
        </w:rPr>
        <w:t xml:space="preserve"> </w:t>
      </w:r>
      <w:r w:rsidR="00AF2BB4">
        <w:rPr>
          <w:rFonts w:ascii="Cambria" w:hAnsi="Cambria"/>
          <w:sz w:val="20"/>
          <w:szCs w:val="20"/>
        </w:rPr>
        <w:t>el Estado solicitó</w:t>
      </w:r>
      <w:r w:rsidRPr="00357FF9">
        <w:rPr>
          <w:rFonts w:ascii="Cambria" w:hAnsi="Cambria"/>
          <w:sz w:val="20"/>
          <w:szCs w:val="20"/>
        </w:rPr>
        <w:t xml:space="preserve"> a la Comisión que desestime la información suministrada por los peticionarios acerca del </w:t>
      </w:r>
      <w:r>
        <w:rPr>
          <w:rFonts w:ascii="Cambria" w:hAnsi="Cambria"/>
          <w:sz w:val="20"/>
          <w:szCs w:val="20"/>
        </w:rPr>
        <w:t>mencionado magistrado</w:t>
      </w:r>
      <w:r w:rsidRPr="00357FF9">
        <w:rPr>
          <w:rFonts w:ascii="Cambria" w:hAnsi="Cambria"/>
          <w:sz w:val="20"/>
          <w:szCs w:val="20"/>
        </w:rPr>
        <w:t xml:space="preserve">. </w:t>
      </w:r>
    </w:p>
    <w:p w14:paraId="0BACFD94" w14:textId="77777777" w:rsidR="00FB0380" w:rsidRPr="00C923D5" w:rsidRDefault="00FB0380" w:rsidP="00FB0380">
      <w:pPr>
        <w:pStyle w:val="ListParagraph"/>
        <w:rPr>
          <w:sz w:val="20"/>
          <w:szCs w:val="20"/>
          <w:lang w:val="es-AR"/>
        </w:rPr>
      </w:pPr>
    </w:p>
    <w:p w14:paraId="097835CA" w14:textId="14842BA5" w:rsidR="00AB7C71" w:rsidRPr="00104256" w:rsidRDefault="00FB0380" w:rsidP="00AB7C7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num" w:pos="0"/>
          <w:tab w:val="left" w:pos="1440"/>
        </w:tabs>
        <w:ind w:left="0" w:firstLine="720"/>
        <w:jc w:val="both"/>
        <w:rPr>
          <w:rFonts w:ascii="Cambria" w:hAnsi="Cambria"/>
          <w:sz w:val="20"/>
          <w:szCs w:val="20"/>
        </w:rPr>
      </w:pPr>
      <w:r>
        <w:rPr>
          <w:rFonts w:ascii="Cambria" w:hAnsi="Cambria"/>
          <w:sz w:val="20"/>
          <w:szCs w:val="20"/>
        </w:rPr>
        <w:t xml:space="preserve">En conclusión, el Estado solicitó a la CIDH que declare inadmisible la presente petición por no cumplir con los requisitos de los artículos 46.1.a y 46.1.b de la Convención, y </w:t>
      </w:r>
      <w:r w:rsidR="00AF2BB4">
        <w:rPr>
          <w:rFonts w:ascii="Cambria" w:hAnsi="Cambria"/>
          <w:sz w:val="20"/>
          <w:szCs w:val="20"/>
        </w:rPr>
        <w:t xml:space="preserve">por </w:t>
      </w:r>
      <w:r>
        <w:rPr>
          <w:rFonts w:ascii="Cambria" w:hAnsi="Cambria"/>
          <w:sz w:val="20"/>
          <w:szCs w:val="20"/>
        </w:rPr>
        <w:t>no estar comprendida en ninguna de las excepciones del artículo 46.2 del mismo instrumento.</w:t>
      </w:r>
      <w:r w:rsidR="006D7602">
        <w:rPr>
          <w:rFonts w:ascii="Cambria" w:hAnsi="Cambria"/>
          <w:sz w:val="20"/>
          <w:szCs w:val="20"/>
        </w:rPr>
        <w:t xml:space="preserve"> De igual manera solicitó que declare que el Estado Venezolano no es responsable por la</w:t>
      </w:r>
      <w:r w:rsidR="00AF2BB4">
        <w:rPr>
          <w:rFonts w:ascii="Cambria" w:hAnsi="Cambria"/>
          <w:sz w:val="20"/>
          <w:szCs w:val="20"/>
        </w:rPr>
        <w:t>s alegadas violaciones presentadas en este caso</w:t>
      </w:r>
      <w:r w:rsidR="006D7602">
        <w:rPr>
          <w:rFonts w:ascii="Cambria" w:hAnsi="Cambria"/>
          <w:sz w:val="20"/>
          <w:szCs w:val="20"/>
        </w:rPr>
        <w:t>.</w:t>
      </w:r>
      <w:r w:rsidR="00DF1420">
        <w:rPr>
          <w:rFonts w:ascii="Cambria" w:hAnsi="Cambria"/>
          <w:sz w:val="20"/>
          <w:szCs w:val="20"/>
        </w:rPr>
        <w:t xml:space="preserve"> </w:t>
      </w:r>
    </w:p>
    <w:p w14:paraId="2367DC3C" w14:textId="77777777" w:rsidR="00CF140D" w:rsidRPr="00357FF9" w:rsidRDefault="00CF140D" w:rsidP="00C04D3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hAnsi="Cambria"/>
          <w:sz w:val="20"/>
          <w:szCs w:val="20"/>
        </w:rPr>
      </w:pPr>
    </w:p>
    <w:p w14:paraId="216B6D2E" w14:textId="77777777" w:rsidR="00CF140D" w:rsidRPr="00357FF9" w:rsidRDefault="00CF140D" w:rsidP="00C04D34">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0"/>
        <w:ind w:left="0" w:firstLine="720"/>
        <w:rPr>
          <w:rFonts w:ascii="Cambria" w:hAnsi="Cambria"/>
          <w:sz w:val="20"/>
          <w:szCs w:val="20"/>
        </w:rPr>
      </w:pPr>
      <w:r w:rsidRPr="00357FF9">
        <w:rPr>
          <w:rFonts w:ascii="Cambria" w:hAnsi="Cambria"/>
          <w:bCs w:val="0"/>
          <w:sz w:val="20"/>
          <w:szCs w:val="20"/>
        </w:rPr>
        <w:t xml:space="preserve">ANÁLISIS SOBRE ADMISIBILIDAD </w:t>
      </w:r>
    </w:p>
    <w:p w14:paraId="31484831" w14:textId="77777777" w:rsidR="00CF140D" w:rsidRPr="00357FF9" w:rsidRDefault="00CF140D" w:rsidP="00C04D34">
      <w:pPr>
        <w:tabs>
          <w:tab w:val="left" w:pos="1440"/>
        </w:tabs>
        <w:ind w:firstLine="720"/>
        <w:jc w:val="both"/>
        <w:rPr>
          <w:rFonts w:ascii="Cambria" w:hAnsi="Cambria"/>
          <w:sz w:val="20"/>
          <w:szCs w:val="20"/>
        </w:rPr>
      </w:pPr>
      <w:r w:rsidRPr="00357FF9">
        <w:rPr>
          <w:rFonts w:ascii="Cambria" w:hAnsi="Cambria"/>
          <w:b/>
          <w:bCs/>
          <w:sz w:val="20"/>
          <w:szCs w:val="20"/>
        </w:rPr>
        <w:t> </w:t>
      </w:r>
    </w:p>
    <w:p w14:paraId="6B62FB98" w14:textId="5D5E2745" w:rsidR="00AE7A03" w:rsidRPr="00357FF9" w:rsidRDefault="00CF140D" w:rsidP="00C04D34">
      <w:pPr>
        <w:pStyle w:val="Heading2"/>
        <w:numPr>
          <w:ilvl w:val="0"/>
          <w:numId w:val="59"/>
        </w:numPr>
        <w:tabs>
          <w:tab w:val="clear" w:pos="1080"/>
          <w:tab w:val="left" w:pos="1440"/>
        </w:tabs>
        <w:ind w:left="0" w:firstLine="720"/>
      </w:pPr>
      <w:r w:rsidRPr="00C04D34">
        <w:t xml:space="preserve">Competencia </w:t>
      </w:r>
    </w:p>
    <w:p w14:paraId="40F7A465" w14:textId="77777777" w:rsidR="00AE7A03" w:rsidRPr="00357FF9" w:rsidRDefault="00AE7A03" w:rsidP="00C04D3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sz w:val="20"/>
          <w:szCs w:val="20"/>
        </w:rPr>
      </w:pPr>
    </w:p>
    <w:p w14:paraId="365AE531" w14:textId="3C109BEA" w:rsidR="00C04D34" w:rsidRPr="00C04D34" w:rsidRDefault="00C04D34" w:rsidP="00C04D3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sz w:val="20"/>
          <w:szCs w:val="20"/>
          <w:lang w:val="es-ES_tradnl"/>
        </w:rPr>
      </w:pPr>
      <w:r w:rsidRPr="00C04D34">
        <w:rPr>
          <w:sz w:val="20"/>
          <w:szCs w:val="20"/>
          <w:lang w:val="es-AR"/>
        </w:rPr>
        <w:t xml:space="preserve">Los peticionarios se encuentran facultados, en principio, por el artículo 44 de la Convención Americana para presentar peticiones ante la Comisión. La petición señala como presuntas víctimas a personas individuales, a quienes el Estado venezolano se comprometió a respetar y garantizar </w:t>
      </w:r>
      <w:r w:rsidR="00AF2BB4">
        <w:rPr>
          <w:sz w:val="20"/>
          <w:szCs w:val="20"/>
          <w:lang w:val="es-AR"/>
        </w:rPr>
        <w:t>sus</w:t>
      </w:r>
      <w:r w:rsidRPr="00C04D34">
        <w:rPr>
          <w:sz w:val="20"/>
          <w:szCs w:val="20"/>
          <w:lang w:val="es-AR"/>
        </w:rPr>
        <w:t xml:space="preserve"> derechos </w:t>
      </w:r>
      <w:r w:rsidR="00AF2BB4">
        <w:rPr>
          <w:sz w:val="20"/>
          <w:szCs w:val="20"/>
          <w:lang w:val="es-AR"/>
        </w:rPr>
        <w:t>humanos</w:t>
      </w:r>
      <w:r w:rsidRPr="00C04D34">
        <w:rPr>
          <w:sz w:val="20"/>
          <w:szCs w:val="20"/>
          <w:lang w:val="es-AR"/>
        </w:rPr>
        <w:t xml:space="preserve">. En lo concerniente al Estado, la Comisión señala que Venezuela </w:t>
      </w:r>
      <w:r w:rsidR="00562D17">
        <w:rPr>
          <w:sz w:val="20"/>
          <w:szCs w:val="20"/>
          <w:lang w:val="es-AR"/>
        </w:rPr>
        <w:t>fue</w:t>
      </w:r>
      <w:r w:rsidRPr="00C04D34">
        <w:rPr>
          <w:sz w:val="20"/>
          <w:szCs w:val="20"/>
          <w:lang w:val="es-AR"/>
        </w:rPr>
        <w:t xml:space="preserve"> un Estado parte en la Convención Americana </w:t>
      </w:r>
      <w:r w:rsidR="00562D17">
        <w:rPr>
          <w:sz w:val="20"/>
          <w:szCs w:val="20"/>
          <w:lang w:val="es-AR"/>
        </w:rPr>
        <w:t>entre</w:t>
      </w:r>
      <w:r w:rsidRPr="00C04D34">
        <w:rPr>
          <w:sz w:val="20"/>
          <w:szCs w:val="20"/>
          <w:lang w:val="es-AR"/>
        </w:rPr>
        <w:t xml:space="preserve"> el 9 de agosto de 1977, fecha en que depositó su instrumento de ratificación</w:t>
      </w:r>
      <w:r w:rsidR="00562D17">
        <w:rPr>
          <w:sz w:val="20"/>
          <w:szCs w:val="20"/>
          <w:lang w:val="es-AR"/>
        </w:rPr>
        <w:t>,</w:t>
      </w:r>
      <w:r w:rsidRPr="00C04D34">
        <w:rPr>
          <w:sz w:val="20"/>
          <w:szCs w:val="20"/>
          <w:lang w:val="es-AR"/>
        </w:rPr>
        <w:t xml:space="preserve"> y el 10 de septiembre de 2013, fecha en que entró en vigor la denuncia de la Convención por parte del Estado. </w:t>
      </w:r>
      <w:r w:rsidR="00E1782C">
        <w:rPr>
          <w:sz w:val="20"/>
          <w:szCs w:val="20"/>
          <w:lang w:val="es-AR"/>
        </w:rPr>
        <w:t xml:space="preserve">Presuntos hechos ocurridos después de esta fecha serían analizados sobre la base de la Declaración Americana sobre Derechos y Deberes del Hombre. </w:t>
      </w:r>
      <w:r w:rsidR="00562D17">
        <w:rPr>
          <w:sz w:val="20"/>
          <w:szCs w:val="20"/>
          <w:lang w:val="es-AR"/>
        </w:rPr>
        <w:t xml:space="preserve">Asimismo, el Estado es parte de la </w:t>
      </w:r>
      <w:r w:rsidR="00562D17" w:rsidRPr="005758BA">
        <w:rPr>
          <w:rFonts w:asciiTheme="majorHAnsi" w:hAnsiTheme="majorHAnsi"/>
          <w:sz w:val="20"/>
          <w:szCs w:val="20"/>
          <w:lang w:val="es-AR"/>
        </w:rPr>
        <w:t>Convención Interamericana sobre Desaparición Forzada de Personas</w:t>
      </w:r>
      <w:r w:rsidR="00562D17">
        <w:rPr>
          <w:rFonts w:asciiTheme="majorHAnsi" w:hAnsiTheme="majorHAnsi"/>
          <w:sz w:val="20"/>
          <w:szCs w:val="20"/>
          <w:lang w:val="es-AR"/>
        </w:rPr>
        <w:t xml:space="preserve"> desde el 19 de enero de 1999</w:t>
      </w:r>
      <w:r w:rsidR="00924245">
        <w:rPr>
          <w:rFonts w:asciiTheme="majorHAnsi" w:hAnsiTheme="majorHAnsi"/>
          <w:sz w:val="20"/>
          <w:szCs w:val="20"/>
          <w:lang w:val="es-AR"/>
        </w:rPr>
        <w:t>;</w:t>
      </w:r>
      <w:r w:rsidR="00562D17">
        <w:rPr>
          <w:rFonts w:asciiTheme="majorHAnsi" w:hAnsiTheme="majorHAnsi"/>
          <w:sz w:val="20"/>
          <w:szCs w:val="20"/>
          <w:lang w:val="es-AR"/>
        </w:rPr>
        <w:t xml:space="preserve"> y de la </w:t>
      </w:r>
      <w:r w:rsidR="00562D17" w:rsidRPr="005758BA">
        <w:rPr>
          <w:rFonts w:asciiTheme="majorHAnsi" w:hAnsiTheme="majorHAnsi"/>
          <w:bCs/>
          <w:sz w:val="20"/>
          <w:szCs w:val="20"/>
          <w:lang w:val="es-AR"/>
        </w:rPr>
        <w:t>Convención Interamericana para Prevenir y Sancionar la Tortura</w:t>
      </w:r>
      <w:r w:rsidR="00562D17">
        <w:rPr>
          <w:rFonts w:asciiTheme="majorHAnsi" w:hAnsiTheme="majorHAnsi"/>
          <w:bCs/>
          <w:sz w:val="20"/>
          <w:szCs w:val="20"/>
          <w:lang w:val="es-AR"/>
        </w:rPr>
        <w:t xml:space="preserve">, desde el 26 de agosto de 1991, fechas en las que el Estado depositó </w:t>
      </w:r>
      <w:r w:rsidR="00562D17" w:rsidRPr="00C04D34">
        <w:rPr>
          <w:sz w:val="20"/>
          <w:szCs w:val="20"/>
          <w:lang w:val="es-AR"/>
        </w:rPr>
        <w:t>su</w:t>
      </w:r>
      <w:r w:rsidR="00562D17">
        <w:rPr>
          <w:sz w:val="20"/>
          <w:szCs w:val="20"/>
          <w:lang w:val="es-AR"/>
        </w:rPr>
        <w:t>s respectivos</w:t>
      </w:r>
      <w:r w:rsidR="00562D17" w:rsidRPr="00C04D34">
        <w:rPr>
          <w:sz w:val="20"/>
          <w:szCs w:val="20"/>
          <w:lang w:val="es-AR"/>
        </w:rPr>
        <w:t xml:space="preserve"> instrumento</w:t>
      </w:r>
      <w:r w:rsidR="00562D17">
        <w:rPr>
          <w:sz w:val="20"/>
          <w:szCs w:val="20"/>
          <w:lang w:val="es-AR"/>
        </w:rPr>
        <w:t>s</w:t>
      </w:r>
      <w:r w:rsidR="00562D17" w:rsidRPr="00C04D34">
        <w:rPr>
          <w:sz w:val="20"/>
          <w:szCs w:val="20"/>
          <w:lang w:val="es-AR"/>
        </w:rPr>
        <w:t xml:space="preserve"> de ratificación</w:t>
      </w:r>
      <w:r w:rsidR="00562D17">
        <w:rPr>
          <w:sz w:val="20"/>
          <w:szCs w:val="20"/>
          <w:lang w:val="es-AR"/>
        </w:rPr>
        <w:t>.</w:t>
      </w:r>
      <w:r w:rsidR="00562D17" w:rsidRPr="005758BA">
        <w:rPr>
          <w:rFonts w:asciiTheme="majorHAnsi" w:hAnsiTheme="majorHAnsi"/>
          <w:sz w:val="20"/>
          <w:szCs w:val="20"/>
          <w:lang w:val="es-AR"/>
        </w:rPr>
        <w:t xml:space="preserve"> </w:t>
      </w:r>
      <w:r w:rsidRPr="00C04D34">
        <w:rPr>
          <w:sz w:val="20"/>
          <w:szCs w:val="20"/>
          <w:lang w:val="es-AR"/>
        </w:rPr>
        <w:t xml:space="preserve">Por lo tanto, la CIDH tiene competencia </w:t>
      </w:r>
      <w:r w:rsidRPr="00C04D34">
        <w:rPr>
          <w:i/>
          <w:sz w:val="20"/>
          <w:szCs w:val="20"/>
          <w:lang w:val="es-AR"/>
        </w:rPr>
        <w:t>ratione personae</w:t>
      </w:r>
      <w:r w:rsidRPr="00C04D34">
        <w:rPr>
          <w:sz w:val="20"/>
          <w:szCs w:val="20"/>
          <w:lang w:val="es-AR"/>
        </w:rPr>
        <w:t xml:space="preserve"> para examinar la petición. </w:t>
      </w:r>
    </w:p>
    <w:p w14:paraId="3B4E3948" w14:textId="77777777" w:rsidR="00C04D34" w:rsidRPr="00C04D34" w:rsidRDefault="00C04D34" w:rsidP="00C04D3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rPr>
      </w:pPr>
    </w:p>
    <w:p w14:paraId="102ADF4D" w14:textId="77777777" w:rsidR="00562D17" w:rsidRPr="00562D17" w:rsidRDefault="00562D17" w:rsidP="00562D1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sz w:val="20"/>
          <w:szCs w:val="20"/>
          <w:lang w:val="es-ES_tradnl"/>
        </w:rPr>
      </w:pPr>
      <w:r w:rsidRPr="00562D17">
        <w:rPr>
          <w:sz w:val="20"/>
          <w:szCs w:val="20"/>
          <w:lang w:val="es-ES_tradnl"/>
        </w:rPr>
        <w:t xml:space="preserve">Asimismo, dado que en la petición se aducen violaciones de derechos protegidos en </w:t>
      </w:r>
      <w:r>
        <w:rPr>
          <w:sz w:val="20"/>
          <w:szCs w:val="20"/>
          <w:lang w:val="es-ES_tradnl"/>
        </w:rPr>
        <w:t>instrumentos interamericanos</w:t>
      </w:r>
      <w:r w:rsidRPr="00562D17">
        <w:rPr>
          <w:sz w:val="20"/>
          <w:szCs w:val="20"/>
          <w:lang w:val="es-ES_tradnl"/>
        </w:rPr>
        <w:t xml:space="preserve"> que habrían tenido lugar bajo la jurisdicción del Estado</w:t>
      </w:r>
      <w:r>
        <w:rPr>
          <w:sz w:val="20"/>
          <w:szCs w:val="20"/>
          <w:lang w:val="es-ES_tradnl"/>
        </w:rPr>
        <w:t xml:space="preserve"> de Venezuela, </w:t>
      </w:r>
      <w:r>
        <w:rPr>
          <w:sz w:val="20"/>
          <w:szCs w:val="20"/>
          <w:lang w:val="es-AR"/>
        </w:rPr>
        <w:t>l</w:t>
      </w:r>
      <w:r w:rsidR="00C04D34" w:rsidRPr="00C04D34">
        <w:rPr>
          <w:sz w:val="20"/>
          <w:szCs w:val="20"/>
          <w:lang w:val="es-AR"/>
        </w:rPr>
        <w:t xml:space="preserve">a Comisión tiene competencia </w:t>
      </w:r>
      <w:r w:rsidR="00C04D34" w:rsidRPr="00C04D34">
        <w:rPr>
          <w:i/>
          <w:sz w:val="20"/>
          <w:szCs w:val="20"/>
          <w:lang w:val="es-AR"/>
        </w:rPr>
        <w:t>ratione loci</w:t>
      </w:r>
      <w:r w:rsidR="00C04D34" w:rsidRPr="00C04D34">
        <w:rPr>
          <w:sz w:val="20"/>
          <w:szCs w:val="20"/>
          <w:lang w:val="es-AR"/>
        </w:rPr>
        <w:t xml:space="preserve"> para conocer </w:t>
      </w:r>
      <w:r>
        <w:rPr>
          <w:sz w:val="20"/>
          <w:szCs w:val="20"/>
          <w:lang w:val="es-AR"/>
        </w:rPr>
        <w:t xml:space="preserve">en el asunto. </w:t>
      </w:r>
    </w:p>
    <w:p w14:paraId="32970F99" w14:textId="77777777" w:rsidR="00562D17" w:rsidRPr="00562D17" w:rsidRDefault="00562D17" w:rsidP="00562D17">
      <w:pPr>
        <w:rPr>
          <w:sz w:val="20"/>
          <w:szCs w:val="20"/>
          <w:lang w:val="es-AR"/>
        </w:rPr>
      </w:pPr>
    </w:p>
    <w:p w14:paraId="009A073B" w14:textId="1D50473F" w:rsidR="00562D17" w:rsidRPr="00562D17" w:rsidRDefault="00C04D34" w:rsidP="00C04D3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sz w:val="20"/>
          <w:szCs w:val="20"/>
          <w:lang w:val="es-ES_tradnl"/>
        </w:rPr>
      </w:pPr>
      <w:r w:rsidRPr="00C04D34">
        <w:rPr>
          <w:sz w:val="20"/>
          <w:szCs w:val="20"/>
          <w:lang w:val="es-AR"/>
        </w:rPr>
        <w:t xml:space="preserve">La Comisión tiene competencia </w:t>
      </w:r>
      <w:r w:rsidRPr="00C04D34">
        <w:rPr>
          <w:i/>
          <w:sz w:val="20"/>
          <w:szCs w:val="20"/>
          <w:lang w:val="es-AR"/>
        </w:rPr>
        <w:t>ratione temporis</w:t>
      </w:r>
      <w:r w:rsidRPr="00C04D34">
        <w:rPr>
          <w:sz w:val="20"/>
          <w:szCs w:val="20"/>
          <w:lang w:val="es-AR"/>
        </w:rPr>
        <w:t xml:space="preserve"> por cuanto las obligaciones de respetar y garantizar los derechos protegidos en la Convención Americana</w:t>
      </w:r>
      <w:r w:rsidR="00562D17">
        <w:rPr>
          <w:sz w:val="20"/>
          <w:szCs w:val="20"/>
          <w:lang w:val="es-AR"/>
        </w:rPr>
        <w:t xml:space="preserve">, en la </w:t>
      </w:r>
      <w:r w:rsidR="00562D17" w:rsidRPr="005758BA">
        <w:rPr>
          <w:rFonts w:asciiTheme="majorHAnsi" w:hAnsiTheme="majorHAnsi"/>
          <w:sz w:val="20"/>
          <w:szCs w:val="20"/>
          <w:lang w:val="es-AR"/>
        </w:rPr>
        <w:t>Convención Interamericana sobre Desaparición Forzada de Personas</w:t>
      </w:r>
      <w:r w:rsidR="00562D17">
        <w:rPr>
          <w:rFonts w:asciiTheme="majorHAnsi" w:hAnsiTheme="majorHAnsi"/>
          <w:sz w:val="20"/>
          <w:szCs w:val="20"/>
          <w:lang w:val="es-AR"/>
        </w:rPr>
        <w:t xml:space="preserve"> y en la </w:t>
      </w:r>
      <w:r w:rsidR="00562D17" w:rsidRPr="005758BA">
        <w:rPr>
          <w:rFonts w:asciiTheme="majorHAnsi" w:hAnsiTheme="majorHAnsi"/>
          <w:bCs/>
          <w:sz w:val="20"/>
          <w:szCs w:val="20"/>
          <w:lang w:val="es-AR"/>
        </w:rPr>
        <w:t>Convención Interamericana para Prevenir y Sancionar la Tortura</w:t>
      </w:r>
      <w:r w:rsidR="00562D17">
        <w:rPr>
          <w:sz w:val="20"/>
          <w:szCs w:val="20"/>
          <w:lang w:val="es-AR"/>
        </w:rPr>
        <w:t xml:space="preserve"> </w:t>
      </w:r>
      <w:r w:rsidRPr="00C04D34">
        <w:rPr>
          <w:sz w:val="20"/>
          <w:szCs w:val="20"/>
          <w:lang w:val="es-AR"/>
        </w:rPr>
        <w:t xml:space="preserve"> se encontraban en vigor para el Estado en la fecha en que habrían ocurrido los hechos alegados en la petición. </w:t>
      </w:r>
    </w:p>
    <w:p w14:paraId="0E2BF6BA" w14:textId="77777777" w:rsidR="00562D17" w:rsidRPr="00562D17" w:rsidRDefault="00562D17" w:rsidP="00562D17">
      <w:pPr>
        <w:pStyle w:val="ListParagraph"/>
        <w:rPr>
          <w:sz w:val="20"/>
          <w:szCs w:val="20"/>
          <w:lang w:val="es-AR"/>
        </w:rPr>
      </w:pPr>
    </w:p>
    <w:p w14:paraId="1E6C342A" w14:textId="09BCA86F" w:rsidR="00C04D34" w:rsidRPr="002D36AA" w:rsidRDefault="002D36AA" w:rsidP="00C04D3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sz w:val="20"/>
          <w:szCs w:val="20"/>
          <w:lang w:val="es-ES_tradnl"/>
        </w:rPr>
      </w:pPr>
      <w:r>
        <w:rPr>
          <w:sz w:val="20"/>
          <w:szCs w:val="20"/>
          <w:lang w:val="es-AR"/>
        </w:rPr>
        <w:t>Asimismo</w:t>
      </w:r>
      <w:r w:rsidR="00C04D34" w:rsidRPr="00C04D34">
        <w:rPr>
          <w:sz w:val="20"/>
          <w:szCs w:val="20"/>
          <w:lang w:val="es-AR"/>
        </w:rPr>
        <w:t xml:space="preserve">, la Comisión tiene competencia </w:t>
      </w:r>
      <w:r w:rsidR="00C04D34" w:rsidRPr="00C04D34">
        <w:rPr>
          <w:i/>
          <w:sz w:val="20"/>
          <w:szCs w:val="20"/>
          <w:lang w:val="es-AR"/>
        </w:rPr>
        <w:t>ratione materiae</w:t>
      </w:r>
      <w:r w:rsidR="00C04D34" w:rsidRPr="00C04D34">
        <w:rPr>
          <w:sz w:val="20"/>
          <w:szCs w:val="20"/>
          <w:lang w:val="es-AR"/>
        </w:rPr>
        <w:t>, porque en las peticiones se denuncian posibles violaciones a derechos humanos protegidos por la Convención Americana</w:t>
      </w:r>
      <w:r w:rsidR="00CC7ED2">
        <w:rPr>
          <w:sz w:val="20"/>
          <w:szCs w:val="20"/>
          <w:lang w:val="es-AR"/>
        </w:rPr>
        <w:t xml:space="preserve">, por la </w:t>
      </w:r>
      <w:r w:rsidR="00CC7ED2" w:rsidRPr="005758BA">
        <w:rPr>
          <w:rFonts w:asciiTheme="majorHAnsi" w:hAnsiTheme="majorHAnsi"/>
          <w:sz w:val="20"/>
          <w:szCs w:val="20"/>
          <w:lang w:val="es-AR"/>
        </w:rPr>
        <w:t>Convención Interamericana sobre Desaparición Forzada de Personas</w:t>
      </w:r>
      <w:r w:rsidR="00CC7ED2">
        <w:rPr>
          <w:rFonts w:asciiTheme="majorHAnsi" w:hAnsiTheme="majorHAnsi"/>
          <w:sz w:val="20"/>
          <w:szCs w:val="20"/>
          <w:lang w:val="es-AR"/>
        </w:rPr>
        <w:t xml:space="preserve"> y por la </w:t>
      </w:r>
      <w:r w:rsidR="00CC7ED2" w:rsidRPr="005758BA">
        <w:rPr>
          <w:rFonts w:asciiTheme="majorHAnsi" w:hAnsiTheme="majorHAnsi"/>
          <w:bCs/>
          <w:sz w:val="20"/>
          <w:szCs w:val="20"/>
          <w:lang w:val="es-AR"/>
        </w:rPr>
        <w:t>Convención Interamericana para Prevenir y Sancionar la Tortura</w:t>
      </w:r>
      <w:r w:rsidR="00C04D34" w:rsidRPr="00C04D34">
        <w:rPr>
          <w:sz w:val="20"/>
          <w:szCs w:val="20"/>
          <w:lang w:val="es-AR"/>
        </w:rPr>
        <w:t>.</w:t>
      </w:r>
    </w:p>
    <w:p w14:paraId="2B404924" w14:textId="77777777" w:rsidR="002D36AA" w:rsidRPr="002D36AA" w:rsidRDefault="002D36AA" w:rsidP="002D36A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lang w:val="es-ES_tradnl"/>
        </w:rPr>
      </w:pPr>
    </w:p>
    <w:p w14:paraId="45F6E1C6" w14:textId="558893F9" w:rsidR="002D36AA" w:rsidRPr="00924245" w:rsidRDefault="002D36AA" w:rsidP="00C04D3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sz w:val="20"/>
          <w:szCs w:val="20"/>
          <w:lang w:val="es-ES_tradnl"/>
        </w:rPr>
      </w:pPr>
      <w:r>
        <w:rPr>
          <w:sz w:val="20"/>
          <w:szCs w:val="20"/>
          <w:lang w:val="es-ES_tradnl"/>
        </w:rPr>
        <w:t xml:space="preserve">Finalmente, la Comisión no tiene competencia para pronunciarse sobre la violación del artículo 15 de la Convención Interamericana contra el Terrorismo alegada por los peticionarios. </w:t>
      </w:r>
    </w:p>
    <w:p w14:paraId="6025B989" w14:textId="77777777" w:rsidR="00924245" w:rsidRPr="00924245" w:rsidRDefault="00924245" w:rsidP="0092424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lang w:val="es-ES_tradnl"/>
        </w:rPr>
      </w:pPr>
    </w:p>
    <w:p w14:paraId="7217DFC9" w14:textId="6FDA3B5F" w:rsidR="00CF140D" w:rsidRPr="00C04D34" w:rsidRDefault="00C04D34" w:rsidP="00C04D34">
      <w:pPr>
        <w:pStyle w:val="Heading2"/>
        <w:numPr>
          <w:ilvl w:val="0"/>
          <w:numId w:val="59"/>
        </w:numPr>
        <w:tabs>
          <w:tab w:val="clear" w:pos="1080"/>
          <w:tab w:val="left" w:pos="1440"/>
        </w:tabs>
        <w:ind w:left="0" w:firstLine="720"/>
      </w:pPr>
      <w:r w:rsidRPr="00C04D34">
        <w:rPr>
          <w:rStyle w:val="heading2charcharchar"/>
          <w:rFonts w:ascii="Cambria" w:eastAsia="Trebuchet MS" w:hAnsi="Cambria" w:cs="Arial"/>
          <w:b/>
          <w:bCs/>
        </w:rPr>
        <w:t>R</w:t>
      </w:r>
      <w:r w:rsidR="00CF140D" w:rsidRPr="00C04D34">
        <w:rPr>
          <w:rStyle w:val="heading2charcharchar"/>
          <w:rFonts w:ascii="Cambria" w:eastAsia="Trebuchet MS" w:hAnsi="Cambria" w:cs="Arial"/>
          <w:b/>
          <w:bCs/>
        </w:rPr>
        <w:t xml:space="preserve">equisitos </w:t>
      </w:r>
      <w:r w:rsidRPr="00C04D34">
        <w:rPr>
          <w:rStyle w:val="heading2charcharchar"/>
          <w:rFonts w:ascii="Cambria" w:eastAsia="Trebuchet MS" w:hAnsi="Cambria" w:cs="Arial"/>
          <w:b/>
          <w:bCs/>
        </w:rPr>
        <w:t>de admisibilidad</w:t>
      </w:r>
    </w:p>
    <w:p w14:paraId="18F10D2B" w14:textId="77777777" w:rsidR="00CF140D" w:rsidRPr="00357FF9" w:rsidRDefault="00CF140D" w:rsidP="00C04D34">
      <w:pPr>
        <w:tabs>
          <w:tab w:val="left" w:pos="1440"/>
        </w:tabs>
        <w:ind w:firstLine="720"/>
        <w:jc w:val="both"/>
        <w:rPr>
          <w:rFonts w:ascii="Cambria" w:hAnsi="Cambria"/>
          <w:sz w:val="20"/>
          <w:szCs w:val="20"/>
        </w:rPr>
      </w:pPr>
    </w:p>
    <w:p w14:paraId="7292FADE" w14:textId="77777777" w:rsidR="00CF140D" w:rsidRPr="00357FF9" w:rsidRDefault="00CF140D" w:rsidP="00C04D34">
      <w:pPr>
        <w:pStyle w:val="Heading3"/>
        <w:numPr>
          <w:ilvl w:val="0"/>
          <w:numId w:val="60"/>
        </w:numPr>
        <w:tabs>
          <w:tab w:val="clear" w:pos="1080"/>
          <w:tab w:val="left" w:pos="1440"/>
        </w:tabs>
        <w:spacing w:before="0" w:after="0"/>
        <w:ind w:left="0" w:firstLine="720"/>
        <w:rPr>
          <w:rFonts w:ascii="Cambria" w:hAnsi="Cambria"/>
          <w:bCs w:val="0"/>
          <w:sz w:val="20"/>
          <w:szCs w:val="20"/>
        </w:rPr>
      </w:pPr>
      <w:r w:rsidRPr="00357FF9">
        <w:rPr>
          <w:rFonts w:ascii="Cambria" w:hAnsi="Cambria"/>
          <w:bCs w:val="0"/>
          <w:sz w:val="20"/>
          <w:szCs w:val="20"/>
        </w:rPr>
        <w:t>Agotamiento de los recursos internos</w:t>
      </w:r>
    </w:p>
    <w:p w14:paraId="0BAF0519" w14:textId="77777777" w:rsidR="00CF140D" w:rsidRPr="00357FF9" w:rsidRDefault="00CF140D" w:rsidP="00C04D34">
      <w:pPr>
        <w:tabs>
          <w:tab w:val="left" w:pos="1440"/>
        </w:tabs>
        <w:ind w:firstLine="720"/>
        <w:jc w:val="both"/>
        <w:rPr>
          <w:rFonts w:ascii="Cambria" w:hAnsi="Cambria"/>
          <w:sz w:val="20"/>
          <w:szCs w:val="20"/>
        </w:rPr>
      </w:pPr>
    </w:p>
    <w:p w14:paraId="3C340C2F" w14:textId="37347C40" w:rsidR="001007BA" w:rsidRDefault="00A96F06" w:rsidP="001007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sz w:val="20"/>
          <w:szCs w:val="20"/>
          <w:lang w:val="es-ES_tradnl"/>
        </w:rPr>
      </w:pPr>
      <w:r>
        <w:rPr>
          <w:sz w:val="20"/>
          <w:szCs w:val="20"/>
          <w:lang w:val="es-ES_tradnl"/>
        </w:rPr>
        <w:t>El artículo 46.1.a</w:t>
      </w:r>
      <w:r w:rsidR="00C04D34" w:rsidRPr="00C04D34">
        <w:rPr>
          <w:sz w:val="20"/>
          <w:szCs w:val="20"/>
          <w:lang w:val="es-ES_tradnl"/>
        </w:rPr>
        <w:t xml:space="preserve"> de la Convención Americana dispone que para que sea admisible una denuncia presentada ante la Comisión Interamericana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w:t>
      </w:r>
    </w:p>
    <w:p w14:paraId="3167480C" w14:textId="77777777" w:rsidR="00813174" w:rsidRDefault="00813174" w:rsidP="0081317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lang w:val="es-ES_tradnl"/>
        </w:rPr>
      </w:pPr>
    </w:p>
    <w:p w14:paraId="0F6B889B" w14:textId="1AA7DC77" w:rsidR="00813174" w:rsidRPr="00AF2BB4" w:rsidRDefault="00FF0960" w:rsidP="0081317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sz w:val="20"/>
          <w:szCs w:val="20"/>
          <w:lang w:val="es-ES_tradnl"/>
        </w:rPr>
      </w:pPr>
      <w:r w:rsidRPr="00AF2BB4">
        <w:rPr>
          <w:rFonts w:cs="Calibri"/>
          <w:sz w:val="20"/>
          <w:szCs w:val="20"/>
          <w:lang w:val="es-ES_tradnl"/>
        </w:rPr>
        <w:t xml:space="preserve">En primer lugar, </w:t>
      </w:r>
      <w:r w:rsidR="00813174" w:rsidRPr="00AF2BB4">
        <w:rPr>
          <w:rFonts w:cs="Calibri"/>
          <w:sz w:val="20"/>
          <w:szCs w:val="20"/>
          <w:lang w:val="es-ES_tradnl"/>
        </w:rPr>
        <w:t xml:space="preserve">el Estado cuestionó el hecho de que la petición </w:t>
      </w:r>
      <w:r w:rsidR="00497280">
        <w:rPr>
          <w:rFonts w:cs="Calibri"/>
          <w:sz w:val="20"/>
          <w:szCs w:val="20"/>
          <w:lang w:val="es-ES_tradnl"/>
        </w:rPr>
        <w:t>hubiera</w:t>
      </w:r>
      <w:r w:rsidR="00813174" w:rsidRPr="00AF2BB4">
        <w:rPr>
          <w:rFonts w:cs="Calibri"/>
          <w:sz w:val="20"/>
          <w:szCs w:val="20"/>
          <w:lang w:val="es-ES_tradnl"/>
        </w:rPr>
        <w:t xml:space="preserve"> </w:t>
      </w:r>
      <w:r w:rsidR="00813174" w:rsidRPr="00AF2BB4">
        <w:rPr>
          <w:sz w:val="20"/>
          <w:szCs w:val="20"/>
          <w:lang w:val="es-AR"/>
        </w:rPr>
        <w:t xml:space="preserve">sido interpuesta “en pleno curso del proceso interno” y, por lo tanto, antes de que los peticionarios hubieran agotado los recursos internos. </w:t>
      </w:r>
      <w:r w:rsidRPr="00AF2BB4">
        <w:rPr>
          <w:sz w:val="20"/>
          <w:szCs w:val="20"/>
          <w:lang w:val="es-ES_tradnl"/>
        </w:rPr>
        <w:t>Por su parte, l</w:t>
      </w:r>
      <w:r w:rsidR="00813174" w:rsidRPr="00AF2BB4">
        <w:rPr>
          <w:sz w:val="20"/>
          <w:szCs w:val="20"/>
          <w:lang w:val="es-ES_tradnl"/>
        </w:rPr>
        <w:t xml:space="preserve">os peticionarios alegaron que recurrieron ante la CIDH antes de agotar los recursos internos </w:t>
      </w:r>
      <w:r w:rsidR="00133919">
        <w:rPr>
          <w:sz w:val="20"/>
          <w:szCs w:val="20"/>
          <w:lang w:val="es-ES_tradnl"/>
        </w:rPr>
        <w:t>debido a</w:t>
      </w:r>
      <w:r w:rsidR="00813174" w:rsidRPr="00AF2BB4">
        <w:rPr>
          <w:sz w:val="20"/>
          <w:szCs w:val="20"/>
          <w:lang w:val="es-ES_tradnl"/>
        </w:rPr>
        <w:t xml:space="preserve"> la total incertidumbre e indefinición en que se encontraban las presuntas víctimas, y con el objeto de solventar la “ausencia de estado de derecho imperante en el país”. En tal sentido puntualizan que, si bien se podía acceder a recursos de la jurisdicción interna, los mismos no eran efectivos por la “escogencia a dedo de los jueces y fiscales” que conocieron la causa.</w:t>
      </w:r>
    </w:p>
    <w:p w14:paraId="2B645E7A" w14:textId="77777777" w:rsidR="00813174" w:rsidRPr="00813174" w:rsidRDefault="00813174" w:rsidP="0081317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lang w:val="es-ES_tradnl"/>
        </w:rPr>
      </w:pPr>
    </w:p>
    <w:p w14:paraId="219EB5DA" w14:textId="4A080887" w:rsidR="00813174" w:rsidRPr="00FF0960" w:rsidRDefault="00031EE9" w:rsidP="00FF096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sz w:val="20"/>
          <w:szCs w:val="20"/>
          <w:lang w:val="es-ES_tradnl"/>
        </w:rPr>
      </w:pPr>
      <w:r>
        <w:rPr>
          <w:sz w:val="20"/>
          <w:szCs w:val="20"/>
          <w:lang w:val="es-ES_tradnl"/>
        </w:rPr>
        <w:t>De manera preliminar</w:t>
      </w:r>
      <w:r w:rsidR="00813174" w:rsidRPr="00813174">
        <w:rPr>
          <w:sz w:val="20"/>
          <w:szCs w:val="20"/>
          <w:lang w:val="es-ES_tradnl"/>
        </w:rPr>
        <w:t xml:space="preserve">, la Comisión observa que efectivamente la petición bajo estudio fue presentada antes de que se hubieran agotado todos los recursos de la jurisdicción interna. </w:t>
      </w:r>
      <w:r w:rsidR="00133919">
        <w:rPr>
          <w:sz w:val="20"/>
          <w:szCs w:val="20"/>
          <w:lang w:val="es-ES_tradnl"/>
        </w:rPr>
        <w:t>Según su práctica,</w:t>
      </w:r>
      <w:r w:rsidR="00813174" w:rsidRPr="00813174">
        <w:rPr>
          <w:rFonts w:cs="Calibri"/>
          <w:sz w:val="20"/>
          <w:szCs w:val="20"/>
          <w:lang w:val="es-ES_tradnl"/>
        </w:rPr>
        <w:t xml:space="preserve"> la CIDH ha determinado que la situación que debe tenerse en cuenta para establecer si se han agotado los recursos de la jurisdicción interna es aquella existente al momento de decidir sobre la admisibilidad, puesto que el momento de la presentación de la denuncia y el del pronunciamiento sobre admisibilidad son distintos</w:t>
      </w:r>
      <w:r w:rsidR="00813174" w:rsidRPr="00813174">
        <w:rPr>
          <w:rStyle w:val="FootnoteReference"/>
          <w:rFonts w:cs="Calibri"/>
          <w:sz w:val="20"/>
          <w:szCs w:val="20"/>
          <w:lang w:val="es-ES_tradnl"/>
        </w:rPr>
        <w:footnoteReference w:id="3"/>
      </w:r>
      <w:r w:rsidR="00813174" w:rsidRPr="00813174">
        <w:rPr>
          <w:rFonts w:cs="Calibri"/>
          <w:sz w:val="20"/>
          <w:szCs w:val="20"/>
          <w:lang w:val="es-ES_tradnl"/>
        </w:rPr>
        <w:t>.</w:t>
      </w:r>
      <w:r w:rsidR="008B1F6F">
        <w:rPr>
          <w:rFonts w:cs="Calibri"/>
          <w:sz w:val="20"/>
          <w:szCs w:val="20"/>
          <w:lang w:val="es-ES_tradnl"/>
        </w:rPr>
        <w:t xml:space="preserve"> </w:t>
      </w:r>
      <w:r w:rsidR="00813174" w:rsidRPr="00813174">
        <w:rPr>
          <w:rFonts w:cs="Calibri"/>
          <w:sz w:val="20"/>
          <w:szCs w:val="20"/>
          <w:lang w:val="es-ES_tradnl"/>
        </w:rPr>
        <w:t xml:space="preserve">Por lo tanto, la Comisión usará este criterio al analizar el agotamiento de los recursos internos y el plazo de presentación de la petición. </w:t>
      </w:r>
    </w:p>
    <w:p w14:paraId="33422C45" w14:textId="77777777" w:rsidR="00C31C5E" w:rsidRDefault="00C31C5E" w:rsidP="00C31C5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sz w:val="20"/>
          <w:szCs w:val="20"/>
          <w:lang w:val="es-ES_tradnl"/>
        </w:rPr>
      </w:pPr>
    </w:p>
    <w:p w14:paraId="51F87344" w14:textId="2BC5FC99" w:rsidR="00E2300F" w:rsidRPr="00E2300F" w:rsidRDefault="00A61297" w:rsidP="001007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sz w:val="20"/>
          <w:szCs w:val="20"/>
          <w:lang w:val="es-ES_tradnl"/>
        </w:rPr>
      </w:pPr>
      <w:r>
        <w:rPr>
          <w:sz w:val="20"/>
          <w:szCs w:val="20"/>
          <w:lang w:val="es-ES"/>
        </w:rPr>
        <w:t>Seguidamente, l</w:t>
      </w:r>
      <w:r w:rsidR="00C31C5E" w:rsidRPr="00C31C5E">
        <w:rPr>
          <w:sz w:val="20"/>
          <w:szCs w:val="20"/>
          <w:lang w:val="es-ES"/>
        </w:rPr>
        <w:t xml:space="preserve">a Comisión observa que </w:t>
      </w:r>
      <w:r w:rsidR="00D05026">
        <w:rPr>
          <w:sz w:val="20"/>
          <w:szCs w:val="20"/>
          <w:lang w:val="es-ES"/>
        </w:rPr>
        <w:t xml:space="preserve">la presente petición incluye varias alegaciones que se sustanciaron a nivel interno </w:t>
      </w:r>
      <w:r w:rsidR="00E2300F">
        <w:rPr>
          <w:sz w:val="20"/>
          <w:szCs w:val="20"/>
          <w:lang w:val="es-ES"/>
        </w:rPr>
        <w:t>por</w:t>
      </w:r>
      <w:r w:rsidR="00D05026">
        <w:rPr>
          <w:sz w:val="20"/>
          <w:szCs w:val="20"/>
          <w:lang w:val="es-ES"/>
        </w:rPr>
        <w:t xml:space="preserve"> vías procesales</w:t>
      </w:r>
      <w:r w:rsidR="00FF0960">
        <w:rPr>
          <w:sz w:val="20"/>
          <w:szCs w:val="20"/>
          <w:lang w:val="es-ES"/>
        </w:rPr>
        <w:t xml:space="preserve"> diferenciadas</w:t>
      </w:r>
      <w:r w:rsidR="00D05026">
        <w:rPr>
          <w:sz w:val="20"/>
          <w:szCs w:val="20"/>
          <w:lang w:val="es-ES"/>
        </w:rPr>
        <w:t>.</w:t>
      </w:r>
      <w:r w:rsidR="00E2300F">
        <w:rPr>
          <w:sz w:val="20"/>
          <w:szCs w:val="20"/>
          <w:lang w:val="es-ES"/>
        </w:rPr>
        <w:t xml:space="preserve"> En tal sentido, la CIDH </w:t>
      </w:r>
      <w:r w:rsidR="00FF0960">
        <w:rPr>
          <w:sz w:val="20"/>
          <w:szCs w:val="20"/>
          <w:lang w:val="es-ES"/>
        </w:rPr>
        <w:t>analizará</w:t>
      </w:r>
      <w:r w:rsidR="00E2300F">
        <w:rPr>
          <w:sz w:val="20"/>
          <w:szCs w:val="20"/>
          <w:lang w:val="es-ES"/>
        </w:rPr>
        <w:t xml:space="preserve"> en qué medida se ha cumplido con el requisito del previo agotamiento de los recursos internos respecto de cada un</w:t>
      </w:r>
      <w:r>
        <w:rPr>
          <w:sz w:val="20"/>
          <w:szCs w:val="20"/>
          <w:lang w:val="es-ES"/>
        </w:rPr>
        <w:t>a</w:t>
      </w:r>
      <w:r w:rsidR="00E2300F">
        <w:rPr>
          <w:sz w:val="20"/>
          <w:szCs w:val="20"/>
          <w:lang w:val="es-ES"/>
        </w:rPr>
        <w:t xml:space="preserve"> de </w:t>
      </w:r>
      <w:r>
        <w:rPr>
          <w:sz w:val="20"/>
          <w:szCs w:val="20"/>
          <w:lang w:val="es-ES"/>
        </w:rPr>
        <w:t>esas vías procesales</w:t>
      </w:r>
      <w:r w:rsidR="004E0A07">
        <w:rPr>
          <w:sz w:val="20"/>
          <w:szCs w:val="20"/>
          <w:lang w:val="es-ES"/>
        </w:rPr>
        <w:t>; o si se aplica alguna de las excepciones previstas en el artículo 46.2 de la Convención.</w:t>
      </w:r>
    </w:p>
    <w:p w14:paraId="769BF4A5" w14:textId="77777777" w:rsidR="00E2300F" w:rsidRPr="00E2300F" w:rsidRDefault="00E2300F" w:rsidP="00E2300F">
      <w:pPr>
        <w:pStyle w:val="ListParagraph"/>
        <w:rPr>
          <w:sz w:val="20"/>
          <w:szCs w:val="20"/>
          <w:lang w:val="es-ES"/>
        </w:rPr>
      </w:pPr>
    </w:p>
    <w:p w14:paraId="2E5DC303" w14:textId="14496662" w:rsidR="00D05026" w:rsidRPr="00E2300F" w:rsidRDefault="00D05026" w:rsidP="00E2300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sz w:val="20"/>
          <w:szCs w:val="20"/>
          <w:lang w:val="es-AR"/>
        </w:rPr>
      </w:pPr>
      <w:r>
        <w:rPr>
          <w:sz w:val="20"/>
          <w:szCs w:val="20"/>
          <w:lang w:val="es-ES"/>
        </w:rPr>
        <w:t xml:space="preserve"> </w:t>
      </w:r>
      <w:r w:rsidR="00E2300F">
        <w:rPr>
          <w:sz w:val="20"/>
          <w:szCs w:val="20"/>
          <w:lang w:val="es-ES"/>
        </w:rPr>
        <w:t xml:space="preserve">a. </w:t>
      </w:r>
      <w:r w:rsidR="00E2300F">
        <w:rPr>
          <w:sz w:val="20"/>
          <w:szCs w:val="20"/>
          <w:lang w:val="es-ES"/>
        </w:rPr>
        <w:tab/>
      </w:r>
      <w:r w:rsidR="00984CB6">
        <w:rPr>
          <w:i/>
          <w:sz w:val="20"/>
          <w:szCs w:val="20"/>
          <w:lang w:val="es-AR"/>
        </w:rPr>
        <w:t>Respecto d</w:t>
      </w:r>
      <w:r w:rsidR="00E2300F" w:rsidRPr="00E2300F">
        <w:rPr>
          <w:i/>
          <w:sz w:val="20"/>
          <w:szCs w:val="20"/>
          <w:lang w:val="es-AR"/>
        </w:rPr>
        <w:t xml:space="preserve">e la investigación por </w:t>
      </w:r>
      <w:r w:rsidR="00984CB6">
        <w:rPr>
          <w:i/>
          <w:sz w:val="20"/>
          <w:szCs w:val="20"/>
          <w:lang w:val="es-AR"/>
        </w:rPr>
        <w:t xml:space="preserve">supuestas </w:t>
      </w:r>
      <w:r w:rsidR="00E2300F" w:rsidRPr="00E2300F">
        <w:rPr>
          <w:i/>
          <w:sz w:val="20"/>
          <w:szCs w:val="20"/>
          <w:lang w:val="es-AR"/>
        </w:rPr>
        <w:t>torturas</w:t>
      </w:r>
    </w:p>
    <w:p w14:paraId="7BB80936" w14:textId="77777777" w:rsidR="002465C7" w:rsidRPr="00BB00BC" w:rsidRDefault="002465C7" w:rsidP="00BB00BC">
      <w:pPr>
        <w:tabs>
          <w:tab w:val="left" w:pos="1440"/>
        </w:tabs>
        <w:jc w:val="both"/>
        <w:rPr>
          <w:sz w:val="20"/>
          <w:szCs w:val="20"/>
        </w:rPr>
      </w:pPr>
    </w:p>
    <w:p w14:paraId="559E1318" w14:textId="16EBA1E6" w:rsidR="007B1500" w:rsidRDefault="00D01E78" w:rsidP="00C04D34">
      <w:pPr>
        <w:pStyle w:val="ListParagraph"/>
        <w:numPr>
          <w:ilvl w:val="0"/>
          <w:numId w:val="56"/>
        </w:numPr>
        <w:tabs>
          <w:tab w:val="clear" w:pos="2160"/>
          <w:tab w:val="left" w:pos="1440"/>
        </w:tabs>
        <w:ind w:left="0" w:firstLine="720"/>
        <w:jc w:val="both"/>
        <w:rPr>
          <w:sz w:val="20"/>
          <w:szCs w:val="20"/>
          <w:lang w:val="es-ES_tradnl"/>
        </w:rPr>
      </w:pPr>
      <w:r w:rsidRPr="007B1500">
        <w:rPr>
          <w:sz w:val="20"/>
          <w:szCs w:val="20"/>
          <w:lang w:val="es-ES_tradnl"/>
        </w:rPr>
        <w:t xml:space="preserve">De acuerdo </w:t>
      </w:r>
      <w:r w:rsidR="009F04C9" w:rsidRPr="007B1500">
        <w:rPr>
          <w:sz w:val="20"/>
          <w:szCs w:val="20"/>
          <w:lang w:val="es-ES_tradnl"/>
        </w:rPr>
        <w:t xml:space="preserve">con la información </w:t>
      </w:r>
      <w:r w:rsidR="002465C7" w:rsidRPr="007B1500">
        <w:rPr>
          <w:sz w:val="20"/>
          <w:szCs w:val="20"/>
          <w:lang w:val="es-ES_tradnl"/>
        </w:rPr>
        <w:t>disponible</w:t>
      </w:r>
      <w:r w:rsidRPr="007B1500">
        <w:rPr>
          <w:sz w:val="20"/>
          <w:szCs w:val="20"/>
          <w:lang w:val="es-ES_tradnl"/>
        </w:rPr>
        <w:t xml:space="preserve">, la CIDH observa que </w:t>
      </w:r>
      <w:r w:rsidR="009F04C9" w:rsidRPr="007B1500">
        <w:rPr>
          <w:sz w:val="20"/>
          <w:szCs w:val="20"/>
          <w:lang w:val="es-ES_tradnl"/>
        </w:rPr>
        <w:t xml:space="preserve">a raíz de que </w:t>
      </w:r>
      <w:r w:rsidRPr="007B1500">
        <w:rPr>
          <w:sz w:val="20"/>
          <w:szCs w:val="20"/>
          <w:lang w:val="es-ES_tradnl"/>
        </w:rPr>
        <w:t>las presuntas víctimas denuncia</w:t>
      </w:r>
      <w:r w:rsidR="009F04C9" w:rsidRPr="007B1500">
        <w:rPr>
          <w:sz w:val="20"/>
          <w:szCs w:val="20"/>
          <w:lang w:val="es-ES_tradnl"/>
        </w:rPr>
        <w:t>ron</w:t>
      </w:r>
      <w:r w:rsidRPr="007B1500">
        <w:rPr>
          <w:sz w:val="20"/>
          <w:szCs w:val="20"/>
          <w:lang w:val="es-ES_tradnl"/>
        </w:rPr>
        <w:t xml:space="preserve"> </w:t>
      </w:r>
      <w:r w:rsidR="00A61297">
        <w:rPr>
          <w:sz w:val="20"/>
          <w:szCs w:val="20"/>
          <w:lang w:val="es-ES_tradnl"/>
        </w:rPr>
        <w:t xml:space="preserve">haber sufrido </w:t>
      </w:r>
      <w:r w:rsidRPr="007B1500">
        <w:rPr>
          <w:sz w:val="20"/>
          <w:szCs w:val="20"/>
          <w:lang w:val="es-ES_tradnl"/>
        </w:rPr>
        <w:t xml:space="preserve">torturas ante el </w:t>
      </w:r>
      <w:r w:rsidR="009F04C9" w:rsidRPr="007B1500">
        <w:rPr>
          <w:sz w:val="20"/>
          <w:szCs w:val="20"/>
          <w:lang w:val="es-ES_tradnl"/>
        </w:rPr>
        <w:t xml:space="preserve">Juzgado 34°, la Fiscalía 126° inició un investigación penal para esclarecer los hechos. </w:t>
      </w:r>
      <w:r w:rsidR="003C6620" w:rsidRPr="007B1500">
        <w:rPr>
          <w:rFonts w:asciiTheme="majorHAnsi" w:hAnsiTheme="majorHAnsi"/>
          <w:sz w:val="20"/>
          <w:szCs w:val="20"/>
          <w:lang w:val="es-AR"/>
        </w:rPr>
        <w:t xml:space="preserve">Los peticionarios sostuvieron que </w:t>
      </w:r>
      <w:r w:rsidR="00D777A1">
        <w:rPr>
          <w:rFonts w:asciiTheme="majorHAnsi" w:hAnsiTheme="majorHAnsi"/>
          <w:sz w:val="20"/>
          <w:szCs w:val="20"/>
          <w:lang w:val="es-AR"/>
        </w:rPr>
        <w:t>los hechos denunciados</w:t>
      </w:r>
      <w:r w:rsidR="003C6620" w:rsidRPr="007B1500">
        <w:rPr>
          <w:rFonts w:asciiTheme="majorHAnsi" w:hAnsiTheme="majorHAnsi"/>
          <w:sz w:val="20"/>
          <w:szCs w:val="20"/>
          <w:lang w:val="es-AR"/>
        </w:rPr>
        <w:t xml:space="preserve"> habría quedado en la impunidad</w:t>
      </w:r>
      <w:r w:rsidR="00D777A1">
        <w:rPr>
          <w:rFonts w:asciiTheme="majorHAnsi" w:hAnsiTheme="majorHAnsi"/>
          <w:sz w:val="20"/>
          <w:szCs w:val="20"/>
          <w:lang w:val="es-AR"/>
        </w:rPr>
        <w:t>,</w:t>
      </w:r>
      <w:r w:rsidR="003C6620" w:rsidRPr="007B1500">
        <w:rPr>
          <w:rFonts w:asciiTheme="majorHAnsi" w:hAnsiTheme="majorHAnsi"/>
          <w:sz w:val="20"/>
          <w:szCs w:val="20"/>
          <w:lang w:val="es-AR"/>
        </w:rPr>
        <w:t xml:space="preserve"> y que </w:t>
      </w:r>
      <w:r w:rsidR="003C6620" w:rsidRPr="007B1500">
        <w:rPr>
          <w:rFonts w:asciiTheme="majorHAnsi" w:hAnsiTheme="majorHAnsi"/>
          <w:color w:val="000000" w:themeColor="text1"/>
          <w:sz w:val="20"/>
          <w:szCs w:val="20"/>
          <w:lang w:val="es-AR"/>
        </w:rPr>
        <w:t xml:space="preserve">el </w:t>
      </w:r>
      <w:r w:rsidR="003C6620" w:rsidRPr="007B1500">
        <w:rPr>
          <w:rFonts w:asciiTheme="majorHAnsi" w:hAnsiTheme="majorHAnsi" w:cs="Arial"/>
          <w:color w:val="000000" w:themeColor="text1"/>
          <w:sz w:val="20"/>
          <w:szCs w:val="20"/>
          <w:lang w:val="es-AR"/>
        </w:rPr>
        <w:t xml:space="preserve">19 de julio de 2006 se habría ordenado el archivo fiscal de la investigación, </w:t>
      </w:r>
      <w:r w:rsidR="003C6620" w:rsidRPr="007B1500">
        <w:rPr>
          <w:rFonts w:asciiTheme="majorHAnsi" w:hAnsiTheme="majorHAnsi"/>
          <w:color w:val="000000" w:themeColor="text1"/>
          <w:sz w:val="20"/>
          <w:szCs w:val="20"/>
          <w:lang w:val="es-AR"/>
        </w:rPr>
        <w:t>sin que se hubiera</w:t>
      </w:r>
      <w:r w:rsidR="003C6620" w:rsidRPr="007B1500">
        <w:rPr>
          <w:color w:val="000000" w:themeColor="text1"/>
          <w:sz w:val="20"/>
          <w:szCs w:val="20"/>
          <w:lang w:val="es-AR"/>
        </w:rPr>
        <w:t xml:space="preserve"> identificado a los responsables. </w:t>
      </w:r>
      <w:r w:rsidR="002465C7" w:rsidRPr="007B1500">
        <w:rPr>
          <w:sz w:val="20"/>
          <w:szCs w:val="20"/>
          <w:lang w:val="es-ES_tradnl"/>
        </w:rPr>
        <w:t>Asimismo, alegaron</w:t>
      </w:r>
      <w:r w:rsidRPr="007B1500">
        <w:rPr>
          <w:sz w:val="20"/>
          <w:szCs w:val="20"/>
          <w:lang w:val="es-ES_tradnl"/>
        </w:rPr>
        <w:t xml:space="preserve"> que no se les habría permitido obtener copia del expediente y que </w:t>
      </w:r>
      <w:r w:rsidR="003C6620" w:rsidRPr="007B1500">
        <w:rPr>
          <w:sz w:val="20"/>
          <w:szCs w:val="20"/>
          <w:lang w:val="es-ES_tradnl"/>
        </w:rPr>
        <w:t xml:space="preserve">se les habría notificado </w:t>
      </w:r>
      <w:r w:rsidRPr="007B1500">
        <w:rPr>
          <w:sz w:val="20"/>
          <w:szCs w:val="20"/>
          <w:lang w:val="es-ES_tradnl"/>
        </w:rPr>
        <w:t xml:space="preserve">del archivo fiscal diez meses después. </w:t>
      </w:r>
    </w:p>
    <w:p w14:paraId="7ED4AA75" w14:textId="77777777" w:rsidR="007B1500" w:rsidRDefault="007B1500" w:rsidP="007B1500">
      <w:pPr>
        <w:pStyle w:val="ListParagraph"/>
        <w:tabs>
          <w:tab w:val="left" w:pos="1440"/>
        </w:tabs>
        <w:jc w:val="both"/>
        <w:rPr>
          <w:sz w:val="20"/>
          <w:szCs w:val="20"/>
          <w:lang w:val="es-ES_tradnl"/>
        </w:rPr>
      </w:pPr>
    </w:p>
    <w:p w14:paraId="75F37E3F" w14:textId="0734F332" w:rsidR="00326DF3" w:rsidRPr="007B1500" w:rsidRDefault="009F04C9" w:rsidP="00C04D34">
      <w:pPr>
        <w:pStyle w:val="ListParagraph"/>
        <w:numPr>
          <w:ilvl w:val="0"/>
          <w:numId w:val="56"/>
        </w:numPr>
        <w:tabs>
          <w:tab w:val="clear" w:pos="2160"/>
          <w:tab w:val="left" w:pos="1440"/>
        </w:tabs>
        <w:ind w:left="0" w:firstLine="720"/>
        <w:jc w:val="both"/>
        <w:rPr>
          <w:sz w:val="20"/>
          <w:szCs w:val="20"/>
          <w:lang w:val="es-ES_tradnl"/>
        </w:rPr>
      </w:pPr>
      <w:r w:rsidRPr="007B1500">
        <w:rPr>
          <w:sz w:val="20"/>
          <w:szCs w:val="20"/>
          <w:lang w:val="es-ES_tradnl"/>
        </w:rPr>
        <w:t>E</w:t>
      </w:r>
      <w:r w:rsidR="00326DF3" w:rsidRPr="007B1500">
        <w:rPr>
          <w:sz w:val="20"/>
          <w:szCs w:val="20"/>
          <w:lang w:val="es-ES_tradnl"/>
        </w:rPr>
        <w:t>l Estado</w:t>
      </w:r>
      <w:r w:rsidR="00031EE9" w:rsidRPr="007B1500">
        <w:rPr>
          <w:sz w:val="20"/>
          <w:szCs w:val="20"/>
          <w:lang w:val="es-ES_tradnl"/>
        </w:rPr>
        <w:t xml:space="preserve"> </w:t>
      </w:r>
      <w:r w:rsidR="00326DF3" w:rsidRPr="007B1500">
        <w:rPr>
          <w:sz w:val="20"/>
          <w:szCs w:val="20"/>
          <w:lang w:val="es-ES_tradnl"/>
        </w:rPr>
        <w:t>aleg</w:t>
      </w:r>
      <w:r w:rsidR="00E2300F" w:rsidRPr="007B1500">
        <w:rPr>
          <w:sz w:val="20"/>
          <w:szCs w:val="20"/>
          <w:lang w:val="es-ES_tradnl"/>
        </w:rPr>
        <w:t>ó</w:t>
      </w:r>
      <w:r w:rsidR="00326DF3" w:rsidRPr="007B1500">
        <w:rPr>
          <w:sz w:val="20"/>
          <w:szCs w:val="20"/>
          <w:lang w:val="es-ES_tradnl"/>
        </w:rPr>
        <w:t xml:space="preserve"> que</w:t>
      </w:r>
      <w:r w:rsidR="00A61297">
        <w:rPr>
          <w:sz w:val="20"/>
          <w:szCs w:val="20"/>
          <w:lang w:val="es-ES_tradnl"/>
        </w:rPr>
        <w:t>,</w:t>
      </w:r>
      <w:r w:rsidR="00D01E78" w:rsidRPr="007B1500">
        <w:rPr>
          <w:sz w:val="20"/>
          <w:szCs w:val="20"/>
          <w:lang w:val="es-ES_tradnl"/>
        </w:rPr>
        <w:t xml:space="preserve"> luego de que se hubiera decidido el archivo fiscal</w:t>
      </w:r>
      <w:r w:rsidR="00326DF3" w:rsidRPr="007B1500">
        <w:rPr>
          <w:sz w:val="20"/>
          <w:szCs w:val="20"/>
          <w:lang w:val="es-ES_tradnl"/>
        </w:rPr>
        <w:t xml:space="preserve">, </w:t>
      </w:r>
      <w:r w:rsidRPr="007B1500">
        <w:rPr>
          <w:sz w:val="20"/>
          <w:szCs w:val="20"/>
          <w:lang w:val="es-ES_tradnl"/>
        </w:rPr>
        <w:t>las presuntas víctimas</w:t>
      </w:r>
      <w:r w:rsidR="00326DF3" w:rsidRPr="007B1500">
        <w:rPr>
          <w:sz w:val="20"/>
          <w:szCs w:val="20"/>
          <w:lang w:val="es-ES_tradnl"/>
        </w:rPr>
        <w:t xml:space="preserve"> podrían haber solicitado la reapertura de la investigación</w:t>
      </w:r>
      <w:r w:rsidRPr="007B1500">
        <w:rPr>
          <w:sz w:val="20"/>
          <w:szCs w:val="20"/>
          <w:lang w:val="es-ES_tradnl"/>
        </w:rPr>
        <w:t>,</w:t>
      </w:r>
      <w:r w:rsidR="00BB00BC" w:rsidRPr="007B1500">
        <w:rPr>
          <w:sz w:val="20"/>
          <w:szCs w:val="20"/>
          <w:lang w:val="es-ES_tradnl"/>
        </w:rPr>
        <w:t xml:space="preserve"> en los términos del</w:t>
      </w:r>
      <w:r w:rsidR="00326DF3" w:rsidRPr="007B1500">
        <w:rPr>
          <w:sz w:val="20"/>
          <w:szCs w:val="20"/>
          <w:lang w:val="es-ES_tradnl"/>
        </w:rPr>
        <w:t xml:space="preserve"> </w:t>
      </w:r>
      <w:r w:rsidR="00BB00BC" w:rsidRPr="007B1500">
        <w:rPr>
          <w:sz w:val="20"/>
          <w:szCs w:val="20"/>
          <w:lang w:val="es-ES_tradnl"/>
        </w:rPr>
        <w:t xml:space="preserve">artículo 315 del Código Orgánico Procesal Penal </w:t>
      </w:r>
      <w:r w:rsidR="00326DF3" w:rsidRPr="007B1500">
        <w:rPr>
          <w:sz w:val="20"/>
          <w:szCs w:val="20"/>
          <w:lang w:val="es-ES_tradnl"/>
        </w:rPr>
        <w:t>indicando las dilige</w:t>
      </w:r>
      <w:r w:rsidR="00583979" w:rsidRPr="007B1500">
        <w:rPr>
          <w:sz w:val="20"/>
          <w:szCs w:val="20"/>
          <w:lang w:val="es-ES_tradnl"/>
        </w:rPr>
        <w:t>ncias necesarias</w:t>
      </w:r>
      <w:r w:rsidRPr="007B1500">
        <w:rPr>
          <w:sz w:val="20"/>
          <w:szCs w:val="20"/>
          <w:lang w:val="es-ES_tradnl"/>
        </w:rPr>
        <w:t xml:space="preserve">. Sin embargo, sostiene, </w:t>
      </w:r>
      <w:r w:rsidR="00FE6E2D" w:rsidRPr="007B1500">
        <w:rPr>
          <w:sz w:val="20"/>
          <w:szCs w:val="20"/>
          <w:lang w:val="es-ES_tradnl"/>
        </w:rPr>
        <w:t xml:space="preserve">no </w:t>
      </w:r>
      <w:r w:rsidR="00583979" w:rsidRPr="007B1500">
        <w:rPr>
          <w:sz w:val="20"/>
          <w:szCs w:val="20"/>
          <w:lang w:val="es-ES_tradnl"/>
        </w:rPr>
        <w:t>habrían hecho</w:t>
      </w:r>
      <w:r w:rsidRPr="007B1500">
        <w:rPr>
          <w:sz w:val="20"/>
          <w:szCs w:val="20"/>
          <w:lang w:val="es-ES_tradnl"/>
        </w:rPr>
        <w:t xml:space="preserve"> uso de esta facultad</w:t>
      </w:r>
      <w:r w:rsidR="00326DF3" w:rsidRPr="007B1500">
        <w:rPr>
          <w:sz w:val="20"/>
          <w:szCs w:val="20"/>
          <w:lang w:val="es-ES_tradnl"/>
        </w:rPr>
        <w:t xml:space="preserve">. </w:t>
      </w:r>
    </w:p>
    <w:p w14:paraId="193F342B" w14:textId="77777777" w:rsidR="00326DF3" w:rsidRPr="00357FF9" w:rsidRDefault="00326DF3" w:rsidP="00C04D34">
      <w:pPr>
        <w:pStyle w:val="ListParagraph"/>
        <w:tabs>
          <w:tab w:val="left" w:pos="1440"/>
        </w:tabs>
        <w:ind w:left="0" w:firstLine="720"/>
        <w:jc w:val="both"/>
        <w:rPr>
          <w:sz w:val="20"/>
          <w:szCs w:val="20"/>
          <w:lang w:val="es-ES_tradnl"/>
        </w:rPr>
      </w:pPr>
    </w:p>
    <w:p w14:paraId="59C37EF0" w14:textId="21036DF3" w:rsidR="00F022C8" w:rsidRPr="00F022C8" w:rsidRDefault="00F022C8" w:rsidP="003C76C5">
      <w:pPr>
        <w:pStyle w:val="ListParagraph"/>
        <w:numPr>
          <w:ilvl w:val="0"/>
          <w:numId w:val="56"/>
        </w:numPr>
        <w:tabs>
          <w:tab w:val="clear" w:pos="2160"/>
          <w:tab w:val="left" w:pos="1440"/>
        </w:tabs>
        <w:ind w:left="0" w:firstLine="720"/>
        <w:contextualSpacing/>
        <w:jc w:val="both"/>
        <w:rPr>
          <w:rFonts w:asciiTheme="majorHAnsi" w:hAnsiTheme="majorHAnsi"/>
          <w:sz w:val="20"/>
          <w:szCs w:val="20"/>
          <w:lang w:val="es-ES_tradnl"/>
        </w:rPr>
      </w:pPr>
      <w:r w:rsidRPr="00F022C8">
        <w:rPr>
          <w:sz w:val="20"/>
          <w:szCs w:val="20"/>
          <w:lang w:val="es-ES"/>
        </w:rPr>
        <w:t>La jurisprudencia de la CIDH ha sido constante al momento de establecer </w:t>
      </w:r>
      <w:r w:rsidRPr="00F022C8">
        <w:rPr>
          <w:sz w:val="20"/>
          <w:szCs w:val="20"/>
          <w:lang w:val="es-NI"/>
        </w:rPr>
        <w:t>que </w:t>
      </w:r>
      <w:r w:rsidR="00BB00BC" w:rsidRPr="00BB00BC">
        <w:rPr>
          <w:sz w:val="20"/>
          <w:szCs w:val="20"/>
          <w:lang w:val="es-ES"/>
        </w:rPr>
        <w:t>en los casos en los que se alega tortura, el recurso adecuado y efectivo es normalmente una investigación y proceso penal</w:t>
      </w:r>
      <w:r w:rsidR="00A61297">
        <w:rPr>
          <w:sz w:val="20"/>
          <w:szCs w:val="20"/>
          <w:lang w:val="es-ES"/>
        </w:rPr>
        <w:t>,</w:t>
      </w:r>
      <w:r w:rsidR="00BB00BC" w:rsidRPr="00BB00BC">
        <w:rPr>
          <w:sz w:val="20"/>
          <w:szCs w:val="20"/>
          <w:lang w:val="es-ES"/>
        </w:rPr>
        <w:t xml:space="preserve"> y</w:t>
      </w:r>
      <w:r w:rsidR="00A61297">
        <w:rPr>
          <w:sz w:val="20"/>
          <w:szCs w:val="20"/>
          <w:lang w:val="es-ES"/>
        </w:rPr>
        <w:t xml:space="preserve"> </w:t>
      </w:r>
      <w:r w:rsidR="00A61297">
        <w:rPr>
          <w:sz w:val="20"/>
          <w:szCs w:val="20"/>
          <w:lang w:val="es-ES"/>
        </w:rPr>
        <w:lastRenderedPageBreak/>
        <w:t>que</w:t>
      </w:r>
      <w:r w:rsidR="00BB00BC" w:rsidRPr="00BB00BC">
        <w:rPr>
          <w:sz w:val="20"/>
          <w:szCs w:val="20"/>
          <w:lang w:val="es-ES"/>
        </w:rPr>
        <w:t xml:space="preserve"> el Estado tiene la obligación de promover e impulsar </w:t>
      </w:r>
      <w:r w:rsidR="008D5065">
        <w:rPr>
          <w:sz w:val="20"/>
          <w:szCs w:val="20"/>
          <w:lang w:val="es-ES"/>
        </w:rPr>
        <w:t>el mismo</w:t>
      </w:r>
      <w:r w:rsidR="00BB00BC">
        <w:rPr>
          <w:rStyle w:val="FootnoteReference"/>
          <w:sz w:val="20"/>
          <w:szCs w:val="20"/>
          <w:lang w:val="es-ES"/>
        </w:rPr>
        <w:footnoteReference w:id="4"/>
      </w:r>
      <w:r w:rsidR="00BB00BC" w:rsidRPr="00BB00BC">
        <w:rPr>
          <w:sz w:val="20"/>
          <w:szCs w:val="20"/>
          <w:lang w:val="es-ES"/>
        </w:rPr>
        <w:t>.</w:t>
      </w:r>
      <w:r w:rsidR="008B1F6F">
        <w:rPr>
          <w:sz w:val="20"/>
          <w:szCs w:val="20"/>
          <w:lang w:val="es-ES"/>
        </w:rPr>
        <w:t xml:space="preserve"> </w:t>
      </w:r>
      <w:r w:rsidRPr="00F022C8">
        <w:rPr>
          <w:sz w:val="20"/>
          <w:szCs w:val="20"/>
          <w:lang w:val="es-EC"/>
        </w:rPr>
        <w:t>Tratándose de casos como el presente, que involucran posibles</w:t>
      </w:r>
      <w:r w:rsidR="00A61297">
        <w:rPr>
          <w:sz w:val="20"/>
          <w:szCs w:val="20"/>
          <w:lang w:val="es-EC"/>
        </w:rPr>
        <w:t xml:space="preserve"> delitos perseguibles de oficio</w:t>
      </w:r>
      <w:r w:rsidRPr="00F022C8">
        <w:rPr>
          <w:sz w:val="20"/>
          <w:szCs w:val="20"/>
          <w:lang w:val="es-EC"/>
        </w:rPr>
        <w:t xml:space="preserve"> </w:t>
      </w:r>
      <w:r w:rsidR="00A61297">
        <w:rPr>
          <w:sz w:val="20"/>
          <w:szCs w:val="20"/>
          <w:lang w:val="es-EC"/>
        </w:rPr>
        <w:t>—</w:t>
      </w:r>
      <w:r w:rsidRPr="00F022C8">
        <w:rPr>
          <w:sz w:val="20"/>
          <w:szCs w:val="20"/>
          <w:lang w:val="es-EC"/>
        </w:rPr>
        <w:t xml:space="preserve">y más aún cuando agentes del Estado </w:t>
      </w:r>
      <w:r w:rsidR="008D5065">
        <w:rPr>
          <w:sz w:val="20"/>
          <w:szCs w:val="20"/>
          <w:lang w:val="es-EC"/>
        </w:rPr>
        <w:t>podrían estar eventualmente</w:t>
      </w:r>
      <w:r w:rsidRPr="00F022C8">
        <w:rPr>
          <w:sz w:val="20"/>
          <w:szCs w:val="20"/>
          <w:lang w:val="es-EC"/>
        </w:rPr>
        <w:t xml:space="preserve"> implicados en </w:t>
      </w:r>
      <w:r w:rsidR="00A61297">
        <w:rPr>
          <w:sz w:val="20"/>
          <w:szCs w:val="20"/>
          <w:lang w:val="es-EC"/>
        </w:rPr>
        <w:t>dichos delitos—</w:t>
      </w:r>
      <w:r>
        <w:rPr>
          <w:sz w:val="20"/>
          <w:szCs w:val="20"/>
          <w:lang w:val="es-EC"/>
        </w:rPr>
        <w:t xml:space="preserve"> el Estado tiene, como titular de acción punitiva, </w:t>
      </w:r>
      <w:r w:rsidR="008C3789">
        <w:rPr>
          <w:sz w:val="20"/>
          <w:szCs w:val="20"/>
          <w:lang w:val="es-EC"/>
        </w:rPr>
        <w:t xml:space="preserve">y </w:t>
      </w:r>
      <w:r w:rsidRPr="000350C5">
        <w:rPr>
          <w:rFonts w:asciiTheme="majorHAnsi" w:hAnsiTheme="majorHAnsi"/>
          <w:sz w:val="20"/>
          <w:szCs w:val="20"/>
          <w:lang w:val="es-AR"/>
        </w:rPr>
        <w:t>a través del Ministerio Público,</w:t>
      </w:r>
      <w:r>
        <w:rPr>
          <w:rFonts w:asciiTheme="majorHAnsi" w:hAnsiTheme="majorHAnsi"/>
          <w:sz w:val="20"/>
          <w:szCs w:val="20"/>
          <w:lang w:val="es-AR"/>
        </w:rPr>
        <w:t xml:space="preserve"> </w:t>
      </w:r>
      <w:r w:rsidRPr="000350C5">
        <w:rPr>
          <w:rFonts w:asciiTheme="majorHAnsi" w:hAnsiTheme="majorHAnsi"/>
          <w:sz w:val="20"/>
          <w:szCs w:val="20"/>
          <w:lang w:val="es-AR"/>
        </w:rPr>
        <w:t xml:space="preserve">la obligación </w:t>
      </w:r>
      <w:r w:rsidR="004E0A07">
        <w:rPr>
          <w:rFonts w:asciiTheme="majorHAnsi" w:hAnsiTheme="majorHAnsi"/>
          <w:sz w:val="20"/>
          <w:szCs w:val="20"/>
          <w:lang w:val="es-AR"/>
        </w:rPr>
        <w:t>de</w:t>
      </w:r>
      <w:r w:rsidRPr="000350C5">
        <w:rPr>
          <w:rFonts w:asciiTheme="majorHAnsi" w:hAnsiTheme="majorHAnsi"/>
          <w:sz w:val="20"/>
          <w:szCs w:val="20"/>
          <w:lang w:val="es-AR"/>
        </w:rPr>
        <w:t xml:space="preserve"> promover la acción penal e impulsar </w:t>
      </w:r>
      <w:r>
        <w:rPr>
          <w:rFonts w:asciiTheme="majorHAnsi" w:hAnsiTheme="majorHAnsi"/>
          <w:sz w:val="20"/>
          <w:szCs w:val="20"/>
          <w:lang w:val="es-AR"/>
        </w:rPr>
        <w:t>diligentemente todas las</w:t>
      </w:r>
      <w:r w:rsidRPr="000350C5">
        <w:rPr>
          <w:rFonts w:asciiTheme="majorHAnsi" w:hAnsiTheme="majorHAnsi"/>
          <w:sz w:val="20"/>
          <w:szCs w:val="20"/>
          <w:lang w:val="es-AR"/>
        </w:rPr>
        <w:t xml:space="preserve"> etapas procesales hasta su conclusión</w:t>
      </w:r>
      <w:r>
        <w:rPr>
          <w:rStyle w:val="FootnoteReference"/>
          <w:rFonts w:asciiTheme="majorHAnsi" w:hAnsiTheme="majorHAnsi"/>
          <w:sz w:val="20"/>
          <w:szCs w:val="20"/>
          <w:lang w:val="es-AR"/>
        </w:rPr>
        <w:footnoteReference w:id="5"/>
      </w:r>
      <w:r>
        <w:rPr>
          <w:rFonts w:asciiTheme="majorHAnsi" w:hAnsiTheme="majorHAnsi"/>
          <w:sz w:val="20"/>
          <w:szCs w:val="20"/>
          <w:lang w:val="es-AR"/>
        </w:rPr>
        <w:t>.</w:t>
      </w:r>
      <w:r w:rsidRPr="000350C5">
        <w:rPr>
          <w:rFonts w:asciiTheme="majorHAnsi" w:hAnsiTheme="majorHAnsi"/>
          <w:sz w:val="20"/>
          <w:szCs w:val="20"/>
          <w:lang w:val="es-ES"/>
        </w:rPr>
        <w:t xml:space="preserve"> </w:t>
      </w:r>
      <w:r w:rsidRPr="00F022C8">
        <w:rPr>
          <w:sz w:val="20"/>
          <w:szCs w:val="20"/>
          <w:lang w:val="es-EC"/>
        </w:rPr>
        <w:t>Esta carga debe ser asumida por el Estado como un deber jurídico propio</w:t>
      </w:r>
      <w:r w:rsidR="008C3789" w:rsidRPr="008C3789">
        <w:rPr>
          <w:sz w:val="20"/>
          <w:szCs w:val="20"/>
          <w:lang w:val="es-ES_tradnl"/>
        </w:rPr>
        <w:t xml:space="preserve"> </w:t>
      </w:r>
      <w:r w:rsidR="008C3789" w:rsidRPr="009E27A9">
        <w:rPr>
          <w:sz w:val="20"/>
          <w:szCs w:val="20"/>
          <w:lang w:val="es-ES_tradnl"/>
        </w:rPr>
        <w:t xml:space="preserve">y no debe depender de la iniciativa </w:t>
      </w:r>
      <w:r w:rsidR="008C3789" w:rsidRPr="003C76C5">
        <w:rPr>
          <w:sz w:val="20"/>
          <w:szCs w:val="20"/>
          <w:lang w:val="es-ES_tradnl"/>
        </w:rPr>
        <w:t>procesal de la víctima o de sus familiares</w:t>
      </w:r>
      <w:r w:rsidR="008C3789" w:rsidRPr="003C76C5">
        <w:rPr>
          <w:rStyle w:val="FootnoteReference"/>
          <w:rFonts w:cs="Times New Roman"/>
          <w:sz w:val="20"/>
          <w:szCs w:val="20"/>
          <w:lang w:val="es-ES_tradnl"/>
        </w:rPr>
        <w:footnoteReference w:id="6"/>
      </w:r>
      <w:r w:rsidR="008C3789" w:rsidRPr="003C76C5">
        <w:rPr>
          <w:sz w:val="20"/>
          <w:szCs w:val="20"/>
          <w:lang w:val="es-ES_tradnl"/>
        </w:rPr>
        <w:t>.</w:t>
      </w:r>
    </w:p>
    <w:p w14:paraId="5085875A" w14:textId="77777777" w:rsidR="00DA0949" w:rsidRPr="003C76C5" w:rsidRDefault="00DA0949" w:rsidP="00DA0949">
      <w:pPr>
        <w:pStyle w:val="ListParagraph"/>
        <w:rPr>
          <w:sz w:val="20"/>
          <w:szCs w:val="20"/>
          <w:lang w:val="es-ES_tradnl"/>
        </w:rPr>
      </w:pPr>
    </w:p>
    <w:p w14:paraId="496405F5" w14:textId="22CDD4BF" w:rsidR="004633C2" w:rsidRPr="00985EC1" w:rsidRDefault="00985EC1" w:rsidP="004633C2">
      <w:pPr>
        <w:pStyle w:val="ListParagraph"/>
        <w:numPr>
          <w:ilvl w:val="0"/>
          <w:numId w:val="56"/>
        </w:numPr>
        <w:tabs>
          <w:tab w:val="clear" w:pos="2160"/>
          <w:tab w:val="left" w:pos="1440"/>
        </w:tabs>
        <w:ind w:left="0" w:firstLine="720"/>
        <w:contextualSpacing/>
        <w:jc w:val="both"/>
        <w:rPr>
          <w:sz w:val="20"/>
          <w:szCs w:val="20"/>
          <w:lang w:val="es-ES_tradnl"/>
        </w:rPr>
      </w:pPr>
      <w:r>
        <w:rPr>
          <w:rFonts w:asciiTheme="majorHAnsi" w:hAnsiTheme="majorHAnsi" w:cs="Calibri"/>
          <w:sz w:val="20"/>
          <w:szCs w:val="20"/>
          <w:lang w:val="es-AR"/>
        </w:rPr>
        <w:t>Consecuentemente, t</w:t>
      </w:r>
      <w:r w:rsidR="00DA0949" w:rsidRPr="00985EC1">
        <w:rPr>
          <w:sz w:val="20"/>
          <w:szCs w:val="20"/>
          <w:lang w:val="es-AR"/>
        </w:rPr>
        <w:t xml:space="preserve">omando en cuenta la información presentada, a efectos del análisis preliminar de admisibilidad, la CIDH </w:t>
      </w:r>
      <w:r w:rsidR="00614232" w:rsidRPr="00985EC1">
        <w:rPr>
          <w:sz w:val="20"/>
          <w:szCs w:val="20"/>
          <w:lang w:val="es-AR"/>
        </w:rPr>
        <w:t xml:space="preserve">entiende que </w:t>
      </w:r>
      <w:r w:rsidR="001612E5">
        <w:rPr>
          <w:sz w:val="20"/>
          <w:szCs w:val="20"/>
          <w:lang w:val="es-AR"/>
        </w:rPr>
        <w:t xml:space="preserve">el recurso interpuesto por los representantes de las presuntas víctimas fue el adecuado, cumplieron con el requisito establecido en el artículo 46.1.a de la </w:t>
      </w:r>
      <w:r w:rsidR="004633C2" w:rsidRPr="00985EC1">
        <w:rPr>
          <w:sz w:val="20"/>
          <w:szCs w:val="20"/>
          <w:lang w:val="es-AR"/>
        </w:rPr>
        <w:t>Convención Americana</w:t>
      </w:r>
      <w:r w:rsidR="001612E5">
        <w:rPr>
          <w:sz w:val="20"/>
          <w:szCs w:val="20"/>
          <w:lang w:val="es-AR"/>
        </w:rPr>
        <w:t xml:space="preserve"> respecto de </w:t>
      </w:r>
      <w:r w:rsidR="00687172">
        <w:rPr>
          <w:sz w:val="20"/>
          <w:szCs w:val="20"/>
          <w:lang w:val="es-AR"/>
        </w:rPr>
        <w:t>estos reclamos</w:t>
      </w:r>
      <w:r w:rsidR="004633C2" w:rsidRPr="00985EC1">
        <w:rPr>
          <w:sz w:val="20"/>
          <w:szCs w:val="20"/>
          <w:lang w:val="es-AR"/>
        </w:rPr>
        <w:t xml:space="preserve">. </w:t>
      </w:r>
    </w:p>
    <w:p w14:paraId="294D22AA" w14:textId="77777777" w:rsidR="005B293A" w:rsidRPr="00357FF9" w:rsidRDefault="005B293A" w:rsidP="00984CB6">
      <w:pPr>
        <w:tabs>
          <w:tab w:val="left" w:pos="1440"/>
        </w:tabs>
        <w:jc w:val="both"/>
        <w:rPr>
          <w:rFonts w:ascii="Cambria" w:hAnsi="Cambria"/>
          <w:sz w:val="20"/>
          <w:szCs w:val="20"/>
        </w:rPr>
      </w:pPr>
    </w:p>
    <w:p w14:paraId="2D873CCA" w14:textId="23470F68" w:rsidR="008A1088" w:rsidRPr="00984CB6" w:rsidRDefault="00984CB6" w:rsidP="00984CB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i/>
          <w:sz w:val="20"/>
          <w:szCs w:val="20"/>
          <w:lang w:val="es-AR"/>
        </w:rPr>
      </w:pPr>
      <w:r>
        <w:rPr>
          <w:sz w:val="20"/>
          <w:szCs w:val="20"/>
          <w:lang w:val="es-ES"/>
        </w:rPr>
        <w:t xml:space="preserve">b. </w:t>
      </w:r>
      <w:r>
        <w:rPr>
          <w:sz w:val="20"/>
          <w:szCs w:val="20"/>
          <w:lang w:val="es-ES"/>
        </w:rPr>
        <w:tab/>
      </w:r>
      <w:r w:rsidRPr="004A2C33">
        <w:rPr>
          <w:i/>
          <w:sz w:val="20"/>
          <w:szCs w:val="20"/>
          <w:lang w:val="es-AR"/>
        </w:rPr>
        <w:t xml:space="preserve">Respecto de las alegadas irregularidades en </w:t>
      </w:r>
      <w:r w:rsidR="008A1088" w:rsidRPr="004A2C33">
        <w:rPr>
          <w:i/>
          <w:sz w:val="20"/>
          <w:szCs w:val="20"/>
          <w:lang w:val="es-AR"/>
        </w:rPr>
        <w:t>el proceso penal</w:t>
      </w:r>
      <w:r w:rsidR="008A1088" w:rsidRPr="00984CB6">
        <w:rPr>
          <w:i/>
          <w:sz w:val="20"/>
          <w:szCs w:val="20"/>
          <w:lang w:val="es-AR"/>
        </w:rPr>
        <w:t xml:space="preserve"> </w:t>
      </w:r>
    </w:p>
    <w:p w14:paraId="3833E920" w14:textId="77777777" w:rsidR="008A1088" w:rsidRPr="00357FF9" w:rsidRDefault="008A1088" w:rsidP="00C04D34">
      <w:pPr>
        <w:tabs>
          <w:tab w:val="left" w:pos="1440"/>
        </w:tabs>
        <w:ind w:firstLine="720"/>
        <w:jc w:val="both"/>
        <w:rPr>
          <w:rFonts w:ascii="Cambria" w:hAnsi="Cambria"/>
          <w:sz w:val="20"/>
          <w:szCs w:val="20"/>
        </w:rPr>
      </w:pPr>
    </w:p>
    <w:p w14:paraId="3D299A27" w14:textId="17F5BDCA" w:rsidR="009D2FC5" w:rsidRPr="004A2C33" w:rsidRDefault="00AD0AD1" w:rsidP="009D2FC5">
      <w:pPr>
        <w:pStyle w:val="ListParagraph"/>
        <w:numPr>
          <w:ilvl w:val="0"/>
          <w:numId w:val="56"/>
        </w:numPr>
        <w:tabs>
          <w:tab w:val="clear" w:pos="2160"/>
          <w:tab w:val="left" w:pos="1440"/>
        </w:tabs>
        <w:ind w:left="0" w:firstLine="720"/>
        <w:jc w:val="both"/>
        <w:rPr>
          <w:rFonts w:cs="Calibri"/>
          <w:sz w:val="20"/>
          <w:szCs w:val="20"/>
          <w:lang w:val="es-ES_tradnl"/>
        </w:rPr>
      </w:pPr>
      <w:r w:rsidRPr="004A2C33">
        <w:rPr>
          <w:sz w:val="20"/>
          <w:szCs w:val="20"/>
          <w:lang w:val="es-ES_tradnl"/>
        </w:rPr>
        <w:t xml:space="preserve">En relación </w:t>
      </w:r>
      <w:r w:rsidR="00497280">
        <w:rPr>
          <w:sz w:val="20"/>
          <w:szCs w:val="20"/>
          <w:lang w:val="es-ES_tradnl"/>
        </w:rPr>
        <w:t>con</w:t>
      </w:r>
      <w:r w:rsidRPr="004A2C33">
        <w:rPr>
          <w:sz w:val="20"/>
          <w:szCs w:val="20"/>
          <w:lang w:val="es-ES_tradnl"/>
        </w:rPr>
        <w:t xml:space="preserve"> las </w:t>
      </w:r>
      <w:r w:rsidR="00497280">
        <w:rPr>
          <w:sz w:val="20"/>
          <w:szCs w:val="20"/>
          <w:lang w:val="es-ES_tradnl"/>
        </w:rPr>
        <w:t xml:space="preserve">supuestas </w:t>
      </w:r>
      <w:r w:rsidRPr="004A2C33">
        <w:rPr>
          <w:sz w:val="20"/>
          <w:szCs w:val="20"/>
          <w:lang w:val="es-ES_tradnl"/>
        </w:rPr>
        <w:t xml:space="preserve">irregularidades que habrían tenido lugar en la tramitación del proceso penal que </w:t>
      </w:r>
      <w:r w:rsidR="00497280">
        <w:rPr>
          <w:sz w:val="20"/>
          <w:szCs w:val="20"/>
          <w:lang w:val="es-ES_tradnl"/>
        </w:rPr>
        <w:t>culminó</w:t>
      </w:r>
      <w:r w:rsidRPr="004A2C33">
        <w:rPr>
          <w:sz w:val="20"/>
          <w:szCs w:val="20"/>
          <w:lang w:val="es-ES_tradnl"/>
        </w:rPr>
        <w:t xml:space="preserve"> con la condena de las presuntas víctimas</w:t>
      </w:r>
      <w:r w:rsidR="009D2FC5" w:rsidRPr="004A2C33">
        <w:rPr>
          <w:rFonts w:cs="Calibri"/>
          <w:sz w:val="20"/>
          <w:szCs w:val="20"/>
          <w:lang w:val="es-ES_tradnl"/>
        </w:rPr>
        <w:t>, la CIDH observa que contra la sentencia condenatoria de primera instancia, los peticionarios interpusiero</w:t>
      </w:r>
      <w:r w:rsidR="008A53C9">
        <w:rPr>
          <w:rFonts w:cs="Calibri"/>
          <w:sz w:val="20"/>
          <w:szCs w:val="20"/>
          <w:lang w:val="es-ES_tradnl"/>
        </w:rPr>
        <w:t>n</w:t>
      </w:r>
      <w:r w:rsidR="009D2FC5" w:rsidRPr="004A2C33">
        <w:rPr>
          <w:rFonts w:cs="Calibri"/>
          <w:sz w:val="20"/>
          <w:szCs w:val="20"/>
          <w:lang w:val="es-ES_tradnl"/>
        </w:rPr>
        <w:t xml:space="preserve"> recurso</w:t>
      </w:r>
      <w:r w:rsidR="008A53C9">
        <w:rPr>
          <w:rFonts w:cs="Calibri"/>
          <w:sz w:val="20"/>
          <w:szCs w:val="20"/>
          <w:lang w:val="es-ES_tradnl"/>
        </w:rPr>
        <w:t>s</w:t>
      </w:r>
      <w:r w:rsidR="009D2FC5" w:rsidRPr="004A2C33">
        <w:rPr>
          <w:rFonts w:cs="Calibri"/>
          <w:sz w:val="20"/>
          <w:szCs w:val="20"/>
          <w:lang w:val="es-ES_tradnl"/>
        </w:rPr>
        <w:t xml:space="preserve"> de apelación los días 6 y 7 de febrero de 2006, los cuales habrían sido desestimados el 25 de abril del mismo año por la Corte de Apelaciones del Circuito Judicial Penal del Área Metropolitana de Caracas. Luego, el 25 y 26 de octubre del mismo año habrían </w:t>
      </w:r>
      <w:r w:rsidR="007F298E" w:rsidRPr="004A2C33">
        <w:rPr>
          <w:rFonts w:cs="Calibri"/>
          <w:sz w:val="20"/>
          <w:szCs w:val="20"/>
          <w:lang w:val="es-ES_tradnl"/>
        </w:rPr>
        <w:t xml:space="preserve">presentado recursos de casación, los cuales </w:t>
      </w:r>
      <w:r w:rsidR="009D2FC5" w:rsidRPr="004A2C33">
        <w:rPr>
          <w:rFonts w:cs="Calibri"/>
          <w:sz w:val="20"/>
          <w:szCs w:val="20"/>
          <w:lang w:val="es-ES_tradnl"/>
        </w:rPr>
        <w:t>habrían sido desestimados el 6 de agosto de 2007 por la Sala de Casación del Tribunal Supremo de Justicia</w:t>
      </w:r>
      <w:r w:rsidRPr="004A2C33">
        <w:rPr>
          <w:rFonts w:cs="Calibri"/>
          <w:sz w:val="20"/>
          <w:szCs w:val="20"/>
          <w:lang w:val="es-ES_tradnl"/>
        </w:rPr>
        <w:t xml:space="preserve">. </w:t>
      </w:r>
      <w:r w:rsidR="009D2FC5" w:rsidRPr="004A2C33">
        <w:rPr>
          <w:rFonts w:cs="Calibri"/>
          <w:sz w:val="20"/>
          <w:szCs w:val="20"/>
          <w:lang w:val="es-ES_tradnl"/>
        </w:rPr>
        <w:t xml:space="preserve">Además de los recursos interpuestos en la causa principal, la Comisión observa que las presuntas víctimas también interpusieron un recurso de amparo el 24 de enero de 2005 </w:t>
      </w:r>
      <w:r w:rsidR="007B1500" w:rsidRPr="004A2C33">
        <w:rPr>
          <w:rFonts w:cs="Calibri"/>
          <w:sz w:val="20"/>
          <w:szCs w:val="20"/>
          <w:lang w:val="es-ES_tradnl"/>
        </w:rPr>
        <w:t>por</w:t>
      </w:r>
      <w:r w:rsidR="009D2FC5" w:rsidRPr="004A2C33">
        <w:rPr>
          <w:rFonts w:cs="Calibri"/>
          <w:sz w:val="20"/>
          <w:szCs w:val="20"/>
          <w:lang w:val="es-ES_tradnl"/>
        </w:rPr>
        <w:t xml:space="preserve"> </w:t>
      </w:r>
      <w:r w:rsidR="008A53C9">
        <w:rPr>
          <w:rFonts w:cs="Calibri"/>
          <w:sz w:val="20"/>
          <w:szCs w:val="20"/>
          <w:lang w:val="es-ES_tradnl"/>
        </w:rPr>
        <w:t xml:space="preserve">supuestamente </w:t>
      </w:r>
      <w:r w:rsidR="009D2FC5" w:rsidRPr="004A2C33">
        <w:rPr>
          <w:rFonts w:cs="Calibri"/>
          <w:sz w:val="20"/>
          <w:szCs w:val="20"/>
          <w:lang w:val="es-ES_tradnl"/>
        </w:rPr>
        <w:t xml:space="preserve">no haber podido acceder a prueba retenida por el Ministerio Público, </w:t>
      </w:r>
      <w:r w:rsidRPr="004A2C33">
        <w:rPr>
          <w:rFonts w:cs="Calibri"/>
          <w:sz w:val="20"/>
          <w:szCs w:val="20"/>
          <w:lang w:val="es-ES_tradnl"/>
        </w:rPr>
        <w:t xml:space="preserve">el cual </w:t>
      </w:r>
      <w:r w:rsidR="009D2FC5" w:rsidRPr="004A2C33">
        <w:rPr>
          <w:rFonts w:cs="Calibri"/>
          <w:sz w:val="20"/>
          <w:szCs w:val="20"/>
          <w:lang w:val="es-ES_tradnl"/>
        </w:rPr>
        <w:t>habría sido desestimad</w:t>
      </w:r>
      <w:r w:rsidR="007B1500" w:rsidRPr="004A2C33">
        <w:rPr>
          <w:rFonts w:cs="Calibri"/>
          <w:sz w:val="20"/>
          <w:szCs w:val="20"/>
          <w:lang w:val="es-ES_tradnl"/>
        </w:rPr>
        <w:t>o</w:t>
      </w:r>
      <w:r w:rsidR="009D2FC5" w:rsidRPr="004A2C33">
        <w:rPr>
          <w:rFonts w:cs="Calibri"/>
          <w:sz w:val="20"/>
          <w:szCs w:val="20"/>
          <w:lang w:val="es-ES_tradnl"/>
        </w:rPr>
        <w:t xml:space="preserve"> por la Sala </w:t>
      </w:r>
      <w:r w:rsidRPr="004A2C33">
        <w:rPr>
          <w:rFonts w:cs="Calibri"/>
          <w:sz w:val="20"/>
          <w:szCs w:val="20"/>
          <w:lang w:val="es-ES_tradnl"/>
        </w:rPr>
        <w:t>4</w:t>
      </w:r>
      <w:r w:rsidR="00F50F64" w:rsidRPr="00F50F64">
        <w:rPr>
          <w:rFonts w:cs="Calibri"/>
          <w:sz w:val="20"/>
          <w:szCs w:val="20"/>
          <w:vertAlign w:val="superscript"/>
          <w:lang w:val="es-ES_tradnl"/>
        </w:rPr>
        <w:t>a</w:t>
      </w:r>
      <w:r w:rsidRPr="004A2C33">
        <w:rPr>
          <w:rFonts w:cs="Calibri"/>
          <w:sz w:val="20"/>
          <w:szCs w:val="20"/>
          <w:lang w:val="es-ES_tradnl"/>
        </w:rPr>
        <w:t xml:space="preserve"> </w:t>
      </w:r>
      <w:r w:rsidR="009D2FC5" w:rsidRPr="004A2C33">
        <w:rPr>
          <w:rFonts w:cs="Calibri"/>
          <w:sz w:val="20"/>
          <w:szCs w:val="20"/>
          <w:lang w:val="es-ES_tradnl"/>
        </w:rPr>
        <w:t>de la Corte de Apelaciones. También habrían interpuesto un recurso de apelación en relación con la constitución del juzgado unipersonal, el cual también habría sido rechazado el 16 de septiembre de 2005</w:t>
      </w:r>
      <w:r w:rsidR="007B1500" w:rsidRPr="004A2C33">
        <w:rPr>
          <w:rFonts w:cs="Calibri"/>
          <w:sz w:val="20"/>
          <w:szCs w:val="20"/>
          <w:lang w:val="es-ES_tradnl"/>
        </w:rPr>
        <w:t xml:space="preserve"> por la Sala 7</w:t>
      </w:r>
      <w:r w:rsidR="00F50F64" w:rsidRPr="00F50F64">
        <w:rPr>
          <w:rFonts w:cs="Calibri"/>
          <w:sz w:val="20"/>
          <w:szCs w:val="20"/>
          <w:vertAlign w:val="superscript"/>
          <w:lang w:val="es-ES_tradnl"/>
        </w:rPr>
        <w:t>a</w:t>
      </w:r>
      <w:r w:rsidR="007B1500" w:rsidRPr="004A2C33">
        <w:rPr>
          <w:rFonts w:cs="Calibri"/>
          <w:sz w:val="20"/>
          <w:szCs w:val="20"/>
          <w:lang w:val="es-ES_tradnl"/>
        </w:rPr>
        <w:t xml:space="preserve"> de la Corte de Apelaciones</w:t>
      </w:r>
      <w:r w:rsidR="009D2FC5" w:rsidRPr="004A2C33">
        <w:rPr>
          <w:rFonts w:cs="Calibri"/>
          <w:sz w:val="20"/>
          <w:szCs w:val="20"/>
          <w:lang w:val="es-ES_tradnl"/>
        </w:rPr>
        <w:t xml:space="preserve">. </w:t>
      </w:r>
    </w:p>
    <w:p w14:paraId="42B84412" w14:textId="77777777" w:rsidR="009D2FC5" w:rsidRDefault="009D2FC5" w:rsidP="00E562DB">
      <w:pPr>
        <w:pStyle w:val="ListParagraph"/>
        <w:tabs>
          <w:tab w:val="left" w:pos="1440"/>
        </w:tabs>
        <w:jc w:val="both"/>
        <w:rPr>
          <w:sz w:val="20"/>
          <w:szCs w:val="20"/>
          <w:lang w:val="es-ES_tradnl"/>
        </w:rPr>
      </w:pPr>
    </w:p>
    <w:p w14:paraId="25FA74AF" w14:textId="79FA3B4E" w:rsidR="00E562DB" w:rsidRPr="007B1500" w:rsidRDefault="00E562DB" w:rsidP="00C04D34">
      <w:pPr>
        <w:pStyle w:val="ListParagraph"/>
        <w:numPr>
          <w:ilvl w:val="0"/>
          <w:numId w:val="56"/>
        </w:numPr>
        <w:tabs>
          <w:tab w:val="clear" w:pos="2160"/>
          <w:tab w:val="left" w:pos="1440"/>
        </w:tabs>
        <w:ind w:left="0" w:firstLine="720"/>
        <w:jc w:val="both"/>
        <w:rPr>
          <w:sz w:val="20"/>
          <w:szCs w:val="20"/>
          <w:lang w:val="es-ES_tradnl"/>
        </w:rPr>
      </w:pPr>
      <w:r w:rsidRPr="007B1500">
        <w:rPr>
          <w:sz w:val="20"/>
          <w:szCs w:val="20"/>
          <w:lang w:val="es-ES_tradnl"/>
        </w:rPr>
        <w:t>Por su parte, e</w:t>
      </w:r>
      <w:r w:rsidR="00197019" w:rsidRPr="007B1500">
        <w:rPr>
          <w:sz w:val="20"/>
          <w:szCs w:val="20"/>
          <w:lang w:val="es-ES_tradnl"/>
        </w:rPr>
        <w:t xml:space="preserve">l Estado alega que los peticionarios no </w:t>
      </w:r>
      <w:r w:rsidR="00583979" w:rsidRPr="007B1500">
        <w:rPr>
          <w:sz w:val="20"/>
          <w:szCs w:val="20"/>
          <w:lang w:val="es-ES_tradnl"/>
        </w:rPr>
        <w:t>agotaron</w:t>
      </w:r>
      <w:r w:rsidR="00197019" w:rsidRPr="007B1500">
        <w:rPr>
          <w:sz w:val="20"/>
          <w:szCs w:val="20"/>
          <w:lang w:val="es-ES_tradnl"/>
        </w:rPr>
        <w:t xml:space="preserve"> los recursos internos</w:t>
      </w:r>
      <w:r w:rsidR="0046648D" w:rsidRPr="007B1500">
        <w:rPr>
          <w:sz w:val="20"/>
          <w:szCs w:val="20"/>
          <w:lang w:val="es-ES_tradnl"/>
        </w:rPr>
        <w:t xml:space="preserve"> por cuanto no habrían </w:t>
      </w:r>
      <w:r w:rsidR="00583979" w:rsidRPr="007B1500">
        <w:rPr>
          <w:sz w:val="20"/>
          <w:szCs w:val="20"/>
          <w:lang w:val="es-ES_tradnl"/>
        </w:rPr>
        <w:t xml:space="preserve">hecho </w:t>
      </w:r>
      <w:r w:rsidR="00197019" w:rsidRPr="007B1500">
        <w:rPr>
          <w:sz w:val="20"/>
          <w:szCs w:val="20"/>
          <w:lang w:val="es-ES_tradnl"/>
        </w:rPr>
        <w:t xml:space="preserve">uso del recurso de revisión de </w:t>
      </w:r>
      <w:r w:rsidR="002635F6" w:rsidRPr="007B1500">
        <w:rPr>
          <w:sz w:val="20"/>
          <w:szCs w:val="20"/>
          <w:lang w:val="es-ES_tradnl"/>
        </w:rPr>
        <w:t>sentencia, establecido en el artículo 470 del Código Orgánico Procesal Penal</w:t>
      </w:r>
      <w:r w:rsidR="0046648D" w:rsidRPr="007B1500">
        <w:rPr>
          <w:sz w:val="20"/>
          <w:szCs w:val="20"/>
          <w:lang w:val="es-ES_tradnl"/>
        </w:rPr>
        <w:t>. Según alegó el Estado, dicho recurso</w:t>
      </w:r>
      <w:r w:rsidR="002635F6" w:rsidRPr="007B1500">
        <w:rPr>
          <w:sz w:val="20"/>
          <w:szCs w:val="20"/>
          <w:lang w:val="es-ES_tradnl"/>
        </w:rPr>
        <w:t xml:space="preserve"> procede contra sentencia firme y persigue el objetivo de nulificar la sentencia y absolver consecuentemente al penado.</w:t>
      </w:r>
      <w:r w:rsidR="007B1500" w:rsidRPr="007B1500">
        <w:rPr>
          <w:sz w:val="20"/>
          <w:szCs w:val="20"/>
          <w:lang w:val="es-ES_tradnl"/>
        </w:rPr>
        <w:t xml:space="preserve"> </w:t>
      </w:r>
      <w:r w:rsidRPr="007B1500">
        <w:rPr>
          <w:sz w:val="20"/>
          <w:szCs w:val="20"/>
          <w:lang w:val="es-ES_tradnl"/>
        </w:rPr>
        <w:t xml:space="preserve">Al respecto, los peticionarios explicaron que </w:t>
      </w:r>
      <w:r w:rsidR="00C31B65" w:rsidRPr="007B1500">
        <w:rPr>
          <w:sz w:val="20"/>
          <w:szCs w:val="20"/>
          <w:lang w:val="es-ES_tradnl"/>
        </w:rPr>
        <w:t>no interpusieron el recurso de revisión de sentencia por ser éste de carácter optativo y porque, para poder hacerlo, necesariamente deberían haber probado alguno de los supuestos taxativos del artículo 470 del Código Orgánico Procesal.</w:t>
      </w:r>
    </w:p>
    <w:p w14:paraId="7826FE0B" w14:textId="77777777" w:rsidR="00197019" w:rsidRPr="00357FF9" w:rsidRDefault="00197019" w:rsidP="00EB571E">
      <w:pPr>
        <w:tabs>
          <w:tab w:val="left" w:pos="1440"/>
        </w:tabs>
        <w:jc w:val="both"/>
        <w:rPr>
          <w:sz w:val="20"/>
          <w:szCs w:val="20"/>
        </w:rPr>
      </w:pPr>
    </w:p>
    <w:p w14:paraId="6030F0E4" w14:textId="1E79FB86" w:rsidR="005D152B" w:rsidRDefault="00197019" w:rsidP="005D152B">
      <w:pPr>
        <w:pStyle w:val="ListParagraph"/>
        <w:numPr>
          <w:ilvl w:val="0"/>
          <w:numId w:val="56"/>
        </w:numPr>
        <w:tabs>
          <w:tab w:val="clear" w:pos="2160"/>
          <w:tab w:val="left" w:pos="1440"/>
        </w:tabs>
        <w:ind w:left="0" w:firstLine="720"/>
        <w:jc w:val="both"/>
        <w:rPr>
          <w:rFonts w:cs="Calibri"/>
          <w:sz w:val="20"/>
          <w:szCs w:val="20"/>
          <w:lang w:val="es-ES_tradnl"/>
        </w:rPr>
      </w:pPr>
      <w:r w:rsidRPr="00357FF9">
        <w:rPr>
          <w:sz w:val="20"/>
          <w:szCs w:val="20"/>
          <w:lang w:val="es-ES_tradnl"/>
        </w:rPr>
        <w:t>E</w:t>
      </w:r>
      <w:r w:rsidR="005664E6">
        <w:rPr>
          <w:sz w:val="20"/>
          <w:szCs w:val="20"/>
          <w:lang w:val="es-ES_tradnl"/>
        </w:rPr>
        <w:t xml:space="preserve">specíficamente en relación con el alegato del Estado acerca de la falta de agotamiento del recurso de revisión de sentencia </w:t>
      </w:r>
      <w:r w:rsidR="005664E6" w:rsidRPr="00357FF9">
        <w:rPr>
          <w:sz w:val="20"/>
          <w:szCs w:val="20"/>
          <w:lang w:val="es-ES_tradnl"/>
        </w:rPr>
        <w:t>en la etapa de ejecución</w:t>
      </w:r>
      <w:r w:rsidR="005664E6">
        <w:rPr>
          <w:sz w:val="20"/>
          <w:szCs w:val="20"/>
          <w:lang w:val="es-ES_tradnl"/>
        </w:rPr>
        <w:t xml:space="preserve">, </w:t>
      </w:r>
      <w:r w:rsidRPr="00357FF9">
        <w:rPr>
          <w:sz w:val="20"/>
          <w:szCs w:val="20"/>
          <w:lang w:val="es-ES_tradnl"/>
        </w:rPr>
        <w:t xml:space="preserve">la CIDH observa que </w:t>
      </w:r>
      <w:r w:rsidR="005664E6">
        <w:rPr>
          <w:sz w:val="20"/>
          <w:szCs w:val="20"/>
          <w:lang w:val="es-ES_tradnl"/>
        </w:rPr>
        <w:t xml:space="preserve">dicho </w:t>
      </w:r>
      <w:r w:rsidRPr="00357FF9">
        <w:rPr>
          <w:sz w:val="20"/>
          <w:szCs w:val="20"/>
          <w:lang w:val="es-ES_tradnl"/>
        </w:rPr>
        <w:t xml:space="preserve">recurso </w:t>
      </w:r>
      <w:r w:rsidRPr="00AB27AC">
        <w:rPr>
          <w:sz w:val="20"/>
          <w:szCs w:val="20"/>
          <w:lang w:val="es-ES_tradnl"/>
        </w:rPr>
        <w:t xml:space="preserve">es considerado un recurso </w:t>
      </w:r>
      <w:r w:rsidR="00E63087">
        <w:rPr>
          <w:sz w:val="20"/>
          <w:szCs w:val="20"/>
          <w:lang w:val="es-ES_tradnl"/>
        </w:rPr>
        <w:t>extra</w:t>
      </w:r>
      <w:r w:rsidRPr="00AB27AC">
        <w:rPr>
          <w:sz w:val="20"/>
          <w:szCs w:val="20"/>
          <w:lang w:val="es-ES_tradnl"/>
        </w:rPr>
        <w:t>ordinario</w:t>
      </w:r>
      <w:r w:rsidR="00685B3B">
        <w:rPr>
          <w:sz w:val="20"/>
          <w:szCs w:val="20"/>
          <w:lang w:val="es-ES_tradnl"/>
        </w:rPr>
        <w:t xml:space="preserve"> y las condiciones para su acceso están determinadas</w:t>
      </w:r>
      <w:r w:rsidR="00E14D55" w:rsidRPr="005664E6">
        <w:rPr>
          <w:sz w:val="20"/>
          <w:szCs w:val="20"/>
          <w:lang w:val="es-ES_tradnl"/>
        </w:rPr>
        <w:t xml:space="preserve"> </w:t>
      </w:r>
      <w:r w:rsidR="00685B3B">
        <w:rPr>
          <w:sz w:val="20"/>
          <w:szCs w:val="20"/>
          <w:lang w:val="es-ES_tradnl"/>
        </w:rPr>
        <w:t xml:space="preserve">en causales taxativas de carácter </w:t>
      </w:r>
      <w:r w:rsidR="00E14D55" w:rsidRPr="005664E6">
        <w:rPr>
          <w:sz w:val="20"/>
          <w:szCs w:val="20"/>
          <w:lang w:val="es-ES_tradnl"/>
        </w:rPr>
        <w:t>restrictivo</w:t>
      </w:r>
      <w:r w:rsidR="00685B3B">
        <w:rPr>
          <w:sz w:val="20"/>
          <w:szCs w:val="20"/>
          <w:lang w:val="es-ES_tradnl"/>
        </w:rPr>
        <w:t>. Por lo</w:t>
      </w:r>
      <w:r w:rsidRPr="00357FF9">
        <w:rPr>
          <w:sz w:val="20"/>
          <w:szCs w:val="20"/>
          <w:lang w:val="es-ES_tradnl"/>
        </w:rPr>
        <w:t xml:space="preserve"> tanto</w:t>
      </w:r>
      <w:r w:rsidR="005664E6">
        <w:rPr>
          <w:sz w:val="20"/>
          <w:szCs w:val="20"/>
          <w:lang w:val="es-ES_tradnl"/>
        </w:rPr>
        <w:t>,</w:t>
      </w:r>
      <w:r w:rsidRPr="00357FF9">
        <w:rPr>
          <w:sz w:val="20"/>
          <w:szCs w:val="20"/>
          <w:lang w:val="es-ES_tradnl"/>
        </w:rPr>
        <w:t xml:space="preserve"> </w:t>
      </w:r>
      <w:r w:rsidR="00685B3B">
        <w:rPr>
          <w:sz w:val="20"/>
          <w:szCs w:val="20"/>
          <w:lang w:val="es-ES_tradnl"/>
        </w:rPr>
        <w:t xml:space="preserve">la CIDH entiende que </w:t>
      </w:r>
      <w:r w:rsidR="007B1500">
        <w:rPr>
          <w:sz w:val="20"/>
          <w:szCs w:val="20"/>
          <w:lang w:val="es-ES_tradnl"/>
        </w:rPr>
        <w:t xml:space="preserve">se trata de un recurso que </w:t>
      </w:r>
      <w:r w:rsidRPr="00357FF9">
        <w:rPr>
          <w:sz w:val="20"/>
          <w:szCs w:val="20"/>
          <w:lang w:val="es-ES_tradnl"/>
        </w:rPr>
        <w:t xml:space="preserve">no es necesario </w:t>
      </w:r>
      <w:r w:rsidR="00685B3B">
        <w:rPr>
          <w:sz w:val="20"/>
          <w:szCs w:val="20"/>
          <w:lang w:val="es-ES_tradnl"/>
        </w:rPr>
        <w:t>agotar a los efectos de cumplir con el requisito que impone el artículo 46</w:t>
      </w:r>
      <w:r w:rsidRPr="00357FF9">
        <w:rPr>
          <w:sz w:val="20"/>
          <w:szCs w:val="20"/>
          <w:lang w:val="es-ES_tradnl"/>
        </w:rPr>
        <w:t>.</w:t>
      </w:r>
      <w:r w:rsidR="00685B3B">
        <w:rPr>
          <w:sz w:val="20"/>
          <w:szCs w:val="20"/>
          <w:lang w:val="es-ES_tradnl"/>
        </w:rPr>
        <w:t>1</w:t>
      </w:r>
      <w:r w:rsidR="007B1500">
        <w:rPr>
          <w:sz w:val="20"/>
          <w:szCs w:val="20"/>
          <w:lang w:val="es-ES_tradnl"/>
        </w:rPr>
        <w:t>.a</w:t>
      </w:r>
      <w:r w:rsidR="00685B3B">
        <w:rPr>
          <w:sz w:val="20"/>
          <w:szCs w:val="20"/>
          <w:lang w:val="es-ES_tradnl"/>
        </w:rPr>
        <w:t xml:space="preserve"> de la Convención Americana.</w:t>
      </w:r>
      <w:r w:rsidR="00FA1384">
        <w:rPr>
          <w:sz w:val="20"/>
          <w:szCs w:val="20"/>
          <w:lang w:val="es-ES_tradnl"/>
        </w:rPr>
        <w:t xml:space="preserve"> </w:t>
      </w:r>
      <w:r w:rsidRPr="00357FF9">
        <w:rPr>
          <w:sz w:val="20"/>
          <w:szCs w:val="20"/>
          <w:lang w:val="es-ES_tradnl"/>
        </w:rPr>
        <w:t>En cuanto a los demás alegatos, la CIDH recuer</w:t>
      </w:r>
      <w:r w:rsidR="000142E9">
        <w:rPr>
          <w:sz w:val="20"/>
          <w:szCs w:val="20"/>
          <w:lang w:val="es-ES_tradnl"/>
        </w:rPr>
        <w:t>d</w:t>
      </w:r>
      <w:r w:rsidRPr="00357FF9">
        <w:rPr>
          <w:sz w:val="20"/>
          <w:szCs w:val="20"/>
          <w:lang w:val="es-ES_tradnl"/>
        </w:rPr>
        <w:t xml:space="preserve">a que el requisito de agotamiento de los recursos internos no significa que las </w:t>
      </w:r>
      <w:r w:rsidRPr="00357FF9">
        <w:rPr>
          <w:sz w:val="20"/>
          <w:szCs w:val="20"/>
          <w:lang w:val="es-ES_tradnl"/>
        </w:rPr>
        <w:lastRenderedPageBreak/>
        <w:t>presuntas víctimas tengan la obligación de agotar todos los recursos que tengan disponibles</w:t>
      </w:r>
      <w:r w:rsidRPr="00357FF9">
        <w:rPr>
          <w:rStyle w:val="FootnoteReference"/>
          <w:rFonts w:cs="Calibri"/>
          <w:sz w:val="20"/>
          <w:szCs w:val="20"/>
          <w:lang w:val="es-ES_tradnl"/>
        </w:rPr>
        <w:footnoteReference w:id="7"/>
      </w:r>
      <w:r w:rsidRPr="00357FF9">
        <w:rPr>
          <w:sz w:val="20"/>
          <w:szCs w:val="20"/>
          <w:lang w:val="es-ES_tradnl"/>
        </w:rPr>
        <w:t>.</w:t>
      </w:r>
      <w:r w:rsidR="00FA1384">
        <w:rPr>
          <w:sz w:val="20"/>
          <w:szCs w:val="20"/>
          <w:lang w:val="es-ES_tradnl"/>
        </w:rPr>
        <w:t xml:space="preserve"> </w:t>
      </w:r>
      <w:r w:rsidRPr="00357FF9">
        <w:rPr>
          <w:rFonts w:cs="Calibri"/>
          <w:sz w:val="20"/>
          <w:szCs w:val="20"/>
          <w:lang w:val="es-ES_tradnl"/>
        </w:rPr>
        <w:t xml:space="preserve">En </w:t>
      </w:r>
      <w:r w:rsidR="00E63087">
        <w:rPr>
          <w:rFonts w:cs="Calibri"/>
          <w:sz w:val="20"/>
          <w:szCs w:val="20"/>
          <w:lang w:val="es-ES_tradnl"/>
        </w:rPr>
        <w:t xml:space="preserve">el presente caso, </w:t>
      </w:r>
      <w:r w:rsidR="0046529D">
        <w:rPr>
          <w:rFonts w:cs="Calibri"/>
          <w:sz w:val="20"/>
          <w:szCs w:val="20"/>
          <w:lang w:val="es-ES_tradnl"/>
        </w:rPr>
        <w:t xml:space="preserve">y a efectos del examen de admisibilidad </w:t>
      </w:r>
      <w:r w:rsidR="00E63087">
        <w:rPr>
          <w:rFonts w:cs="Calibri"/>
          <w:sz w:val="20"/>
          <w:szCs w:val="20"/>
          <w:lang w:val="es-ES_tradnl"/>
        </w:rPr>
        <w:t>se observa que las presuntas v</w:t>
      </w:r>
      <w:r w:rsidR="00F55B6E">
        <w:rPr>
          <w:rFonts w:cs="Calibri"/>
          <w:sz w:val="20"/>
          <w:szCs w:val="20"/>
          <w:lang w:val="es-ES_tradnl"/>
        </w:rPr>
        <w:t>íctimas agotaron</w:t>
      </w:r>
      <w:r w:rsidR="00E63087">
        <w:rPr>
          <w:rFonts w:cs="Calibri"/>
          <w:sz w:val="20"/>
          <w:szCs w:val="20"/>
          <w:lang w:val="es-ES_tradnl"/>
        </w:rPr>
        <w:t xml:space="preserve"> los recursos judiciales adecuados y pertinentes</w:t>
      </w:r>
      <w:r w:rsidRPr="00357FF9">
        <w:rPr>
          <w:rFonts w:cs="Calibri"/>
          <w:sz w:val="20"/>
          <w:szCs w:val="20"/>
          <w:lang w:val="es-ES_tradnl"/>
        </w:rPr>
        <w:t xml:space="preserve"> </w:t>
      </w:r>
      <w:r w:rsidR="00F55B6E">
        <w:rPr>
          <w:rFonts w:cs="Calibri"/>
          <w:sz w:val="20"/>
          <w:szCs w:val="20"/>
          <w:lang w:val="es-ES_tradnl"/>
        </w:rPr>
        <w:t>de acuerdo con la legislación penal Venezolana</w:t>
      </w:r>
      <w:r w:rsidR="00E63087">
        <w:rPr>
          <w:rFonts w:cs="Calibri"/>
          <w:sz w:val="20"/>
          <w:szCs w:val="20"/>
          <w:lang w:val="es-ES_tradnl"/>
        </w:rPr>
        <w:t xml:space="preserve"> en los términos del artículo 46.1.a de la Convención Americana</w:t>
      </w:r>
      <w:r w:rsidRPr="00357FF9">
        <w:rPr>
          <w:rStyle w:val="FootnoteReference"/>
          <w:rFonts w:cs="Calibri"/>
          <w:sz w:val="20"/>
          <w:szCs w:val="20"/>
          <w:lang w:val="es-ES_tradnl"/>
        </w:rPr>
        <w:footnoteReference w:id="8"/>
      </w:r>
      <w:r w:rsidRPr="00357FF9">
        <w:rPr>
          <w:rFonts w:cs="Calibri"/>
          <w:sz w:val="20"/>
          <w:szCs w:val="20"/>
          <w:lang w:val="es-ES_tradnl"/>
        </w:rPr>
        <w:t>.</w:t>
      </w:r>
      <w:r w:rsidR="00FA1384">
        <w:rPr>
          <w:rFonts w:cs="Calibri"/>
          <w:sz w:val="20"/>
          <w:szCs w:val="20"/>
          <w:lang w:val="es-ES_tradnl"/>
        </w:rPr>
        <w:t xml:space="preserve"> </w:t>
      </w:r>
      <w:r w:rsidR="005D152B">
        <w:rPr>
          <w:rFonts w:cs="Calibri"/>
          <w:sz w:val="20"/>
          <w:szCs w:val="20"/>
          <w:lang w:val="es-ES_tradnl"/>
        </w:rPr>
        <w:t xml:space="preserve">En este sentido, la última decisión se adoptó el 6 de agosto de 2007, </w:t>
      </w:r>
      <w:r w:rsidR="005D152B" w:rsidRPr="00357FF9">
        <w:rPr>
          <w:rFonts w:cs="Calibri"/>
          <w:sz w:val="20"/>
          <w:szCs w:val="20"/>
          <w:lang w:val="es-ES_tradnl"/>
        </w:rPr>
        <w:t xml:space="preserve">cuando la Sala de Casación Penal del Tribunal Supremo </w:t>
      </w:r>
      <w:r w:rsidR="005D152B">
        <w:rPr>
          <w:rFonts w:cs="Calibri"/>
          <w:sz w:val="20"/>
          <w:szCs w:val="20"/>
          <w:lang w:val="es-ES_tradnl"/>
        </w:rPr>
        <w:t>de Justicia desestimó</w:t>
      </w:r>
      <w:r w:rsidR="005D152B" w:rsidRPr="00357FF9">
        <w:rPr>
          <w:rFonts w:cs="Calibri"/>
          <w:sz w:val="20"/>
          <w:szCs w:val="20"/>
          <w:lang w:val="es-ES_tradnl"/>
        </w:rPr>
        <w:t xml:space="preserve"> los recursos de casación interpuestos por los peticionarios. </w:t>
      </w:r>
    </w:p>
    <w:p w14:paraId="3B2BD193" w14:textId="77777777" w:rsidR="00197019" w:rsidRPr="005D152B" w:rsidRDefault="00197019" w:rsidP="005D152B">
      <w:pPr>
        <w:pStyle w:val="ListParagraph"/>
        <w:tabs>
          <w:tab w:val="left" w:pos="1440"/>
        </w:tabs>
        <w:jc w:val="both"/>
        <w:rPr>
          <w:rFonts w:cs="Calibri"/>
          <w:sz w:val="20"/>
          <w:szCs w:val="20"/>
          <w:lang w:val="es-ES_tradnl"/>
        </w:rPr>
      </w:pPr>
    </w:p>
    <w:p w14:paraId="7C320278" w14:textId="4D3CF000" w:rsidR="00554F53" w:rsidRPr="00984CB6" w:rsidRDefault="003178A1" w:rsidP="00554F5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i/>
          <w:sz w:val="20"/>
          <w:szCs w:val="20"/>
          <w:lang w:val="es-AR"/>
        </w:rPr>
      </w:pPr>
      <w:r>
        <w:rPr>
          <w:sz w:val="20"/>
          <w:szCs w:val="20"/>
          <w:lang w:val="es-ES"/>
        </w:rPr>
        <w:t>c</w:t>
      </w:r>
      <w:r w:rsidR="00554F53">
        <w:rPr>
          <w:sz w:val="20"/>
          <w:szCs w:val="20"/>
          <w:lang w:val="es-ES"/>
        </w:rPr>
        <w:t xml:space="preserve">. </w:t>
      </w:r>
      <w:r w:rsidR="00554F53">
        <w:rPr>
          <w:sz w:val="20"/>
          <w:szCs w:val="20"/>
          <w:lang w:val="es-ES"/>
        </w:rPr>
        <w:tab/>
      </w:r>
      <w:r w:rsidR="00554F53">
        <w:rPr>
          <w:i/>
          <w:sz w:val="20"/>
          <w:szCs w:val="20"/>
          <w:lang w:val="es-AR"/>
        </w:rPr>
        <w:t>Respecto de</w:t>
      </w:r>
      <w:r w:rsidR="00554F53" w:rsidRPr="00E2300F">
        <w:rPr>
          <w:i/>
          <w:sz w:val="20"/>
          <w:szCs w:val="20"/>
          <w:lang w:val="es-AR"/>
        </w:rPr>
        <w:t xml:space="preserve"> </w:t>
      </w:r>
      <w:r w:rsidR="00554F53">
        <w:rPr>
          <w:i/>
          <w:sz w:val="20"/>
          <w:szCs w:val="20"/>
          <w:lang w:val="es-AR"/>
        </w:rPr>
        <w:t>la privación de libertad</w:t>
      </w:r>
    </w:p>
    <w:p w14:paraId="4919BAB6" w14:textId="77777777" w:rsidR="00326DF3" w:rsidRPr="00554F53" w:rsidRDefault="00326DF3" w:rsidP="00C04D34">
      <w:pPr>
        <w:tabs>
          <w:tab w:val="left" w:pos="1440"/>
        </w:tabs>
        <w:ind w:firstLine="720"/>
        <w:jc w:val="both"/>
        <w:rPr>
          <w:sz w:val="20"/>
          <w:szCs w:val="20"/>
          <w:lang w:val="es-AR"/>
        </w:rPr>
      </w:pPr>
    </w:p>
    <w:p w14:paraId="5F2A5ABC" w14:textId="62157D9A" w:rsidR="007B1500" w:rsidRDefault="00B463BF" w:rsidP="00C04D34">
      <w:pPr>
        <w:pStyle w:val="ListParagraph"/>
        <w:numPr>
          <w:ilvl w:val="0"/>
          <w:numId w:val="56"/>
        </w:numPr>
        <w:tabs>
          <w:tab w:val="clear" w:pos="2160"/>
          <w:tab w:val="left" w:pos="1440"/>
        </w:tabs>
        <w:ind w:left="0" w:firstLine="720"/>
        <w:jc w:val="both"/>
        <w:rPr>
          <w:sz w:val="20"/>
          <w:szCs w:val="20"/>
          <w:lang w:val="es-ES_tradnl"/>
        </w:rPr>
      </w:pPr>
      <w:r w:rsidRPr="007B1500">
        <w:rPr>
          <w:sz w:val="20"/>
          <w:szCs w:val="20"/>
          <w:lang w:val="es-ES_tradnl"/>
        </w:rPr>
        <w:t xml:space="preserve">En cuanto al alegato sobre la detención </w:t>
      </w:r>
      <w:r w:rsidR="0069357C">
        <w:rPr>
          <w:sz w:val="20"/>
          <w:szCs w:val="20"/>
          <w:lang w:val="es-ES_tradnl"/>
        </w:rPr>
        <w:t>supuestamente</w:t>
      </w:r>
      <w:r w:rsidR="0069357C" w:rsidRPr="007B1500">
        <w:rPr>
          <w:sz w:val="20"/>
          <w:szCs w:val="20"/>
          <w:lang w:val="es-ES_tradnl"/>
        </w:rPr>
        <w:t xml:space="preserve"> </w:t>
      </w:r>
      <w:r w:rsidRPr="007B1500">
        <w:rPr>
          <w:sz w:val="20"/>
          <w:szCs w:val="20"/>
          <w:lang w:val="es-ES_tradnl"/>
        </w:rPr>
        <w:t xml:space="preserve">ilegal </w:t>
      </w:r>
      <w:r w:rsidR="0069357C">
        <w:rPr>
          <w:sz w:val="20"/>
          <w:szCs w:val="20"/>
          <w:lang w:val="es-ES_tradnl"/>
        </w:rPr>
        <w:t xml:space="preserve">y/o arbitraria </w:t>
      </w:r>
      <w:r w:rsidRPr="007B1500">
        <w:rPr>
          <w:sz w:val="20"/>
          <w:szCs w:val="20"/>
          <w:lang w:val="es-ES_tradnl"/>
        </w:rPr>
        <w:t xml:space="preserve">de las presuntas víctimas, </w:t>
      </w:r>
      <w:r w:rsidR="00554F53" w:rsidRPr="007B1500">
        <w:rPr>
          <w:sz w:val="20"/>
          <w:szCs w:val="20"/>
          <w:lang w:val="es-ES_tradnl"/>
        </w:rPr>
        <w:t xml:space="preserve">la CIDH nota que </w:t>
      </w:r>
      <w:r w:rsidR="000B6D15" w:rsidRPr="007B1500">
        <w:rPr>
          <w:sz w:val="20"/>
          <w:szCs w:val="20"/>
          <w:lang w:val="es-ES_tradnl"/>
        </w:rPr>
        <w:t>no existe controversia en lo que respeta e</w:t>
      </w:r>
      <w:r w:rsidRPr="007B1500">
        <w:rPr>
          <w:sz w:val="20"/>
          <w:szCs w:val="20"/>
          <w:lang w:val="es-ES_tradnl"/>
        </w:rPr>
        <w:t>l agot</w:t>
      </w:r>
      <w:r w:rsidR="000B6D15" w:rsidRPr="007B1500">
        <w:rPr>
          <w:sz w:val="20"/>
          <w:szCs w:val="20"/>
          <w:lang w:val="es-ES_tradnl"/>
        </w:rPr>
        <w:t xml:space="preserve">amiento de recursos internos. </w:t>
      </w:r>
      <w:r w:rsidR="007F298E">
        <w:rPr>
          <w:sz w:val="20"/>
          <w:szCs w:val="20"/>
          <w:lang w:val="es-ES_tradnl"/>
        </w:rPr>
        <w:t>En efecto</w:t>
      </w:r>
      <w:r w:rsidR="007B1500">
        <w:rPr>
          <w:sz w:val="20"/>
          <w:szCs w:val="20"/>
          <w:lang w:val="es-ES_tradnl"/>
        </w:rPr>
        <w:t>, d</w:t>
      </w:r>
      <w:r w:rsidR="000B6D15" w:rsidRPr="007B1500">
        <w:rPr>
          <w:sz w:val="20"/>
          <w:szCs w:val="20"/>
          <w:lang w:val="es-ES_tradnl"/>
        </w:rPr>
        <w:t>e acuerdo a la información disponible en el expediente, la CIDH observa que los peticionarios habrían interpuesto recursos de apelación en contra del auto de fecha 29 de noviembre de 2004, en el cual se habría ordenado la detención de las presuntas víctimas, los cuales no habría</w:t>
      </w:r>
      <w:r w:rsidR="00813174" w:rsidRPr="007B1500">
        <w:rPr>
          <w:sz w:val="20"/>
          <w:szCs w:val="20"/>
          <w:lang w:val="es-ES_tradnl"/>
        </w:rPr>
        <w:t>n</w:t>
      </w:r>
      <w:r w:rsidR="000B6D15" w:rsidRPr="007B1500">
        <w:rPr>
          <w:sz w:val="20"/>
          <w:szCs w:val="20"/>
          <w:lang w:val="es-ES_tradnl"/>
        </w:rPr>
        <w:t xml:space="preserve"> prosperado.</w:t>
      </w:r>
    </w:p>
    <w:p w14:paraId="101E2787" w14:textId="76E7BF2D" w:rsidR="007B1500" w:rsidRDefault="000B6D15" w:rsidP="007B1500">
      <w:pPr>
        <w:pStyle w:val="ListParagraph"/>
        <w:tabs>
          <w:tab w:val="left" w:pos="1440"/>
        </w:tabs>
        <w:jc w:val="both"/>
        <w:rPr>
          <w:sz w:val="20"/>
          <w:szCs w:val="20"/>
          <w:lang w:val="es-ES_tradnl"/>
        </w:rPr>
      </w:pPr>
      <w:r w:rsidRPr="007B1500">
        <w:rPr>
          <w:sz w:val="20"/>
          <w:szCs w:val="20"/>
          <w:lang w:val="es-ES_tradnl"/>
        </w:rPr>
        <w:t xml:space="preserve"> </w:t>
      </w:r>
    </w:p>
    <w:p w14:paraId="7DFDA767" w14:textId="288CEB46" w:rsidR="00B463BF" w:rsidRDefault="000B6D15" w:rsidP="00C04D34">
      <w:pPr>
        <w:pStyle w:val="ListParagraph"/>
        <w:numPr>
          <w:ilvl w:val="0"/>
          <w:numId w:val="56"/>
        </w:numPr>
        <w:tabs>
          <w:tab w:val="clear" w:pos="2160"/>
          <w:tab w:val="left" w:pos="1440"/>
        </w:tabs>
        <w:ind w:left="0" w:firstLine="720"/>
        <w:jc w:val="both"/>
        <w:rPr>
          <w:sz w:val="20"/>
          <w:szCs w:val="20"/>
          <w:lang w:val="es-ES_tradnl"/>
        </w:rPr>
      </w:pPr>
      <w:r w:rsidRPr="007B1500">
        <w:rPr>
          <w:sz w:val="20"/>
          <w:szCs w:val="20"/>
          <w:lang w:val="es-ES_tradnl"/>
        </w:rPr>
        <w:t xml:space="preserve">Con fundamento en las consideraciones anteriores, la CIDH considera que se ha cumplido con el requisito del agotamiento de los recursos internos en los términos del artículo 46.1.a. de la Convención Americana, en relación </w:t>
      </w:r>
      <w:r w:rsidR="006F4960">
        <w:rPr>
          <w:sz w:val="20"/>
          <w:szCs w:val="20"/>
          <w:lang w:val="es-ES_tradnl"/>
        </w:rPr>
        <w:t>con el</w:t>
      </w:r>
      <w:r w:rsidRPr="007B1500">
        <w:rPr>
          <w:sz w:val="20"/>
          <w:szCs w:val="20"/>
          <w:lang w:val="es-ES_tradnl"/>
        </w:rPr>
        <w:t xml:space="preserve"> alegato sobre la supuesta detención </w:t>
      </w:r>
      <w:r w:rsidR="007F298E">
        <w:rPr>
          <w:sz w:val="20"/>
          <w:szCs w:val="20"/>
          <w:lang w:val="es-ES_tradnl"/>
        </w:rPr>
        <w:t>arbitraria</w:t>
      </w:r>
      <w:r w:rsidRPr="007B1500">
        <w:rPr>
          <w:sz w:val="20"/>
          <w:szCs w:val="20"/>
          <w:lang w:val="es-ES_tradnl"/>
        </w:rPr>
        <w:t xml:space="preserve"> de las presuntas víctimas. </w:t>
      </w:r>
    </w:p>
    <w:p w14:paraId="7EDF3B73" w14:textId="77777777" w:rsidR="003178A1" w:rsidRPr="003178A1" w:rsidRDefault="003178A1" w:rsidP="003178A1">
      <w:pPr>
        <w:pStyle w:val="ListParagraph"/>
        <w:rPr>
          <w:sz w:val="20"/>
          <w:szCs w:val="20"/>
          <w:lang w:val="es-ES_tradnl"/>
        </w:rPr>
      </w:pPr>
    </w:p>
    <w:p w14:paraId="24B4F33B" w14:textId="6A2AA8DD" w:rsidR="003178A1" w:rsidRDefault="003178A1" w:rsidP="003178A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Theme="majorHAnsi" w:hAnsiTheme="majorHAnsi"/>
          <w:sz w:val="20"/>
          <w:szCs w:val="20"/>
          <w:lang w:val="es-AR"/>
        </w:rPr>
      </w:pPr>
      <w:r w:rsidRPr="003178A1">
        <w:rPr>
          <w:sz w:val="20"/>
          <w:szCs w:val="20"/>
          <w:lang w:val="es-AR"/>
        </w:rPr>
        <w:t xml:space="preserve">d. </w:t>
      </w:r>
      <w:r w:rsidRPr="003178A1">
        <w:rPr>
          <w:sz w:val="20"/>
          <w:szCs w:val="20"/>
          <w:lang w:val="es-AR"/>
        </w:rPr>
        <w:tab/>
      </w:r>
      <w:r w:rsidRPr="00762CBC">
        <w:rPr>
          <w:rFonts w:asciiTheme="majorHAnsi" w:hAnsiTheme="majorHAnsi"/>
          <w:i/>
          <w:sz w:val="20"/>
          <w:szCs w:val="20"/>
          <w:lang w:val="es-AR"/>
        </w:rPr>
        <w:t>Respecto de la alegada violación al derecho de rectificación o respuesta</w:t>
      </w:r>
      <w:r w:rsidR="00ED7F16">
        <w:rPr>
          <w:rFonts w:asciiTheme="majorHAnsi" w:hAnsiTheme="majorHAnsi"/>
          <w:i/>
          <w:sz w:val="20"/>
          <w:szCs w:val="20"/>
          <w:lang w:val="es-AR"/>
        </w:rPr>
        <w:t xml:space="preserve"> </w:t>
      </w:r>
    </w:p>
    <w:p w14:paraId="09A92A85" w14:textId="77777777" w:rsidR="003178A1" w:rsidRPr="003178A1" w:rsidRDefault="003178A1" w:rsidP="003178A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Cambria" w:hAnsi="Cambria"/>
          <w:sz w:val="20"/>
          <w:szCs w:val="20"/>
          <w:lang w:val="es-AR"/>
        </w:rPr>
      </w:pPr>
    </w:p>
    <w:p w14:paraId="5F774D59" w14:textId="6E23DED2" w:rsidR="003178A1" w:rsidRPr="007B1500" w:rsidRDefault="003178A1" w:rsidP="00C04D34">
      <w:pPr>
        <w:pStyle w:val="ListParagraph"/>
        <w:numPr>
          <w:ilvl w:val="0"/>
          <w:numId w:val="56"/>
        </w:numPr>
        <w:tabs>
          <w:tab w:val="clear" w:pos="2160"/>
          <w:tab w:val="left" w:pos="1440"/>
        </w:tabs>
        <w:ind w:left="0" w:firstLine="720"/>
        <w:jc w:val="both"/>
        <w:rPr>
          <w:sz w:val="20"/>
          <w:szCs w:val="20"/>
          <w:lang w:val="es-ES_tradnl"/>
        </w:rPr>
      </w:pPr>
      <w:r>
        <w:rPr>
          <w:sz w:val="20"/>
          <w:szCs w:val="20"/>
          <w:lang w:val="es-AR"/>
        </w:rPr>
        <w:t xml:space="preserve">La CIDH nota que </w:t>
      </w:r>
      <w:r w:rsidR="00762CBC">
        <w:rPr>
          <w:sz w:val="20"/>
          <w:szCs w:val="20"/>
          <w:lang w:val="es-AR"/>
        </w:rPr>
        <w:t>los peticionarios no proporcionaron elemento</w:t>
      </w:r>
      <w:r w:rsidR="009C6CA4">
        <w:rPr>
          <w:sz w:val="20"/>
          <w:szCs w:val="20"/>
          <w:lang w:val="es-AR"/>
        </w:rPr>
        <w:t>s</w:t>
      </w:r>
      <w:r w:rsidR="00762CBC">
        <w:rPr>
          <w:sz w:val="20"/>
          <w:szCs w:val="20"/>
          <w:lang w:val="es-AR"/>
        </w:rPr>
        <w:t xml:space="preserve"> </w:t>
      </w:r>
      <w:r w:rsidR="009C6CA4">
        <w:rPr>
          <w:sz w:val="20"/>
          <w:szCs w:val="20"/>
          <w:lang w:val="es-AR"/>
        </w:rPr>
        <w:t>que</w:t>
      </w:r>
      <w:r w:rsidR="00762CBC">
        <w:rPr>
          <w:sz w:val="20"/>
          <w:szCs w:val="20"/>
          <w:lang w:val="es-AR"/>
        </w:rPr>
        <w:t xml:space="preserve"> mostrara</w:t>
      </w:r>
      <w:r w:rsidR="009C6CA4">
        <w:rPr>
          <w:sz w:val="20"/>
          <w:szCs w:val="20"/>
          <w:lang w:val="es-AR"/>
        </w:rPr>
        <w:t>n</w:t>
      </w:r>
      <w:r w:rsidR="00762CBC">
        <w:rPr>
          <w:sz w:val="20"/>
          <w:szCs w:val="20"/>
          <w:lang w:val="es-AR"/>
        </w:rPr>
        <w:t xml:space="preserve"> que </w:t>
      </w:r>
      <w:r w:rsidR="009C6CA4">
        <w:rPr>
          <w:sz w:val="20"/>
          <w:szCs w:val="20"/>
          <w:lang w:val="es-AR"/>
        </w:rPr>
        <w:t>hubiesen intentado gestión alguna a nivel interno a</w:t>
      </w:r>
      <w:r w:rsidR="00762CBC">
        <w:rPr>
          <w:sz w:val="20"/>
          <w:szCs w:val="20"/>
          <w:lang w:val="es-AR"/>
        </w:rPr>
        <w:t xml:space="preserve"> </w:t>
      </w:r>
      <w:r w:rsidR="009C6CA4">
        <w:rPr>
          <w:sz w:val="20"/>
          <w:szCs w:val="20"/>
          <w:lang w:val="es-AR"/>
        </w:rPr>
        <w:t>en procura de garantizar</w:t>
      </w:r>
      <w:r w:rsidR="00762CBC">
        <w:rPr>
          <w:sz w:val="20"/>
          <w:szCs w:val="20"/>
          <w:lang w:val="es-AR"/>
        </w:rPr>
        <w:t xml:space="preserve"> su derecho de rectificación o respuesta. En consecuencia, la CIDH estima que </w:t>
      </w:r>
      <w:r w:rsidR="00ED7F16">
        <w:rPr>
          <w:sz w:val="20"/>
          <w:szCs w:val="20"/>
          <w:lang w:val="es-AR"/>
        </w:rPr>
        <w:t>las</w:t>
      </w:r>
      <w:r w:rsidR="00762CBC">
        <w:rPr>
          <w:sz w:val="20"/>
          <w:szCs w:val="20"/>
          <w:lang w:val="es-AR"/>
        </w:rPr>
        <w:t xml:space="preserve"> alegaciones </w:t>
      </w:r>
      <w:r w:rsidR="00ED7F16">
        <w:rPr>
          <w:sz w:val="20"/>
          <w:szCs w:val="20"/>
          <w:lang w:val="es-AR"/>
        </w:rPr>
        <w:t>referidas a</w:t>
      </w:r>
      <w:r w:rsidR="002C07D2">
        <w:rPr>
          <w:sz w:val="20"/>
          <w:szCs w:val="20"/>
          <w:lang w:val="es-AR"/>
        </w:rPr>
        <w:t>l artículo</w:t>
      </w:r>
      <w:r w:rsidR="00ED7F16">
        <w:rPr>
          <w:sz w:val="20"/>
          <w:szCs w:val="20"/>
          <w:lang w:val="es-AR"/>
        </w:rPr>
        <w:t xml:space="preserve"> 14 </w:t>
      </w:r>
      <w:r w:rsidR="00762CBC">
        <w:rPr>
          <w:sz w:val="20"/>
          <w:szCs w:val="20"/>
          <w:lang w:val="es-AR"/>
        </w:rPr>
        <w:t>son inadmisibles por falta de agotamiento de los recursos de la jurisdicción interna conforme lo establece el artículo 46.1.a.</w:t>
      </w:r>
    </w:p>
    <w:p w14:paraId="2C00D29C" w14:textId="77777777" w:rsidR="00CF140D" w:rsidRPr="00357FF9" w:rsidRDefault="00CF140D" w:rsidP="007B1500">
      <w:pPr>
        <w:tabs>
          <w:tab w:val="left" w:pos="1440"/>
        </w:tabs>
        <w:rPr>
          <w:rFonts w:ascii="Cambria" w:hAnsi="Cambria"/>
          <w:sz w:val="20"/>
          <w:szCs w:val="20"/>
        </w:rPr>
      </w:pPr>
    </w:p>
    <w:p w14:paraId="369C6EA2" w14:textId="77777777" w:rsidR="00CF140D" w:rsidRPr="00357FF9" w:rsidRDefault="00CF140D" w:rsidP="00C04D34">
      <w:pPr>
        <w:pStyle w:val="Heading3"/>
        <w:numPr>
          <w:ilvl w:val="0"/>
          <w:numId w:val="60"/>
        </w:numPr>
        <w:tabs>
          <w:tab w:val="clear" w:pos="1080"/>
          <w:tab w:val="left" w:pos="1440"/>
        </w:tabs>
        <w:spacing w:before="0" w:after="0"/>
        <w:ind w:left="0" w:firstLine="720"/>
        <w:rPr>
          <w:rFonts w:ascii="Cambria" w:hAnsi="Cambria"/>
          <w:sz w:val="20"/>
          <w:szCs w:val="20"/>
        </w:rPr>
      </w:pPr>
      <w:r w:rsidRPr="00357FF9">
        <w:rPr>
          <w:rFonts w:ascii="Cambria" w:hAnsi="Cambria"/>
          <w:sz w:val="20"/>
          <w:szCs w:val="20"/>
        </w:rPr>
        <w:t>Plazo para presentar la petición</w:t>
      </w:r>
    </w:p>
    <w:p w14:paraId="2A4D0D07" w14:textId="77777777" w:rsidR="00CF140D" w:rsidRPr="00357FF9" w:rsidRDefault="00CF140D" w:rsidP="00C04D34">
      <w:pPr>
        <w:tabs>
          <w:tab w:val="left" w:pos="1440"/>
        </w:tabs>
        <w:ind w:firstLine="720"/>
        <w:rPr>
          <w:rFonts w:ascii="Cambria" w:hAnsi="Cambria"/>
          <w:sz w:val="20"/>
          <w:szCs w:val="20"/>
        </w:rPr>
      </w:pPr>
    </w:p>
    <w:p w14:paraId="0D298EC9" w14:textId="1821C447" w:rsidR="00611392" w:rsidRPr="00611392" w:rsidRDefault="0029755A" w:rsidP="006113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rFonts w:ascii="Cambria" w:hAnsi="Cambria"/>
          <w:sz w:val="20"/>
          <w:szCs w:val="20"/>
          <w:lang w:val="es-AR"/>
        </w:rPr>
      </w:pPr>
      <w:r w:rsidRPr="0029755A">
        <w:rPr>
          <w:rFonts w:ascii="Cambria" w:hAnsi="Cambria"/>
          <w:sz w:val="20"/>
          <w:szCs w:val="20"/>
        </w:rPr>
        <w:t>La Convención establece que para que una petición resulte admisible debe ser presentada dentro del plazo de seis meses contados a partir de la fecha en que el presunto lesionado haya sido notificado de la decisión definitiva adoptada por los tribunales internos.</w:t>
      </w:r>
      <w:r w:rsidR="00611392">
        <w:rPr>
          <w:rFonts w:ascii="Cambria" w:hAnsi="Cambria"/>
          <w:sz w:val="20"/>
          <w:szCs w:val="20"/>
        </w:rPr>
        <w:t xml:space="preserve"> </w:t>
      </w:r>
    </w:p>
    <w:p w14:paraId="49B288EC" w14:textId="77777777" w:rsidR="00611392" w:rsidRPr="00611392" w:rsidRDefault="00611392" w:rsidP="0061139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lang w:val="es-AR"/>
        </w:rPr>
      </w:pPr>
    </w:p>
    <w:p w14:paraId="1E03C28D" w14:textId="43281B2B" w:rsidR="0029755A" w:rsidRPr="00611392" w:rsidRDefault="00611392" w:rsidP="0061139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rFonts w:ascii="Cambria" w:hAnsi="Cambria"/>
          <w:sz w:val="20"/>
          <w:szCs w:val="20"/>
          <w:lang w:val="es-AR"/>
        </w:rPr>
      </w:pPr>
      <w:r w:rsidRPr="00611392">
        <w:rPr>
          <w:rFonts w:ascii="Cambria" w:hAnsi="Cambria"/>
          <w:sz w:val="20"/>
          <w:szCs w:val="20"/>
          <w:lang w:val="es-AR"/>
        </w:rPr>
        <w:t>Surge, pues, que el agotamiento de los recursos internos se dio mientras el caso se hallaba bajo estudio de admisibilidad. En estas circunstancias, ha sido criterio constante de la Comisión que el cumplimiento del requisito de presentación de la petición en plazo se encuentra intrínsecamente ligado al agotamiento de los recursos internos y, por lo tanto, corresponde darlo por cumplido</w:t>
      </w:r>
      <w:r w:rsidR="00C92C9A">
        <w:rPr>
          <w:rStyle w:val="FootnoteReference"/>
          <w:rFonts w:ascii="Cambria" w:hAnsi="Cambria"/>
          <w:sz w:val="20"/>
          <w:szCs w:val="20"/>
          <w:lang w:val="es-AR"/>
        </w:rPr>
        <w:footnoteReference w:id="9"/>
      </w:r>
      <w:r w:rsidRPr="00611392">
        <w:rPr>
          <w:rFonts w:ascii="Cambria" w:hAnsi="Cambria"/>
          <w:sz w:val="20"/>
          <w:szCs w:val="20"/>
          <w:lang w:val="es-AR"/>
        </w:rPr>
        <w:t>.</w:t>
      </w:r>
    </w:p>
    <w:p w14:paraId="7DA24F9E" w14:textId="77777777" w:rsidR="0029755A" w:rsidRDefault="0029755A" w:rsidP="0029755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68F986A7" w14:textId="2D4B99B8" w:rsidR="00CF140D" w:rsidRPr="00B20AA9" w:rsidRDefault="00583979" w:rsidP="00C04D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rFonts w:ascii="Cambria" w:hAnsi="Cambria"/>
          <w:sz w:val="20"/>
          <w:szCs w:val="20"/>
        </w:rPr>
      </w:pPr>
      <w:r w:rsidRPr="00B20AA9">
        <w:rPr>
          <w:rFonts w:ascii="Cambria" w:hAnsi="Cambria"/>
          <w:sz w:val="20"/>
          <w:szCs w:val="20"/>
        </w:rPr>
        <w:t>Dado que</w:t>
      </w:r>
      <w:r w:rsidR="0046529D">
        <w:rPr>
          <w:rFonts w:ascii="Cambria" w:hAnsi="Cambria"/>
          <w:sz w:val="20"/>
          <w:szCs w:val="20"/>
        </w:rPr>
        <w:t xml:space="preserve"> </w:t>
      </w:r>
      <w:r w:rsidR="00F812A2">
        <w:rPr>
          <w:rFonts w:ascii="Cambria" w:hAnsi="Cambria"/>
          <w:sz w:val="20"/>
          <w:szCs w:val="20"/>
        </w:rPr>
        <w:t xml:space="preserve">los hechos denunciados </w:t>
      </w:r>
      <w:r w:rsidR="0046529D">
        <w:rPr>
          <w:rFonts w:ascii="Cambria" w:hAnsi="Cambria"/>
          <w:sz w:val="20"/>
          <w:szCs w:val="20"/>
        </w:rPr>
        <w:t>se habrían iniciado</w:t>
      </w:r>
      <w:r w:rsidR="00F812A2">
        <w:rPr>
          <w:rFonts w:ascii="Cambria" w:hAnsi="Cambria"/>
          <w:sz w:val="20"/>
          <w:szCs w:val="20"/>
        </w:rPr>
        <w:t xml:space="preserve"> en noviembre de 2004, </w:t>
      </w:r>
      <w:r w:rsidRPr="00B20AA9">
        <w:rPr>
          <w:rFonts w:ascii="Cambria" w:hAnsi="Cambria"/>
          <w:sz w:val="20"/>
          <w:szCs w:val="20"/>
        </w:rPr>
        <w:t xml:space="preserve">la petición </w:t>
      </w:r>
      <w:r w:rsidR="00ED32F5" w:rsidRPr="00B20AA9">
        <w:rPr>
          <w:rFonts w:ascii="Cambria" w:hAnsi="Cambria"/>
          <w:sz w:val="20"/>
          <w:szCs w:val="20"/>
        </w:rPr>
        <w:t xml:space="preserve">fue recibida el 20 de marzo de 2005 y los recursos </w:t>
      </w:r>
      <w:r w:rsidR="00B20AA9">
        <w:rPr>
          <w:rFonts w:ascii="Cambria" w:hAnsi="Cambria"/>
          <w:sz w:val="20"/>
          <w:szCs w:val="20"/>
        </w:rPr>
        <w:t>fueron</w:t>
      </w:r>
      <w:r w:rsidR="00ED32F5" w:rsidRPr="00B20AA9">
        <w:rPr>
          <w:rFonts w:ascii="Cambria" w:hAnsi="Cambria"/>
          <w:sz w:val="20"/>
          <w:szCs w:val="20"/>
        </w:rPr>
        <w:t xml:space="preserve"> agotad</w:t>
      </w:r>
      <w:r w:rsidRPr="00B20AA9">
        <w:rPr>
          <w:rFonts w:ascii="Cambria" w:hAnsi="Cambria"/>
          <w:sz w:val="20"/>
          <w:szCs w:val="20"/>
        </w:rPr>
        <w:t xml:space="preserve">os posteriormente a esta fecha, </w:t>
      </w:r>
      <w:r w:rsidR="00ED32F5" w:rsidRPr="00B20AA9">
        <w:rPr>
          <w:rFonts w:ascii="Cambria" w:hAnsi="Cambria" w:cs="Calibri"/>
          <w:sz w:val="20"/>
          <w:szCs w:val="20"/>
        </w:rPr>
        <w:t>la Comisión considera que la petición fue presentada oportunamente</w:t>
      </w:r>
      <w:r w:rsidR="00B20AA9">
        <w:rPr>
          <w:rFonts w:ascii="Cambria" w:hAnsi="Cambria" w:cs="Calibri"/>
          <w:sz w:val="20"/>
          <w:szCs w:val="20"/>
        </w:rPr>
        <w:t>,</w:t>
      </w:r>
      <w:r w:rsidR="00ED32F5" w:rsidRPr="00B20AA9">
        <w:rPr>
          <w:rFonts w:ascii="Cambria" w:hAnsi="Cambria" w:cs="Calibri"/>
          <w:sz w:val="20"/>
          <w:szCs w:val="20"/>
        </w:rPr>
        <w:t xml:space="preserve"> por lo que debe darse por satisfecho el requisito de admisibilidad referente al plazo de presentación.</w:t>
      </w:r>
      <w:r w:rsidR="008B1F6F" w:rsidRPr="00B20AA9">
        <w:rPr>
          <w:rFonts w:ascii="Cambria" w:hAnsi="Cambria" w:cs="Calibri"/>
          <w:sz w:val="20"/>
          <w:szCs w:val="20"/>
        </w:rPr>
        <w:t xml:space="preserve"> </w:t>
      </w:r>
    </w:p>
    <w:p w14:paraId="39D78AE7" w14:textId="77777777" w:rsidR="00CF140D" w:rsidRPr="00357FF9" w:rsidRDefault="00CF140D" w:rsidP="00C04D34">
      <w:pPr>
        <w:tabs>
          <w:tab w:val="left" w:pos="1440"/>
        </w:tabs>
        <w:ind w:firstLine="720"/>
        <w:jc w:val="both"/>
        <w:rPr>
          <w:rFonts w:ascii="Cambria" w:hAnsi="Cambria"/>
          <w:sz w:val="20"/>
          <w:szCs w:val="20"/>
        </w:rPr>
      </w:pPr>
    </w:p>
    <w:p w14:paraId="106BD5CD" w14:textId="77777777" w:rsidR="00CF64A2" w:rsidRDefault="00CF64A2">
      <w:pPr>
        <w:rPr>
          <w:rFonts w:ascii="Cambria" w:eastAsia="Times New Roman" w:hAnsi="Cambria" w:cs="Arial"/>
          <w:b/>
          <w:sz w:val="20"/>
          <w:szCs w:val="20"/>
          <w:bdr w:val="none" w:sz="0" w:space="0" w:color="auto"/>
        </w:rPr>
      </w:pPr>
      <w:r>
        <w:rPr>
          <w:rFonts w:ascii="Cambria" w:hAnsi="Cambria"/>
          <w:bCs/>
          <w:sz w:val="20"/>
          <w:szCs w:val="20"/>
        </w:rPr>
        <w:br w:type="page"/>
      </w:r>
    </w:p>
    <w:p w14:paraId="1CF8859B" w14:textId="2C5693AB" w:rsidR="00CF140D" w:rsidRPr="00357FF9" w:rsidRDefault="00CF140D" w:rsidP="00C04D34">
      <w:pPr>
        <w:pStyle w:val="Heading3"/>
        <w:numPr>
          <w:ilvl w:val="0"/>
          <w:numId w:val="60"/>
        </w:numPr>
        <w:tabs>
          <w:tab w:val="clear" w:pos="1080"/>
          <w:tab w:val="left" w:pos="1440"/>
        </w:tabs>
        <w:spacing w:before="0" w:after="0"/>
        <w:ind w:left="0" w:firstLine="720"/>
        <w:rPr>
          <w:rFonts w:ascii="Cambria" w:hAnsi="Cambria"/>
          <w:sz w:val="20"/>
          <w:szCs w:val="20"/>
        </w:rPr>
      </w:pPr>
      <w:r w:rsidRPr="00357FF9">
        <w:rPr>
          <w:rFonts w:ascii="Cambria" w:hAnsi="Cambria"/>
          <w:bCs w:val="0"/>
          <w:sz w:val="20"/>
          <w:szCs w:val="20"/>
        </w:rPr>
        <w:lastRenderedPageBreak/>
        <w:t xml:space="preserve">Duplicación de procedimientos y cosa juzgada internacional </w:t>
      </w:r>
    </w:p>
    <w:p w14:paraId="052A3BF1" w14:textId="77777777" w:rsidR="00CF140D" w:rsidRPr="00357FF9" w:rsidRDefault="00CF140D" w:rsidP="00C04D34">
      <w:pPr>
        <w:tabs>
          <w:tab w:val="left" w:pos="1440"/>
        </w:tabs>
        <w:ind w:firstLine="720"/>
        <w:jc w:val="both"/>
        <w:rPr>
          <w:rFonts w:ascii="Cambria" w:hAnsi="Cambria"/>
          <w:sz w:val="20"/>
          <w:szCs w:val="20"/>
        </w:rPr>
      </w:pPr>
      <w:r w:rsidRPr="00357FF9">
        <w:rPr>
          <w:rFonts w:ascii="Cambria" w:hAnsi="Cambria"/>
          <w:sz w:val="20"/>
          <w:szCs w:val="20"/>
        </w:rPr>
        <w:t> </w:t>
      </w:r>
    </w:p>
    <w:p w14:paraId="6243B7E1" w14:textId="2B990742" w:rsidR="0029755A" w:rsidRDefault="0029755A" w:rsidP="0029755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rFonts w:ascii="Cambria" w:hAnsi="Cambria"/>
          <w:sz w:val="20"/>
          <w:szCs w:val="20"/>
        </w:rPr>
      </w:pPr>
      <w:r w:rsidRPr="0029755A">
        <w:rPr>
          <w:rFonts w:ascii="Cambria" w:hAnsi="Cambria"/>
          <w:sz w:val="20"/>
          <w:szCs w:val="20"/>
        </w:rPr>
        <w:t xml:space="preserve">El artículo 46.1.c de la Convención dispone que para que una petición sea admitida por la CIDH se requerirá que “la materia de petición o comunicación no esté pendiente de otro procedimiento de arreglo internacional” y en el artículo 47.1.d de la Convención dispone que la Comisión declarará inadmisible toda petición o comunicación cuando “sea sustancialmente la reproducción de petición o comunicación anterior ya examinada por la Comisión u otro organismo internacional”. </w:t>
      </w:r>
    </w:p>
    <w:p w14:paraId="164EB39C" w14:textId="77777777" w:rsidR="0029755A" w:rsidRDefault="0029755A" w:rsidP="0029755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Cambria" w:hAnsi="Cambria"/>
          <w:sz w:val="20"/>
          <w:szCs w:val="20"/>
        </w:rPr>
      </w:pPr>
    </w:p>
    <w:p w14:paraId="36AF1BE3" w14:textId="59047E88" w:rsidR="0029755A" w:rsidRPr="0029755A" w:rsidRDefault="0029755A" w:rsidP="00E01D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rFonts w:ascii="Cambria" w:hAnsi="Cambria"/>
          <w:sz w:val="20"/>
          <w:szCs w:val="20"/>
        </w:rPr>
      </w:pPr>
      <w:r w:rsidRPr="0029755A">
        <w:rPr>
          <w:rFonts w:ascii="Cambria" w:hAnsi="Cambria"/>
          <w:sz w:val="20"/>
          <w:szCs w:val="20"/>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46.1.c y 47.1.d de la Convención.</w:t>
      </w:r>
    </w:p>
    <w:p w14:paraId="7ADD85D7" w14:textId="77777777" w:rsidR="00CF140D" w:rsidRPr="00357FF9" w:rsidRDefault="00CF140D" w:rsidP="00E01D4E">
      <w:pPr>
        <w:tabs>
          <w:tab w:val="left" w:pos="1440"/>
        </w:tabs>
        <w:ind w:firstLine="720"/>
        <w:jc w:val="both"/>
        <w:rPr>
          <w:rFonts w:ascii="Cambria" w:hAnsi="Cambria"/>
          <w:sz w:val="20"/>
          <w:szCs w:val="20"/>
        </w:rPr>
      </w:pPr>
      <w:r w:rsidRPr="00357FF9">
        <w:rPr>
          <w:rFonts w:ascii="Cambria" w:hAnsi="Cambria"/>
          <w:sz w:val="20"/>
          <w:szCs w:val="20"/>
        </w:rPr>
        <w:t> </w:t>
      </w:r>
    </w:p>
    <w:p w14:paraId="1F6495D3" w14:textId="051DC885" w:rsidR="00CF140D" w:rsidRPr="00357FF9" w:rsidRDefault="00CF140D" w:rsidP="00B20AA9">
      <w:pPr>
        <w:pStyle w:val="Heading3"/>
        <w:numPr>
          <w:ilvl w:val="0"/>
          <w:numId w:val="60"/>
        </w:numPr>
        <w:tabs>
          <w:tab w:val="clear" w:pos="1080"/>
          <w:tab w:val="num" w:pos="1418"/>
        </w:tabs>
        <w:spacing w:before="0" w:after="0"/>
        <w:ind w:left="1418" w:hanging="709"/>
        <w:jc w:val="both"/>
        <w:rPr>
          <w:rFonts w:ascii="Cambria" w:hAnsi="Cambria"/>
          <w:sz w:val="20"/>
          <w:szCs w:val="20"/>
        </w:rPr>
      </w:pPr>
      <w:r w:rsidRPr="00357FF9">
        <w:rPr>
          <w:rFonts w:ascii="Cambria" w:hAnsi="Cambria"/>
          <w:bCs w:val="0"/>
          <w:sz w:val="20"/>
          <w:szCs w:val="20"/>
        </w:rPr>
        <w:t>Caracterización de los hechos alegados</w:t>
      </w:r>
    </w:p>
    <w:p w14:paraId="70D477EC" w14:textId="77777777" w:rsidR="00CF140D" w:rsidRPr="00357FF9" w:rsidRDefault="00CF140D" w:rsidP="00E01D4E">
      <w:pPr>
        <w:tabs>
          <w:tab w:val="left" w:pos="1440"/>
        </w:tabs>
        <w:ind w:firstLine="720"/>
        <w:jc w:val="both"/>
        <w:rPr>
          <w:rFonts w:ascii="Cambria" w:hAnsi="Cambria"/>
          <w:sz w:val="20"/>
          <w:szCs w:val="20"/>
        </w:rPr>
      </w:pPr>
      <w:r w:rsidRPr="00357FF9">
        <w:rPr>
          <w:rFonts w:ascii="Cambria" w:hAnsi="Cambria"/>
          <w:sz w:val="20"/>
          <w:szCs w:val="20"/>
        </w:rPr>
        <w:t> </w:t>
      </w:r>
    </w:p>
    <w:p w14:paraId="1CE1FAC7" w14:textId="7DB92FFB" w:rsidR="00BE484E" w:rsidRPr="00BE484E" w:rsidRDefault="00BE484E" w:rsidP="00E01D4E">
      <w:pPr>
        <w:pStyle w:val="Heading2"/>
        <w:numPr>
          <w:ilvl w:val="0"/>
          <w:numId w:val="56"/>
        </w:numPr>
        <w:tabs>
          <w:tab w:val="clear" w:pos="2160"/>
          <w:tab w:val="left" w:pos="1440"/>
        </w:tabs>
        <w:ind w:left="0" w:firstLine="720"/>
        <w:jc w:val="both"/>
        <w:rPr>
          <w:b w:val="0"/>
        </w:rPr>
      </w:pPr>
      <w:r w:rsidRPr="00BE484E">
        <w:rPr>
          <w:b w:val="0"/>
        </w:rPr>
        <w:t>A los efectos de la admisibilidad, la Comisión debe decidir si los hechos alegados pueden caracterizar una violación de derechos, según lo estipulado en el artículo 47</w:t>
      </w:r>
      <w:r>
        <w:rPr>
          <w:b w:val="0"/>
        </w:rPr>
        <w:t>.b</w:t>
      </w:r>
      <w:r w:rsidRPr="00BE484E">
        <w:rPr>
          <w:b w:val="0"/>
        </w:rPr>
        <w:t xml:space="preserve"> de la Convención Americana, o si la petición es "manifiestamente infundada" o es "evidente su total impr</w:t>
      </w:r>
      <w:r>
        <w:rPr>
          <w:b w:val="0"/>
        </w:rPr>
        <w:t>ocedencia", conforme al inciso “</w:t>
      </w:r>
      <w:r w:rsidRPr="00BE484E">
        <w:rPr>
          <w:b w:val="0"/>
        </w:rPr>
        <w:t>c</w:t>
      </w:r>
      <w:r>
        <w:rPr>
          <w:b w:val="0"/>
        </w:rPr>
        <w:t>”</w:t>
      </w:r>
      <w:r w:rsidRPr="00BE484E">
        <w:rPr>
          <w:b w:val="0"/>
        </w:rPr>
        <w:t xml:space="preserve"> de dicho artículo. El criterio de evaluación de esos requisitos difiere del que se utiliza para pronunciarse sobre el fondo de una petición; la Comisión debe realizar una evaluación </w:t>
      </w:r>
      <w:r w:rsidRPr="00BE484E">
        <w:rPr>
          <w:b w:val="0"/>
          <w:i/>
        </w:rPr>
        <w:t>prima facie</w:t>
      </w:r>
      <w:r w:rsidRPr="00BE484E">
        <w:rPr>
          <w:b w:val="0"/>
        </w:rPr>
        <w:t xml:space="preserve"> para determinar si la petición establece el fundamento de la violación, posible o potencial, de un derecho garantizado por la Convención, pero no para establecer la existencia de una violación de derechos. Esta determinación constituye un análisis primario, que no implica prejuzgar sobre el fundamento del asunto.</w:t>
      </w:r>
    </w:p>
    <w:p w14:paraId="5343EB90" w14:textId="77777777" w:rsidR="00BE484E" w:rsidRPr="00BE484E" w:rsidRDefault="00BE484E" w:rsidP="00BE484E"/>
    <w:p w14:paraId="668405F2" w14:textId="0A24848D" w:rsidR="00E01D4E" w:rsidRPr="00E01D4E" w:rsidRDefault="00E01D4E" w:rsidP="00E01D4E">
      <w:pPr>
        <w:pStyle w:val="Heading2"/>
        <w:numPr>
          <w:ilvl w:val="0"/>
          <w:numId w:val="56"/>
        </w:numPr>
        <w:tabs>
          <w:tab w:val="clear" w:pos="2160"/>
          <w:tab w:val="left" w:pos="1440"/>
        </w:tabs>
        <w:ind w:left="0" w:firstLine="720"/>
        <w:jc w:val="both"/>
        <w:rPr>
          <w:rFonts w:ascii="Cambria" w:hAnsi="Cambria"/>
          <w:b w:val="0"/>
          <w:lang w:val="es-ES"/>
        </w:rPr>
      </w:pPr>
      <w:r w:rsidRPr="00E01D4E">
        <w:rPr>
          <w:rFonts w:ascii="Cambria" w:hAnsi="Cambria"/>
          <w:b w:val="0"/>
          <w:lang w:val="es-ES"/>
        </w:rPr>
        <w:t>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r w:rsidRPr="00E01D4E">
        <w:rPr>
          <w:rFonts w:ascii="Cambria" w:hAnsi="Cambria"/>
          <w:b w:val="0"/>
          <w:lang w:val="es-AR"/>
        </w:rPr>
        <w:t xml:space="preserve"> </w:t>
      </w:r>
    </w:p>
    <w:p w14:paraId="62CF8D86" w14:textId="77777777" w:rsidR="000D7A69" w:rsidRPr="00ED58D0" w:rsidRDefault="000D7A69" w:rsidP="002C07D2">
      <w:pPr>
        <w:jc w:val="both"/>
      </w:pPr>
    </w:p>
    <w:p w14:paraId="7A81A2F2" w14:textId="3C855BD4" w:rsidR="00786DD7" w:rsidRDefault="000D7A69" w:rsidP="00786DD7">
      <w:pPr>
        <w:pStyle w:val="Heading2"/>
        <w:numPr>
          <w:ilvl w:val="0"/>
          <w:numId w:val="56"/>
        </w:numPr>
        <w:tabs>
          <w:tab w:val="left" w:pos="1440"/>
        </w:tabs>
        <w:ind w:left="0" w:firstLine="720"/>
        <w:jc w:val="both"/>
        <w:rPr>
          <w:b w:val="0"/>
          <w:lang w:val="es-BO"/>
        </w:rPr>
      </w:pPr>
      <w:r w:rsidRPr="00BE64E7">
        <w:rPr>
          <w:b w:val="0"/>
          <w:lang w:val="es-AR"/>
        </w:rPr>
        <w:t xml:space="preserve">En vista de los elementos de hecho y de derecho presentados por las partes, la Comisión considera que, de ser probadas las alegaciones de los peticionarios </w:t>
      </w:r>
      <w:r w:rsidR="0033300C" w:rsidRPr="00BE64E7">
        <w:rPr>
          <w:b w:val="0"/>
        </w:rPr>
        <w:t>respecto</w:t>
      </w:r>
      <w:r w:rsidR="0033300C" w:rsidRPr="00BE64E7">
        <w:rPr>
          <w:b w:val="0"/>
          <w:lang w:val="es-BO"/>
        </w:rPr>
        <w:t xml:space="preserve"> de l</w:t>
      </w:r>
      <w:r w:rsidR="00BE64E7">
        <w:rPr>
          <w:b w:val="0"/>
          <w:lang w:val="es-BO"/>
        </w:rPr>
        <w:t>a supuesta desaparición forzada, la alegada privación de libertad subsiguiente,</w:t>
      </w:r>
      <w:r w:rsidR="0033300C" w:rsidRPr="00BE64E7">
        <w:rPr>
          <w:b w:val="0"/>
          <w:lang w:val="es-BO"/>
        </w:rPr>
        <w:t xml:space="preserve"> la supuesta </w:t>
      </w:r>
      <w:r w:rsidR="00690C35">
        <w:rPr>
          <w:b w:val="0"/>
          <w:lang w:val="es-BO"/>
        </w:rPr>
        <w:t>comisión</w:t>
      </w:r>
      <w:r w:rsidR="0033300C" w:rsidRPr="00BE64E7">
        <w:rPr>
          <w:b w:val="0"/>
          <w:lang w:val="es-BO"/>
        </w:rPr>
        <w:t xml:space="preserve"> de actos de tortura y la alegada falta de investigación efectiva </w:t>
      </w:r>
      <w:r w:rsidR="00BE64E7" w:rsidRPr="00BE64E7">
        <w:rPr>
          <w:b w:val="0"/>
          <w:lang w:val="es-BO"/>
        </w:rPr>
        <w:t xml:space="preserve">de dichas alegaciones </w:t>
      </w:r>
      <w:r w:rsidR="0033300C" w:rsidRPr="00BE64E7">
        <w:rPr>
          <w:b w:val="0"/>
          <w:lang w:val="es-BO"/>
        </w:rPr>
        <w:t xml:space="preserve">por parte de las autoridades competentes, </w:t>
      </w:r>
      <w:r w:rsidR="00BE64E7" w:rsidRPr="00BE64E7">
        <w:rPr>
          <w:b w:val="0"/>
          <w:lang w:val="es-BO"/>
        </w:rPr>
        <w:t>podría</w:t>
      </w:r>
      <w:r w:rsidR="0033300C" w:rsidRPr="00BE64E7">
        <w:rPr>
          <w:b w:val="0"/>
          <w:lang w:val="es-BO"/>
        </w:rPr>
        <w:t xml:space="preserve"> </w:t>
      </w:r>
      <w:r w:rsidR="00BE64E7" w:rsidRPr="00BE64E7">
        <w:rPr>
          <w:b w:val="0"/>
          <w:lang w:val="es-BO"/>
        </w:rPr>
        <w:t>configurarse una violación</w:t>
      </w:r>
      <w:r w:rsidR="0033300C" w:rsidRPr="00BE64E7">
        <w:rPr>
          <w:b w:val="0"/>
          <w:lang w:val="es-BO"/>
        </w:rPr>
        <w:t xml:space="preserve"> a los derechos consagrados en los artículos 3, 5, 7, 8 y 25 de la Convención </w:t>
      </w:r>
      <w:r w:rsidR="0033300C" w:rsidRPr="00BE64E7">
        <w:rPr>
          <w:b w:val="0"/>
          <w:lang w:val="es-AR"/>
        </w:rPr>
        <w:t>en relación con el a</w:t>
      </w:r>
      <w:r w:rsidR="00BE64E7" w:rsidRPr="00BE64E7">
        <w:rPr>
          <w:b w:val="0"/>
          <w:lang w:val="es-AR"/>
        </w:rPr>
        <w:t>rtículo 1</w:t>
      </w:r>
      <w:r w:rsidR="0057128C">
        <w:rPr>
          <w:b w:val="0"/>
          <w:lang w:val="es-AR"/>
        </w:rPr>
        <w:t>.1</w:t>
      </w:r>
      <w:r w:rsidR="00BE64E7" w:rsidRPr="00BE64E7">
        <w:rPr>
          <w:b w:val="0"/>
          <w:lang w:val="es-AR"/>
        </w:rPr>
        <w:t xml:space="preserve"> del mismo instrumento</w:t>
      </w:r>
      <w:r w:rsidR="009C2C37">
        <w:rPr>
          <w:b w:val="0"/>
          <w:lang w:val="es-AR"/>
        </w:rPr>
        <w:t xml:space="preserve"> en perjuicio de las presuntas víctimas</w:t>
      </w:r>
      <w:r w:rsidR="00BE64E7" w:rsidRPr="00BE64E7">
        <w:rPr>
          <w:b w:val="0"/>
          <w:lang w:val="es-AR"/>
        </w:rPr>
        <w:t>.</w:t>
      </w:r>
      <w:r w:rsidR="00AA6B28">
        <w:rPr>
          <w:b w:val="0"/>
          <w:lang w:val="es-AR"/>
        </w:rPr>
        <w:t xml:space="preserve"> Asimismo, la Comisión considera admisibles las </w:t>
      </w:r>
      <w:r w:rsidR="00690C35">
        <w:rPr>
          <w:b w:val="0"/>
          <w:lang w:val="es-AR"/>
        </w:rPr>
        <w:t>posibles</w:t>
      </w:r>
      <w:r w:rsidR="00AA6B28">
        <w:rPr>
          <w:b w:val="0"/>
          <w:lang w:val="es-AR"/>
        </w:rPr>
        <w:t xml:space="preserve"> violaciones a los artículos 8 y</w:t>
      </w:r>
      <w:r w:rsidR="00690C35">
        <w:rPr>
          <w:b w:val="0"/>
          <w:lang w:val="es-AR"/>
        </w:rPr>
        <w:t xml:space="preserve"> 25 de la Convención Americana; así como el artículo 5 </w:t>
      </w:r>
      <w:r w:rsidR="00AA6B28">
        <w:rPr>
          <w:b w:val="0"/>
          <w:lang w:val="es-AR"/>
        </w:rPr>
        <w:t>en perjuicio de los familiares de las presuntas víctimas</w:t>
      </w:r>
      <w:r w:rsidR="00690C35">
        <w:rPr>
          <w:b w:val="0"/>
          <w:lang w:val="es-AR"/>
        </w:rPr>
        <w:t>.</w:t>
      </w:r>
      <w:r w:rsidR="00AA6B28">
        <w:rPr>
          <w:b w:val="0"/>
          <w:lang w:val="es-AR"/>
        </w:rPr>
        <w:t xml:space="preserve"> </w:t>
      </w:r>
      <w:r w:rsidR="00BE64E7" w:rsidRPr="00BE64E7">
        <w:rPr>
          <w:b w:val="0"/>
          <w:lang w:val="es-AR"/>
        </w:rPr>
        <w:t xml:space="preserve">Del mismo modo, en la etapa de fondo deberá </w:t>
      </w:r>
      <w:r w:rsidR="009C2C37">
        <w:rPr>
          <w:b w:val="0"/>
          <w:lang w:val="es-AR"/>
        </w:rPr>
        <w:t>determinar</w:t>
      </w:r>
      <w:r w:rsidR="00BE64E7" w:rsidRPr="00BE64E7">
        <w:rPr>
          <w:b w:val="0"/>
          <w:lang w:val="es-AR"/>
        </w:rPr>
        <w:t xml:space="preserve"> la eventual </w:t>
      </w:r>
      <w:r w:rsidR="00BE64E7" w:rsidRPr="00BE484E">
        <w:rPr>
          <w:b w:val="0"/>
          <w:lang w:val="es-AR"/>
        </w:rPr>
        <w:t xml:space="preserve">aplicación </w:t>
      </w:r>
      <w:r w:rsidR="00BE484E" w:rsidRPr="00BE484E">
        <w:rPr>
          <w:b w:val="0"/>
          <w:lang w:val="es-AR"/>
        </w:rPr>
        <w:t>de los artículos 1</w:t>
      </w:r>
      <w:r w:rsidR="00690C35">
        <w:rPr>
          <w:b w:val="0"/>
          <w:lang w:val="es-AR"/>
        </w:rPr>
        <w:t xml:space="preserve"> </w:t>
      </w:r>
      <w:r w:rsidR="00BE484E" w:rsidRPr="00BE484E">
        <w:rPr>
          <w:b w:val="0"/>
          <w:lang w:val="es-AR"/>
        </w:rPr>
        <w:t>y 11 de la Convención Interamericana sobre Desaparición Forzada de Personas</w:t>
      </w:r>
      <w:r w:rsidR="00BE484E" w:rsidRPr="00BE64E7">
        <w:rPr>
          <w:b w:val="0"/>
          <w:lang w:val="es-BO"/>
        </w:rPr>
        <w:t xml:space="preserve"> </w:t>
      </w:r>
      <w:r w:rsidR="00BE484E">
        <w:rPr>
          <w:b w:val="0"/>
          <w:lang w:val="es-BO"/>
        </w:rPr>
        <w:t xml:space="preserve">y la </w:t>
      </w:r>
      <w:r w:rsidR="0033300C" w:rsidRPr="00BE64E7">
        <w:rPr>
          <w:b w:val="0"/>
          <w:lang w:val="es-BO"/>
        </w:rPr>
        <w:t xml:space="preserve">de los artículos 1, 6 y 8 de la Convención Interamericana para </w:t>
      </w:r>
      <w:r w:rsidR="00BE484E">
        <w:rPr>
          <w:b w:val="0"/>
          <w:lang w:val="es-BO"/>
        </w:rPr>
        <w:t>Prevenir y Sancionar la Tortura.</w:t>
      </w:r>
      <w:r w:rsidR="00ED7F16">
        <w:rPr>
          <w:b w:val="0"/>
          <w:lang w:val="es-BO"/>
        </w:rPr>
        <w:t xml:space="preserve"> </w:t>
      </w:r>
    </w:p>
    <w:p w14:paraId="0D23C5A7" w14:textId="77777777" w:rsidR="00786DD7" w:rsidRPr="00786DD7" w:rsidRDefault="00786DD7" w:rsidP="00786DD7">
      <w:pPr>
        <w:rPr>
          <w:lang w:val="es-BO"/>
        </w:rPr>
      </w:pPr>
    </w:p>
    <w:p w14:paraId="526ABBD5" w14:textId="26CED846" w:rsidR="00885EB9" w:rsidRPr="00885EB9" w:rsidRDefault="00BE0BF8" w:rsidP="00885EB9">
      <w:pPr>
        <w:pStyle w:val="Heading2"/>
        <w:numPr>
          <w:ilvl w:val="0"/>
          <w:numId w:val="56"/>
        </w:numPr>
        <w:tabs>
          <w:tab w:val="left" w:pos="1440"/>
        </w:tabs>
        <w:ind w:left="0" w:firstLine="720"/>
        <w:jc w:val="both"/>
        <w:rPr>
          <w:rFonts w:eastAsia="Cambria"/>
          <w:b w:val="0"/>
          <w:lang w:eastAsia="es-ES"/>
        </w:rPr>
      </w:pPr>
      <w:r w:rsidRPr="00885EB9">
        <w:rPr>
          <w:rFonts w:eastAsia="Cambria"/>
          <w:b w:val="0"/>
          <w:lang w:eastAsia="es-ES"/>
        </w:rPr>
        <w:t xml:space="preserve">En relación con las irregularidades que habrían tenido lugar durante el proceso penal llevado a cabo contra las presuntas víctimas, </w:t>
      </w:r>
      <w:r w:rsidR="00690C35" w:rsidRPr="00885EB9">
        <w:rPr>
          <w:rFonts w:eastAsia="Cambria"/>
          <w:b w:val="0"/>
          <w:lang w:eastAsia="es-ES"/>
        </w:rPr>
        <w:t xml:space="preserve">y a las alegadas declaraciones de autoridades respecto a su culpabilidad, </w:t>
      </w:r>
      <w:r w:rsidRPr="00885EB9">
        <w:rPr>
          <w:rFonts w:eastAsia="Cambria"/>
          <w:b w:val="0"/>
          <w:lang w:eastAsia="es-ES"/>
        </w:rPr>
        <w:t>la CIDH considera que, de ser corroboradas dichas alegaciones, podrían caracterizar violaciones a los artículos 8, 9 y 25 en relación con los artículos 1 y 2 de la Convención, en perjuicio de las presuntas víctimas. De igual manera, con respecto a las alegaciones sobre condiciones de detención en las que habrían sido mantenido privados de su libertad las presuntas víctimas, la Comisión considera que, de ser corroboradas, podrían constituir una violación al artículo 5 de la Convención Americana en relación con el artículo 1.1 del mismo instrumento</w:t>
      </w:r>
      <w:r w:rsidR="00F50F64" w:rsidRPr="00885EB9">
        <w:rPr>
          <w:rFonts w:eastAsia="Cambria"/>
          <w:b w:val="0"/>
          <w:lang w:eastAsia="es-ES"/>
        </w:rPr>
        <w:t>, en perjuicio de las presuntas víctimas</w:t>
      </w:r>
      <w:r w:rsidRPr="00885EB9">
        <w:rPr>
          <w:rFonts w:eastAsia="Cambria"/>
          <w:b w:val="0"/>
          <w:lang w:eastAsia="es-ES"/>
        </w:rPr>
        <w:t>.</w:t>
      </w:r>
      <w:r w:rsidR="00F50F64" w:rsidRPr="00885EB9">
        <w:rPr>
          <w:rFonts w:eastAsia="Cambria"/>
          <w:b w:val="0"/>
          <w:lang w:eastAsia="es-ES"/>
        </w:rPr>
        <w:t xml:space="preserve"> </w:t>
      </w:r>
    </w:p>
    <w:p w14:paraId="684BC560" w14:textId="77777777" w:rsidR="00885EB9" w:rsidRPr="00885EB9" w:rsidRDefault="00885EB9" w:rsidP="00885EB9">
      <w:pPr>
        <w:rPr>
          <w:lang w:eastAsia="es-ES"/>
        </w:rPr>
      </w:pPr>
    </w:p>
    <w:p w14:paraId="182E20FA" w14:textId="143AB1CF" w:rsidR="00CF140D" w:rsidRPr="00BE484E" w:rsidRDefault="009C2C37" w:rsidP="00C04D34">
      <w:pPr>
        <w:pStyle w:val="ListParagraph"/>
        <w:numPr>
          <w:ilvl w:val="0"/>
          <w:numId w:val="56"/>
        </w:numPr>
        <w:tabs>
          <w:tab w:val="clear" w:pos="2160"/>
          <w:tab w:val="left" w:pos="1440"/>
        </w:tabs>
        <w:ind w:left="0" w:firstLine="720"/>
        <w:jc w:val="both"/>
        <w:rPr>
          <w:sz w:val="20"/>
          <w:szCs w:val="20"/>
          <w:lang w:val="es-AR"/>
        </w:rPr>
      </w:pPr>
      <w:r w:rsidRPr="00BE484E">
        <w:rPr>
          <w:sz w:val="20"/>
          <w:szCs w:val="20"/>
          <w:lang w:val="es-BO"/>
        </w:rPr>
        <w:t>Por último</w:t>
      </w:r>
      <w:r w:rsidR="006C2279" w:rsidRPr="00BE484E">
        <w:rPr>
          <w:sz w:val="20"/>
          <w:szCs w:val="20"/>
          <w:lang w:val="es-ES_tradnl"/>
        </w:rPr>
        <w:t>, la Comisión entiende que los peticionarios no han presentado hechos que tiendan a caracterizar</w:t>
      </w:r>
      <w:r w:rsidRPr="00BE484E">
        <w:rPr>
          <w:sz w:val="20"/>
          <w:szCs w:val="20"/>
          <w:lang w:val="es-ES_tradnl"/>
        </w:rPr>
        <w:t xml:space="preserve"> violaciones a los derechos consagrados en los artí</w:t>
      </w:r>
      <w:r w:rsidR="00803961" w:rsidRPr="00BE484E">
        <w:rPr>
          <w:sz w:val="20"/>
          <w:szCs w:val="20"/>
          <w:lang w:val="es-ES_tradnl"/>
        </w:rPr>
        <w:t xml:space="preserve">culos 4 y </w:t>
      </w:r>
      <w:r w:rsidR="006C2279" w:rsidRPr="00BE484E">
        <w:rPr>
          <w:sz w:val="20"/>
          <w:szCs w:val="20"/>
          <w:lang w:val="es-ES_tradnl"/>
        </w:rPr>
        <w:t xml:space="preserve">24 </w:t>
      </w:r>
      <w:r w:rsidRPr="00BE484E">
        <w:rPr>
          <w:sz w:val="20"/>
          <w:szCs w:val="20"/>
          <w:lang w:val="es-ES_tradnl"/>
        </w:rPr>
        <w:t xml:space="preserve">de la Convención. </w:t>
      </w:r>
      <w:r w:rsidR="00885EB9">
        <w:rPr>
          <w:sz w:val="20"/>
          <w:szCs w:val="20"/>
          <w:lang w:val="es-ES_tradnl"/>
        </w:rPr>
        <w:t xml:space="preserve">De </w:t>
      </w:r>
      <w:r w:rsidR="00885EB9">
        <w:rPr>
          <w:sz w:val="20"/>
          <w:szCs w:val="20"/>
          <w:lang w:val="es-ES_tradnl"/>
        </w:rPr>
        <w:lastRenderedPageBreak/>
        <w:t xml:space="preserve">igual forma las alegadas violaciones al artículo 11 de la Convención quedan subsumidas en la consideración hecha a la </w:t>
      </w:r>
      <w:r w:rsidR="006539E4">
        <w:rPr>
          <w:sz w:val="20"/>
          <w:szCs w:val="20"/>
          <w:lang w:val="es-ES_tradnl"/>
        </w:rPr>
        <w:t>posible violación del artículo 8</w:t>
      </w:r>
      <w:r w:rsidR="00885EB9">
        <w:rPr>
          <w:sz w:val="20"/>
          <w:szCs w:val="20"/>
          <w:lang w:val="es-ES_tradnl"/>
        </w:rPr>
        <w:t xml:space="preserve"> de la Convención. </w:t>
      </w:r>
    </w:p>
    <w:p w14:paraId="052F3939" w14:textId="77777777" w:rsidR="003F06E0" w:rsidRPr="003F06E0" w:rsidRDefault="003F06E0" w:rsidP="003F06E0">
      <w:pPr>
        <w:tabs>
          <w:tab w:val="left" w:pos="1440"/>
        </w:tabs>
        <w:jc w:val="both"/>
        <w:rPr>
          <w:sz w:val="20"/>
          <w:szCs w:val="20"/>
        </w:rPr>
      </w:pPr>
    </w:p>
    <w:p w14:paraId="3CB3CF18" w14:textId="77777777" w:rsidR="00CF140D" w:rsidRPr="00357FF9" w:rsidRDefault="00CF140D" w:rsidP="00C04D34">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0"/>
        <w:ind w:left="0" w:firstLine="720"/>
        <w:rPr>
          <w:rFonts w:ascii="Cambria" w:hAnsi="Cambria"/>
          <w:sz w:val="20"/>
          <w:szCs w:val="20"/>
        </w:rPr>
      </w:pPr>
      <w:r w:rsidRPr="00357FF9">
        <w:rPr>
          <w:rFonts w:ascii="Cambria" w:hAnsi="Cambria"/>
          <w:bCs w:val="0"/>
          <w:sz w:val="20"/>
          <w:szCs w:val="20"/>
        </w:rPr>
        <w:t>CONCLUSIÓN</w:t>
      </w:r>
    </w:p>
    <w:p w14:paraId="591C8F01" w14:textId="77777777" w:rsidR="00CF140D" w:rsidRPr="00357FF9" w:rsidRDefault="00CF140D" w:rsidP="00C04D34">
      <w:pPr>
        <w:tabs>
          <w:tab w:val="left" w:pos="1440"/>
        </w:tabs>
        <w:ind w:firstLine="720"/>
        <w:jc w:val="both"/>
        <w:rPr>
          <w:rFonts w:ascii="Cambria" w:hAnsi="Cambria"/>
          <w:sz w:val="20"/>
          <w:szCs w:val="20"/>
        </w:rPr>
      </w:pPr>
    </w:p>
    <w:p w14:paraId="37A6F78D" w14:textId="77777777" w:rsidR="00CF140D" w:rsidRPr="00357FF9" w:rsidRDefault="00CF140D" w:rsidP="00C04D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40"/>
        </w:tabs>
        <w:ind w:left="0" w:firstLine="720"/>
        <w:jc w:val="both"/>
        <w:rPr>
          <w:rFonts w:ascii="Cambria" w:hAnsi="Cambria"/>
          <w:sz w:val="20"/>
          <w:szCs w:val="20"/>
        </w:rPr>
      </w:pPr>
      <w:r w:rsidRPr="00357FF9">
        <w:rPr>
          <w:rFonts w:ascii="Cambria" w:hAnsi="Cambria"/>
          <w:sz w:val="20"/>
          <w:szCs w:val="20"/>
        </w:rPr>
        <w:t>Con fundamento en las consideraciones de hecho y de derecho expuestas, y sin prejuzgar sobre el fondo de la cuestión, la Comisión Interamericana concluye que el presente caso satisface los requisitos de admisibilidad enunciados en los artículos 46 y 47 de la Convención Americana y en consecuencia</w:t>
      </w:r>
    </w:p>
    <w:p w14:paraId="1B739C10" w14:textId="77777777" w:rsidR="00CF140D" w:rsidRPr="00357FF9" w:rsidRDefault="00CF140D" w:rsidP="00C04D34">
      <w:pPr>
        <w:tabs>
          <w:tab w:val="left" w:pos="1440"/>
        </w:tabs>
        <w:ind w:firstLine="720"/>
        <w:jc w:val="both"/>
        <w:rPr>
          <w:rFonts w:ascii="Cambria" w:hAnsi="Cambria"/>
          <w:sz w:val="20"/>
          <w:szCs w:val="20"/>
        </w:rPr>
      </w:pPr>
    </w:p>
    <w:p w14:paraId="3D36E25C" w14:textId="77777777" w:rsidR="00CF140D" w:rsidRPr="00357FF9" w:rsidRDefault="00CF140D" w:rsidP="00C04D34">
      <w:pPr>
        <w:tabs>
          <w:tab w:val="left" w:pos="1440"/>
        </w:tabs>
        <w:ind w:firstLine="720"/>
        <w:jc w:val="center"/>
        <w:rPr>
          <w:rFonts w:ascii="Cambria" w:hAnsi="Cambria"/>
          <w:b/>
          <w:bCs/>
          <w:sz w:val="20"/>
          <w:szCs w:val="20"/>
        </w:rPr>
      </w:pPr>
      <w:r w:rsidRPr="00357FF9">
        <w:rPr>
          <w:rFonts w:ascii="Cambria" w:hAnsi="Cambria"/>
          <w:b/>
          <w:bCs/>
          <w:sz w:val="20"/>
          <w:szCs w:val="20"/>
        </w:rPr>
        <w:t>LA COMISIÓN INTERAMERICANA DE DERECHOS HUMANOS,</w:t>
      </w:r>
    </w:p>
    <w:p w14:paraId="7D96C75F" w14:textId="77777777" w:rsidR="00CF140D" w:rsidRPr="00357FF9" w:rsidRDefault="00CF140D" w:rsidP="00CF64A2">
      <w:pPr>
        <w:tabs>
          <w:tab w:val="left" w:pos="1440"/>
        </w:tabs>
        <w:jc w:val="both"/>
        <w:rPr>
          <w:rFonts w:ascii="Cambria" w:hAnsi="Cambria"/>
          <w:b/>
          <w:bCs/>
          <w:sz w:val="20"/>
          <w:szCs w:val="20"/>
        </w:rPr>
      </w:pPr>
      <w:r w:rsidRPr="00357FF9">
        <w:rPr>
          <w:rFonts w:ascii="Cambria" w:hAnsi="Cambria"/>
          <w:b/>
          <w:bCs/>
          <w:sz w:val="20"/>
          <w:szCs w:val="20"/>
        </w:rPr>
        <w:t>DECIDE:</w:t>
      </w:r>
    </w:p>
    <w:p w14:paraId="1C6B938E" w14:textId="77777777" w:rsidR="00CF140D" w:rsidRPr="00357FF9" w:rsidRDefault="00CF140D" w:rsidP="00C04D34">
      <w:pPr>
        <w:tabs>
          <w:tab w:val="left" w:pos="1440"/>
        </w:tabs>
        <w:ind w:firstLine="720"/>
        <w:jc w:val="both"/>
        <w:rPr>
          <w:rFonts w:ascii="Cambria" w:hAnsi="Cambria"/>
          <w:sz w:val="20"/>
          <w:szCs w:val="20"/>
        </w:rPr>
      </w:pPr>
    </w:p>
    <w:p w14:paraId="660874CB" w14:textId="09B68943" w:rsidR="00CF140D" w:rsidRPr="00357FF9" w:rsidRDefault="00CF140D" w:rsidP="00C04D34">
      <w:pPr>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 w:val="left" w:pos="1440"/>
        </w:tabs>
        <w:ind w:left="0" w:firstLine="720"/>
        <w:jc w:val="both"/>
        <w:rPr>
          <w:rFonts w:ascii="Cambria" w:hAnsi="Cambria"/>
          <w:sz w:val="20"/>
          <w:szCs w:val="20"/>
        </w:rPr>
      </w:pPr>
      <w:r w:rsidRPr="00357FF9">
        <w:rPr>
          <w:rFonts w:ascii="Cambria" w:hAnsi="Cambria"/>
          <w:sz w:val="20"/>
          <w:szCs w:val="20"/>
        </w:rPr>
        <w:t xml:space="preserve">Declarar admisible la presente petición respecto a los artículos </w:t>
      </w:r>
      <w:r w:rsidR="009C2C37">
        <w:rPr>
          <w:rFonts w:ascii="Cambria" w:hAnsi="Cambria"/>
          <w:sz w:val="20"/>
          <w:szCs w:val="20"/>
        </w:rPr>
        <w:t xml:space="preserve">3, </w:t>
      </w:r>
      <w:r w:rsidR="004614AF" w:rsidRPr="00357FF9">
        <w:rPr>
          <w:rFonts w:ascii="Cambria" w:hAnsi="Cambria"/>
          <w:sz w:val="20"/>
          <w:szCs w:val="20"/>
        </w:rPr>
        <w:t xml:space="preserve">5, 7, 8, 9 y 25 de la </w:t>
      </w:r>
      <w:r w:rsidRPr="00357FF9">
        <w:rPr>
          <w:rFonts w:ascii="Cambria" w:hAnsi="Cambria"/>
          <w:sz w:val="20"/>
          <w:szCs w:val="20"/>
        </w:rPr>
        <w:t xml:space="preserve">Convención Americana en </w:t>
      </w:r>
      <w:r w:rsidR="009C2C37">
        <w:rPr>
          <w:rFonts w:ascii="Cambria" w:hAnsi="Cambria"/>
          <w:sz w:val="20"/>
          <w:szCs w:val="20"/>
        </w:rPr>
        <w:t>relación</w:t>
      </w:r>
      <w:r w:rsidRPr="00357FF9">
        <w:rPr>
          <w:rFonts w:ascii="Cambria" w:hAnsi="Cambria"/>
          <w:sz w:val="20"/>
          <w:szCs w:val="20"/>
        </w:rPr>
        <w:t xml:space="preserve"> con los artículos </w:t>
      </w:r>
      <w:r w:rsidR="004614AF" w:rsidRPr="00357FF9">
        <w:rPr>
          <w:rFonts w:ascii="Cambria" w:hAnsi="Cambria"/>
          <w:sz w:val="20"/>
          <w:szCs w:val="20"/>
        </w:rPr>
        <w:t>1.1 y 2</w:t>
      </w:r>
      <w:r w:rsidR="00B42AC9" w:rsidRPr="00357FF9">
        <w:rPr>
          <w:rFonts w:ascii="Cambria" w:hAnsi="Cambria"/>
          <w:sz w:val="20"/>
          <w:szCs w:val="20"/>
        </w:rPr>
        <w:t xml:space="preserve"> </w:t>
      </w:r>
      <w:r w:rsidR="00BE484E">
        <w:rPr>
          <w:rFonts w:ascii="Cambria" w:hAnsi="Cambria"/>
          <w:sz w:val="20"/>
          <w:szCs w:val="20"/>
        </w:rPr>
        <w:t>del mismo instrumento</w:t>
      </w:r>
      <w:r w:rsidR="00BE484E" w:rsidRPr="00BE484E">
        <w:rPr>
          <w:rFonts w:ascii="Cambria" w:hAnsi="Cambria"/>
          <w:sz w:val="20"/>
          <w:szCs w:val="20"/>
        </w:rPr>
        <w:t xml:space="preserve">, </w:t>
      </w:r>
      <w:r w:rsidR="00BE484E" w:rsidRPr="00BE484E">
        <w:rPr>
          <w:rFonts w:asciiTheme="majorHAnsi" w:hAnsiTheme="majorHAnsi"/>
          <w:sz w:val="20"/>
          <w:szCs w:val="20"/>
          <w:lang w:val="es-AR"/>
        </w:rPr>
        <w:t>de los artículos 1 y 11 de la Convención Interamericana sobre Desaparición Forzada de Personas</w:t>
      </w:r>
      <w:r w:rsidR="00BE484E">
        <w:rPr>
          <w:rFonts w:ascii="Cambria" w:hAnsi="Cambria"/>
          <w:sz w:val="20"/>
          <w:szCs w:val="20"/>
        </w:rPr>
        <w:t xml:space="preserve"> y</w:t>
      </w:r>
      <w:r w:rsidR="001B06F6" w:rsidRPr="00357FF9">
        <w:rPr>
          <w:rFonts w:ascii="Cambria" w:hAnsi="Cambria"/>
          <w:sz w:val="20"/>
          <w:szCs w:val="20"/>
        </w:rPr>
        <w:t xml:space="preserve"> de los artículos 1, 6 y 8 de la Convención Interamericana para Prevenir y Sancionar la Tortura, </w:t>
      </w:r>
      <w:r w:rsidR="001B06F6" w:rsidRPr="009C2C37">
        <w:rPr>
          <w:rFonts w:ascii="Cambria" w:hAnsi="Cambria"/>
          <w:sz w:val="20"/>
          <w:szCs w:val="20"/>
        </w:rPr>
        <w:t>respecto de Rolando Jesús y Otoniel José Gu</w:t>
      </w:r>
      <w:r w:rsidR="00BE0BF8">
        <w:rPr>
          <w:rFonts w:ascii="Cambria" w:hAnsi="Cambria"/>
          <w:sz w:val="20"/>
          <w:szCs w:val="20"/>
        </w:rPr>
        <w:t>evara Pérez,</w:t>
      </w:r>
      <w:r w:rsidR="001B06F6" w:rsidRPr="009C2C37">
        <w:rPr>
          <w:rFonts w:ascii="Cambria" w:hAnsi="Cambria"/>
          <w:sz w:val="20"/>
          <w:szCs w:val="20"/>
        </w:rPr>
        <w:t xml:space="preserve"> Juan Bautista Guevara Rodríguez</w:t>
      </w:r>
      <w:r w:rsidR="009C2C37" w:rsidRPr="009C2C37">
        <w:rPr>
          <w:rFonts w:ascii="Cambria" w:hAnsi="Cambria"/>
          <w:sz w:val="20"/>
          <w:szCs w:val="20"/>
        </w:rPr>
        <w:t xml:space="preserve"> y sus familiares</w:t>
      </w:r>
      <w:r w:rsidR="00BE0BF8">
        <w:rPr>
          <w:rFonts w:ascii="Cambria" w:hAnsi="Cambria"/>
          <w:sz w:val="20"/>
          <w:szCs w:val="20"/>
        </w:rPr>
        <w:t>,</w:t>
      </w:r>
      <w:r w:rsidR="009C2C37" w:rsidRPr="009C2C37">
        <w:rPr>
          <w:rFonts w:ascii="Cambria" w:hAnsi="Cambria"/>
          <w:sz w:val="20"/>
          <w:szCs w:val="20"/>
        </w:rPr>
        <w:t xml:space="preserve"> en los términos desarrollados en el presente informe</w:t>
      </w:r>
      <w:r w:rsidR="001B06F6" w:rsidRPr="009C2C37">
        <w:rPr>
          <w:rFonts w:ascii="Cambria" w:hAnsi="Cambria"/>
          <w:sz w:val="20"/>
          <w:szCs w:val="20"/>
        </w:rPr>
        <w:t>.</w:t>
      </w:r>
      <w:r w:rsidR="00FA1384">
        <w:rPr>
          <w:rFonts w:ascii="Cambria" w:hAnsi="Cambria"/>
          <w:sz w:val="20"/>
          <w:szCs w:val="20"/>
        </w:rPr>
        <w:t xml:space="preserve"> </w:t>
      </w:r>
    </w:p>
    <w:p w14:paraId="03AFE7A6" w14:textId="77777777" w:rsidR="003103D5" w:rsidRPr="00357FF9" w:rsidRDefault="003103D5" w:rsidP="00C04D3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Cambria" w:hAnsi="Cambria"/>
          <w:sz w:val="20"/>
          <w:szCs w:val="20"/>
        </w:rPr>
      </w:pPr>
    </w:p>
    <w:p w14:paraId="6167A685" w14:textId="3ABC7721" w:rsidR="003103D5" w:rsidRPr="00357FF9" w:rsidRDefault="003103D5" w:rsidP="00C04D34">
      <w:pPr>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 w:val="left" w:pos="1440"/>
        </w:tabs>
        <w:ind w:left="0" w:firstLine="720"/>
        <w:jc w:val="both"/>
        <w:rPr>
          <w:rFonts w:ascii="Cambria" w:hAnsi="Cambria"/>
          <w:sz w:val="20"/>
          <w:szCs w:val="20"/>
        </w:rPr>
      </w:pPr>
      <w:r w:rsidRPr="00357FF9">
        <w:rPr>
          <w:rFonts w:ascii="Cambria" w:hAnsi="Cambria"/>
          <w:sz w:val="20"/>
          <w:szCs w:val="20"/>
        </w:rPr>
        <w:t xml:space="preserve">Declarar inadmisible la presente petición respecto a los artículos 4, </w:t>
      </w:r>
      <w:r w:rsidR="00885EB9">
        <w:rPr>
          <w:rFonts w:ascii="Cambria" w:hAnsi="Cambria"/>
          <w:sz w:val="20"/>
          <w:szCs w:val="20"/>
        </w:rPr>
        <w:t xml:space="preserve">11, </w:t>
      </w:r>
      <w:r w:rsidRPr="00357FF9">
        <w:rPr>
          <w:rFonts w:ascii="Cambria" w:hAnsi="Cambria"/>
          <w:sz w:val="20"/>
          <w:szCs w:val="20"/>
        </w:rPr>
        <w:t>14 y 2</w:t>
      </w:r>
      <w:r w:rsidR="009C2C37">
        <w:rPr>
          <w:rFonts w:ascii="Cambria" w:hAnsi="Cambria"/>
          <w:sz w:val="20"/>
          <w:szCs w:val="20"/>
        </w:rPr>
        <w:t>4</w:t>
      </w:r>
      <w:r w:rsidRPr="00357FF9">
        <w:rPr>
          <w:rFonts w:ascii="Cambria" w:hAnsi="Cambria"/>
          <w:sz w:val="20"/>
          <w:szCs w:val="20"/>
        </w:rPr>
        <w:t xml:space="preserve"> de la Convención Americana. </w:t>
      </w:r>
    </w:p>
    <w:p w14:paraId="2CA9F8AE" w14:textId="77777777" w:rsidR="00CF140D" w:rsidRPr="00357FF9" w:rsidRDefault="00CF140D" w:rsidP="00C04D34">
      <w:pPr>
        <w:tabs>
          <w:tab w:val="left" w:pos="1440"/>
        </w:tabs>
        <w:ind w:firstLine="720"/>
        <w:jc w:val="both"/>
        <w:rPr>
          <w:rFonts w:ascii="Cambria" w:hAnsi="Cambria"/>
          <w:sz w:val="20"/>
          <w:szCs w:val="20"/>
        </w:rPr>
      </w:pPr>
    </w:p>
    <w:p w14:paraId="0FB5FFE2" w14:textId="77777777" w:rsidR="00CF140D" w:rsidRPr="00357FF9" w:rsidRDefault="00CF140D" w:rsidP="00C04D34">
      <w:pPr>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 w:val="left" w:pos="1440"/>
        </w:tabs>
        <w:ind w:left="0" w:firstLine="720"/>
        <w:jc w:val="both"/>
        <w:rPr>
          <w:rFonts w:ascii="Cambria" w:hAnsi="Cambria"/>
          <w:sz w:val="20"/>
          <w:szCs w:val="20"/>
        </w:rPr>
      </w:pPr>
      <w:r w:rsidRPr="00357FF9">
        <w:rPr>
          <w:rFonts w:ascii="Cambria" w:hAnsi="Cambria"/>
          <w:sz w:val="20"/>
          <w:szCs w:val="20"/>
        </w:rPr>
        <w:t>Notificar esta decisión a las partes.</w:t>
      </w:r>
    </w:p>
    <w:p w14:paraId="54263E51" w14:textId="77777777" w:rsidR="00CF140D" w:rsidRPr="00357FF9" w:rsidRDefault="00CF140D" w:rsidP="00C04D34">
      <w:pPr>
        <w:tabs>
          <w:tab w:val="left" w:pos="1440"/>
        </w:tabs>
        <w:ind w:firstLine="720"/>
        <w:jc w:val="both"/>
        <w:rPr>
          <w:rFonts w:ascii="Cambria" w:hAnsi="Cambria"/>
          <w:sz w:val="20"/>
          <w:szCs w:val="20"/>
        </w:rPr>
      </w:pPr>
    </w:p>
    <w:p w14:paraId="5A3192A0" w14:textId="77777777" w:rsidR="00CF140D" w:rsidRPr="00357FF9" w:rsidRDefault="00CF140D" w:rsidP="00C04D34">
      <w:pPr>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 w:val="left" w:pos="1440"/>
        </w:tabs>
        <w:ind w:left="0" w:firstLine="720"/>
        <w:jc w:val="both"/>
        <w:rPr>
          <w:rFonts w:ascii="Cambria" w:hAnsi="Cambria"/>
          <w:sz w:val="20"/>
          <w:szCs w:val="20"/>
        </w:rPr>
      </w:pPr>
      <w:r w:rsidRPr="00357FF9">
        <w:rPr>
          <w:rFonts w:ascii="Cambria" w:hAnsi="Cambria"/>
          <w:sz w:val="20"/>
          <w:szCs w:val="20"/>
        </w:rPr>
        <w:t>Publicar esta decisión e incluirla en su Informe Anual a la Asamblea General de la OEA.</w:t>
      </w:r>
    </w:p>
    <w:p w14:paraId="54142819" w14:textId="77777777" w:rsidR="004E37F2" w:rsidRPr="00357FF9" w:rsidRDefault="004E37F2" w:rsidP="00C04D34">
      <w:pPr>
        <w:tabs>
          <w:tab w:val="left" w:pos="1440"/>
          <w:tab w:val="center" w:pos="5400"/>
        </w:tabs>
        <w:suppressAutoHyphens/>
        <w:spacing w:line="276" w:lineRule="auto"/>
        <w:ind w:firstLine="720"/>
        <w:jc w:val="both"/>
        <w:rPr>
          <w:rFonts w:ascii="Cambria" w:hAnsi="Cambria" w:cs="Calibri"/>
          <w:color w:val="808080" w:themeColor="background1" w:themeShade="80"/>
          <w:sz w:val="22"/>
          <w:szCs w:val="22"/>
        </w:rPr>
      </w:pPr>
    </w:p>
    <w:p w14:paraId="362DA01E" w14:textId="0A8139F6" w:rsidR="00CF64A2" w:rsidRPr="00804A84" w:rsidRDefault="00CF64A2" w:rsidP="00CF64A2">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cs="Arial"/>
          <w:noProof/>
          <w:spacing w:val="-2"/>
          <w:lang w:val="es-CL"/>
        </w:rPr>
        <w:t>28</w:t>
      </w:r>
      <w:r w:rsidRPr="00804A84">
        <w:rPr>
          <w:rFonts w:ascii="Cambria" w:hAnsi="Cambria" w:cs="Arial"/>
          <w:noProof/>
          <w:spacing w:val="-2"/>
          <w:sz w:val="20"/>
          <w:szCs w:val="20"/>
          <w:lang w:val="es-CL"/>
        </w:rPr>
        <w:t xml:space="preserve"> días del mes de </w:t>
      </w:r>
      <w:r>
        <w:rPr>
          <w:rFonts w:cs="Arial"/>
          <w:noProof/>
          <w:spacing w:val="-2"/>
          <w:lang w:val="es-CL"/>
        </w:rPr>
        <w:t>octubre</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Pr="00804A84">
        <w:rPr>
          <w:rFonts w:ascii="Cambria" w:hAnsi="Cambria" w:cs="Arial"/>
          <w:noProof/>
          <w:spacing w:val="-2"/>
          <w:sz w:val="20"/>
          <w:szCs w:val="20"/>
          <w:lang w:val="es-CL"/>
        </w:rPr>
        <w:t xml:space="preserve">.  (Firmado):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Rosa María Ortiz,</w:t>
      </w:r>
      <w:r>
        <w:rPr>
          <w:rFonts w:cs="Arial"/>
          <w:noProof/>
          <w:spacing w:val="-2"/>
          <w:lang w:val="es-CL"/>
        </w:rPr>
        <w:t xml:space="preserve"> </w:t>
      </w:r>
      <w:r>
        <w:rPr>
          <w:rFonts w:ascii="Cambria" w:hAnsi="Cambria" w:cs="Arial"/>
          <w:noProof/>
          <w:spacing w:val="-2"/>
          <w:sz w:val="20"/>
          <w:szCs w:val="20"/>
          <w:lang w:val="es-CL"/>
        </w:rPr>
        <w:t>Tracy Robinson</w:t>
      </w:r>
      <w:r>
        <w:rPr>
          <w:rFonts w:cs="Arial"/>
          <w:noProof/>
          <w:spacing w:val="-2"/>
          <w:lang w:val="es-CL"/>
        </w:rPr>
        <w:t>, y Paulo Vannuchi,</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Miembros de la Comisión.</w:t>
      </w:r>
    </w:p>
    <w:p w14:paraId="24533A79" w14:textId="77777777" w:rsidR="004E37F2" w:rsidRDefault="004E37F2" w:rsidP="00C04D34">
      <w:pPr>
        <w:tabs>
          <w:tab w:val="left" w:pos="1440"/>
          <w:tab w:val="center" w:pos="5400"/>
        </w:tabs>
        <w:suppressAutoHyphens/>
        <w:spacing w:line="276" w:lineRule="auto"/>
        <w:ind w:firstLine="720"/>
        <w:jc w:val="both"/>
        <w:rPr>
          <w:rFonts w:ascii="Cambria" w:hAnsi="Cambria" w:cs="Calibri"/>
          <w:color w:val="808080" w:themeColor="background1" w:themeShade="80"/>
          <w:sz w:val="22"/>
          <w:szCs w:val="22"/>
        </w:rPr>
      </w:pPr>
    </w:p>
    <w:p w14:paraId="665DA301" w14:textId="77777777" w:rsidR="00727945" w:rsidRPr="00357FF9" w:rsidRDefault="00727945" w:rsidP="00BE484E">
      <w:pPr>
        <w:tabs>
          <w:tab w:val="left" w:pos="1440"/>
          <w:tab w:val="center" w:pos="5400"/>
        </w:tabs>
        <w:suppressAutoHyphens/>
        <w:spacing w:line="276" w:lineRule="auto"/>
        <w:jc w:val="both"/>
        <w:rPr>
          <w:rFonts w:ascii="Cambria" w:hAnsi="Cambria" w:cs="Calibri"/>
          <w:color w:val="808080" w:themeColor="background1" w:themeShade="80"/>
          <w:sz w:val="22"/>
          <w:szCs w:val="22"/>
        </w:rPr>
      </w:pPr>
    </w:p>
    <w:sectPr w:rsidR="00727945" w:rsidRPr="00357FF9" w:rsidSect="00CF140D">
      <w:headerReference w:type="even" r:id="rId19"/>
      <w:headerReference w:type="default" r:id="rId20"/>
      <w:footerReference w:type="even" r:id="rId21"/>
      <w:footerReference w:type="default" r:id="rId22"/>
      <w:headerReference w:type="first" r:id="rId23"/>
      <w:footerReference w:type="first" r:id="rId24"/>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EF789" w14:textId="77777777" w:rsidR="004D5C50" w:rsidRDefault="004D5C50">
      <w:r>
        <w:separator/>
      </w:r>
    </w:p>
  </w:endnote>
  <w:endnote w:type="continuationSeparator" w:id="0">
    <w:p w14:paraId="653ED781" w14:textId="77777777" w:rsidR="004D5C50" w:rsidRDefault="004D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1170D" w14:textId="77777777" w:rsidR="00A90694" w:rsidRDefault="00A90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30CFB5F" w14:textId="77777777" w:rsidR="00A90694" w:rsidRPr="00934A2C" w:rsidRDefault="00A9069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2</w:t>
        </w:r>
        <w:r w:rsidRPr="00934A2C">
          <w:rPr>
            <w:noProof/>
            <w:sz w:val="16"/>
            <w:szCs w:val="22"/>
          </w:rPr>
          <w:fldChar w:fldCharType="end"/>
        </w:r>
      </w:p>
    </w:sdtContent>
  </w:sdt>
  <w:p w14:paraId="44143E62" w14:textId="77777777" w:rsidR="00A90694" w:rsidRDefault="00A906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3FAB5" w14:textId="77777777" w:rsidR="00A90694" w:rsidRPr="00934A2C" w:rsidRDefault="00A90694">
    <w:pPr>
      <w:pStyle w:val="Footer"/>
      <w:jc w:val="center"/>
      <w:rPr>
        <w:sz w:val="16"/>
        <w:szCs w:val="22"/>
      </w:rPr>
    </w:pPr>
  </w:p>
  <w:p w14:paraId="2F35C381" w14:textId="77777777" w:rsidR="00A90694" w:rsidRDefault="00A906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8D6D5" w14:textId="77777777" w:rsidR="00A90694" w:rsidRDefault="00A90694" w:rsidP="005359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B65968" w14:textId="77777777" w:rsidR="00A90694" w:rsidRDefault="00A90694" w:rsidP="005359C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16737" w14:textId="77777777" w:rsidR="00A90694" w:rsidRPr="00A4134D" w:rsidRDefault="00A90694" w:rsidP="005359C7">
    <w:pPr>
      <w:pStyle w:val="Footer"/>
      <w:jc w:val="center"/>
      <w:rPr>
        <w:sz w:val="16"/>
        <w:szCs w:val="16"/>
      </w:rPr>
    </w:pPr>
    <w:r w:rsidRPr="00A4134D">
      <w:rPr>
        <w:sz w:val="16"/>
        <w:szCs w:val="16"/>
      </w:rPr>
      <w:fldChar w:fldCharType="begin"/>
    </w:r>
    <w:r w:rsidRPr="00A4134D">
      <w:rPr>
        <w:sz w:val="16"/>
        <w:szCs w:val="16"/>
      </w:rPr>
      <w:instrText xml:space="preserve"> PAGE   \* MERGEFORMAT </w:instrText>
    </w:r>
    <w:r w:rsidRPr="00A4134D">
      <w:rPr>
        <w:sz w:val="16"/>
        <w:szCs w:val="16"/>
      </w:rPr>
      <w:fldChar w:fldCharType="separate"/>
    </w:r>
    <w:r w:rsidR="00DB4550">
      <w:rPr>
        <w:noProof/>
        <w:sz w:val="16"/>
        <w:szCs w:val="16"/>
      </w:rPr>
      <w:t>3</w:t>
    </w:r>
    <w:r w:rsidRPr="00A4134D">
      <w:rPr>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426CB" w14:textId="77777777" w:rsidR="00A90694" w:rsidRDefault="00A90694">
    <w:pPr>
      <w:pStyle w:val="Footer"/>
      <w:jc w:val="center"/>
    </w:pPr>
    <w:r>
      <w:fldChar w:fldCharType="begin"/>
    </w:r>
    <w:r>
      <w:instrText xml:space="preserve"> PAGE   \* MERGEFORMAT </w:instrText>
    </w:r>
    <w:r>
      <w:fldChar w:fldCharType="separate"/>
    </w:r>
    <w:r>
      <w:rPr>
        <w:noProof/>
      </w:rPr>
      <w:t>1</w:t>
    </w:r>
    <w:r>
      <w:rPr>
        <w:noProof/>
      </w:rPr>
      <w:fldChar w:fldCharType="end"/>
    </w:r>
  </w:p>
  <w:p w14:paraId="7300F40A" w14:textId="77777777" w:rsidR="00A90694" w:rsidRDefault="00A90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641EE" w14:textId="77777777" w:rsidR="004D5C50" w:rsidRPr="000F35ED" w:rsidRDefault="004D5C5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3224C0" w14:textId="77777777" w:rsidR="004D5C50" w:rsidRPr="000F35ED" w:rsidRDefault="004D5C50" w:rsidP="000F35ED">
      <w:pPr>
        <w:rPr>
          <w:rFonts w:asciiTheme="majorHAnsi" w:hAnsiTheme="majorHAnsi"/>
          <w:sz w:val="16"/>
          <w:szCs w:val="16"/>
        </w:rPr>
      </w:pPr>
      <w:r w:rsidRPr="000F35ED">
        <w:rPr>
          <w:rFonts w:asciiTheme="majorHAnsi" w:hAnsiTheme="majorHAnsi"/>
          <w:sz w:val="16"/>
          <w:szCs w:val="16"/>
        </w:rPr>
        <w:separator/>
      </w:r>
    </w:p>
    <w:p w14:paraId="35B87E9E" w14:textId="77777777" w:rsidR="004D5C50" w:rsidRPr="000F35ED" w:rsidRDefault="004D5C5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4A2AFBD" w14:textId="77777777" w:rsidR="004D5C50" w:rsidRPr="000F35ED" w:rsidRDefault="004D5C5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C4610D0" w14:textId="18FA5B71" w:rsidR="00A90694" w:rsidRPr="00AB27AC" w:rsidRDefault="00A90694" w:rsidP="006F4960">
      <w:pPr>
        <w:pStyle w:val="FootnoteText"/>
        <w:spacing w:after="40"/>
        <w:ind w:firstLine="720"/>
        <w:jc w:val="both"/>
        <w:rPr>
          <w:rFonts w:asciiTheme="majorHAnsi" w:hAnsiTheme="majorHAnsi"/>
          <w:color w:val="000000" w:themeColor="text1"/>
          <w:sz w:val="16"/>
          <w:szCs w:val="16"/>
          <w:lang w:val="es-ES_tradnl"/>
        </w:rPr>
      </w:pPr>
      <w:r w:rsidRPr="00AB27AC">
        <w:rPr>
          <w:rStyle w:val="FootnoteReference"/>
          <w:rFonts w:asciiTheme="majorHAnsi" w:hAnsiTheme="majorHAnsi"/>
          <w:color w:val="000000" w:themeColor="text1"/>
          <w:sz w:val="16"/>
          <w:szCs w:val="16"/>
          <w:lang w:val="es-ES_tradnl"/>
        </w:rPr>
        <w:footnoteRef/>
      </w:r>
      <w:r w:rsidR="001405D2">
        <w:rPr>
          <w:rFonts w:asciiTheme="majorHAnsi" w:hAnsiTheme="majorHAnsi"/>
          <w:color w:val="000000" w:themeColor="text1"/>
          <w:sz w:val="16"/>
          <w:szCs w:val="16"/>
          <w:lang w:val="es-ES_tradnl"/>
        </w:rPr>
        <w:t xml:space="preserve"> La</w:t>
      </w:r>
      <w:r w:rsidRPr="00AB27AC">
        <w:rPr>
          <w:rFonts w:asciiTheme="majorHAnsi" w:hAnsiTheme="majorHAnsi"/>
          <w:color w:val="000000" w:themeColor="text1"/>
          <w:sz w:val="16"/>
          <w:szCs w:val="16"/>
          <w:lang w:val="es-ES_tradnl"/>
        </w:rPr>
        <w:t xml:space="preserve"> petición fue interpuesta </w:t>
      </w:r>
      <w:r>
        <w:rPr>
          <w:rFonts w:asciiTheme="majorHAnsi" w:hAnsiTheme="majorHAnsi"/>
          <w:color w:val="000000" w:themeColor="text1"/>
          <w:sz w:val="16"/>
          <w:szCs w:val="16"/>
          <w:lang w:val="es-ES_tradnl"/>
        </w:rPr>
        <w:t xml:space="preserve">originalmente </w:t>
      </w:r>
      <w:r w:rsidRPr="00AB27AC">
        <w:rPr>
          <w:rFonts w:asciiTheme="majorHAnsi" w:hAnsiTheme="majorHAnsi"/>
          <w:color w:val="000000" w:themeColor="text1"/>
          <w:sz w:val="16"/>
          <w:szCs w:val="16"/>
          <w:lang w:val="es-ES_tradnl"/>
        </w:rPr>
        <w:t>por Jackeline Sandoval Escobar (Directora E</w:t>
      </w:r>
      <w:r w:rsidR="001405D2">
        <w:rPr>
          <w:rFonts w:asciiTheme="majorHAnsi" w:hAnsiTheme="majorHAnsi"/>
          <w:color w:val="000000" w:themeColor="text1"/>
          <w:sz w:val="16"/>
          <w:szCs w:val="16"/>
          <w:lang w:val="es-ES_tradnl"/>
        </w:rPr>
        <w:t>j</w:t>
      </w:r>
      <w:r w:rsidRPr="00AB27AC">
        <w:rPr>
          <w:rFonts w:asciiTheme="majorHAnsi" w:hAnsiTheme="majorHAnsi"/>
          <w:color w:val="000000" w:themeColor="text1"/>
          <w:sz w:val="16"/>
          <w:szCs w:val="16"/>
          <w:lang w:val="es-ES_tradnl"/>
        </w:rPr>
        <w:t>ecutiv</w:t>
      </w:r>
      <w:r>
        <w:rPr>
          <w:rFonts w:asciiTheme="majorHAnsi" w:hAnsiTheme="majorHAnsi"/>
          <w:color w:val="000000" w:themeColor="text1"/>
          <w:sz w:val="16"/>
          <w:szCs w:val="16"/>
          <w:lang w:val="es-ES_tradnl"/>
        </w:rPr>
        <w:t xml:space="preserve">a de la </w:t>
      </w:r>
      <w:r w:rsidRPr="00AB27AC">
        <w:rPr>
          <w:rFonts w:asciiTheme="majorHAnsi" w:hAnsiTheme="majorHAnsi"/>
          <w:color w:val="000000" w:themeColor="text1"/>
          <w:sz w:val="16"/>
          <w:szCs w:val="16"/>
          <w:lang w:val="es-ES_tradnl"/>
        </w:rPr>
        <w:t>Fundación para el Debido Proceso</w:t>
      </w:r>
      <w:r>
        <w:rPr>
          <w:rFonts w:asciiTheme="majorHAnsi" w:hAnsiTheme="majorHAnsi"/>
          <w:color w:val="000000" w:themeColor="text1"/>
          <w:sz w:val="16"/>
          <w:szCs w:val="16"/>
          <w:lang w:val="es-ES_tradnl"/>
        </w:rPr>
        <w:t xml:space="preserve"> – “DPLF”</w:t>
      </w:r>
      <w:r w:rsidRPr="00AB27AC">
        <w:rPr>
          <w:rFonts w:asciiTheme="majorHAnsi" w:hAnsiTheme="majorHAnsi"/>
          <w:color w:val="000000" w:themeColor="text1"/>
          <w:sz w:val="16"/>
          <w:szCs w:val="16"/>
          <w:lang w:val="es-ES_tradnl"/>
        </w:rPr>
        <w:t>), Rafael Arturo Parra Saluzzo y Jose Gregorio Mena. También fueron constituidos como co</w:t>
      </w:r>
      <w:r>
        <w:rPr>
          <w:rFonts w:asciiTheme="majorHAnsi" w:hAnsiTheme="majorHAnsi"/>
          <w:color w:val="000000" w:themeColor="text1"/>
          <w:sz w:val="16"/>
          <w:szCs w:val="16"/>
          <w:lang w:val="es-ES_tradnl"/>
        </w:rPr>
        <w:t>-</w:t>
      </w:r>
      <w:r w:rsidRPr="00AB27AC">
        <w:rPr>
          <w:rFonts w:asciiTheme="majorHAnsi" w:hAnsiTheme="majorHAnsi"/>
          <w:color w:val="000000" w:themeColor="text1"/>
          <w:sz w:val="16"/>
          <w:szCs w:val="16"/>
          <w:lang w:val="es-ES_tradnl"/>
        </w:rPr>
        <w:t>peticionarios Gerardo E. Toledo y Yuri López Pérez de la</w:t>
      </w:r>
      <w:r>
        <w:rPr>
          <w:rFonts w:asciiTheme="majorHAnsi" w:hAnsiTheme="majorHAnsi"/>
          <w:color w:val="000000" w:themeColor="text1"/>
          <w:sz w:val="16"/>
          <w:szCs w:val="16"/>
          <w:lang w:val="es-ES_tradnl"/>
        </w:rPr>
        <w:t xml:space="preserve"> organización no gubernamental </w:t>
      </w:r>
      <w:r w:rsidRPr="00AB27AC">
        <w:rPr>
          <w:rFonts w:asciiTheme="majorHAnsi" w:hAnsiTheme="majorHAnsi"/>
          <w:color w:val="000000" w:themeColor="text1"/>
          <w:sz w:val="16"/>
          <w:szCs w:val="16"/>
          <w:lang w:val="es-ES_tradnl"/>
        </w:rPr>
        <w:t>Liberenlos ya! y Patricia Andrad</w:t>
      </w:r>
      <w:r>
        <w:rPr>
          <w:rFonts w:asciiTheme="majorHAnsi" w:hAnsiTheme="majorHAnsi"/>
          <w:color w:val="000000" w:themeColor="text1"/>
          <w:sz w:val="16"/>
          <w:szCs w:val="16"/>
          <w:lang w:val="es-ES_tradnl"/>
        </w:rPr>
        <w:t>e</w:t>
      </w:r>
      <w:r w:rsidRPr="00AB27AC">
        <w:rPr>
          <w:rFonts w:asciiTheme="majorHAnsi" w:hAnsiTheme="majorHAnsi"/>
          <w:color w:val="000000" w:themeColor="text1"/>
          <w:sz w:val="16"/>
          <w:szCs w:val="16"/>
          <w:lang w:val="es-ES_tradnl"/>
        </w:rPr>
        <w:t xml:space="preserve"> de la organización no gubernamental </w:t>
      </w:r>
      <w:r w:rsidRPr="007E6943">
        <w:rPr>
          <w:rFonts w:asciiTheme="majorHAnsi" w:hAnsiTheme="majorHAnsi"/>
          <w:i/>
          <w:color w:val="000000" w:themeColor="text1"/>
          <w:sz w:val="16"/>
          <w:szCs w:val="16"/>
          <w:lang w:val="es-ES_tradnl"/>
        </w:rPr>
        <w:t>Venezuela Awareness Foundation</w:t>
      </w:r>
      <w:r w:rsidRPr="00AB27AC">
        <w:rPr>
          <w:rFonts w:asciiTheme="majorHAnsi" w:hAnsiTheme="majorHAnsi"/>
          <w:color w:val="000000" w:themeColor="text1"/>
          <w:sz w:val="16"/>
          <w:szCs w:val="16"/>
          <w:lang w:val="es-ES_tradnl"/>
        </w:rPr>
        <w:t xml:space="preserve">. El 6 de septiembre de 2010, las presuntas víctimas autorizaron </w:t>
      </w:r>
      <w:r>
        <w:rPr>
          <w:rFonts w:asciiTheme="majorHAnsi" w:hAnsiTheme="majorHAnsi"/>
          <w:color w:val="000000" w:themeColor="text1"/>
          <w:sz w:val="16"/>
          <w:szCs w:val="16"/>
          <w:lang w:val="es-ES_tradnl"/>
        </w:rPr>
        <w:t xml:space="preserve">también </w:t>
      </w:r>
      <w:r w:rsidRPr="00AB27AC">
        <w:rPr>
          <w:rFonts w:asciiTheme="majorHAnsi" w:hAnsiTheme="majorHAnsi"/>
          <w:color w:val="000000" w:themeColor="text1"/>
          <w:sz w:val="16"/>
          <w:szCs w:val="16"/>
          <w:lang w:val="es-ES_tradnl"/>
        </w:rPr>
        <w:t xml:space="preserve">a la organización FUNDAPREFC </w:t>
      </w:r>
      <w:r w:rsidRPr="007E6943">
        <w:rPr>
          <w:rFonts w:asciiTheme="majorHAnsi" w:hAnsiTheme="majorHAnsi"/>
          <w:i/>
          <w:color w:val="000000" w:themeColor="text1"/>
          <w:sz w:val="16"/>
          <w:szCs w:val="16"/>
          <w:lang w:val="es-ES_tradnl"/>
        </w:rPr>
        <w:t>International Assi</w:t>
      </w:r>
      <w:r w:rsidR="00E94439">
        <w:rPr>
          <w:rFonts w:asciiTheme="majorHAnsi" w:hAnsiTheme="majorHAnsi"/>
          <w:i/>
          <w:color w:val="000000" w:themeColor="text1"/>
          <w:sz w:val="16"/>
          <w:szCs w:val="16"/>
          <w:lang w:val="es-ES_tradnl"/>
        </w:rPr>
        <w:t>s</w:t>
      </w:r>
      <w:r w:rsidRPr="007E6943">
        <w:rPr>
          <w:rFonts w:asciiTheme="majorHAnsi" w:hAnsiTheme="majorHAnsi"/>
          <w:i/>
          <w:color w:val="000000" w:themeColor="text1"/>
          <w:sz w:val="16"/>
          <w:szCs w:val="16"/>
          <w:lang w:val="es-ES_tradnl"/>
        </w:rPr>
        <w:t>tance for the World</w:t>
      </w:r>
      <w:r w:rsidRPr="00AB27AC">
        <w:rPr>
          <w:rFonts w:asciiTheme="majorHAnsi" w:hAnsiTheme="majorHAnsi"/>
          <w:color w:val="000000" w:themeColor="text1"/>
          <w:sz w:val="16"/>
          <w:szCs w:val="16"/>
          <w:lang w:val="es-ES_tradnl"/>
        </w:rPr>
        <w:t xml:space="preserve"> para </w:t>
      </w:r>
      <w:r>
        <w:rPr>
          <w:rFonts w:asciiTheme="majorHAnsi" w:hAnsiTheme="majorHAnsi"/>
          <w:color w:val="000000" w:themeColor="text1"/>
          <w:sz w:val="16"/>
          <w:szCs w:val="16"/>
          <w:lang w:val="es-ES_tradnl"/>
        </w:rPr>
        <w:t>que los representara</w:t>
      </w:r>
      <w:r w:rsidRPr="00AB27AC">
        <w:rPr>
          <w:rFonts w:asciiTheme="majorHAnsi" w:hAnsiTheme="majorHAnsi"/>
          <w:color w:val="000000" w:themeColor="text1"/>
          <w:sz w:val="16"/>
          <w:szCs w:val="16"/>
          <w:lang w:val="es-ES_tradnl"/>
        </w:rPr>
        <w:t xml:space="preserve">. </w:t>
      </w:r>
      <w:r>
        <w:rPr>
          <w:rFonts w:asciiTheme="majorHAnsi" w:hAnsiTheme="majorHAnsi"/>
          <w:color w:val="000000" w:themeColor="text1"/>
          <w:sz w:val="16"/>
          <w:szCs w:val="16"/>
          <w:lang w:val="es-ES_tradnl"/>
        </w:rPr>
        <w:t>Posteriormente</w:t>
      </w:r>
      <w:r w:rsidRPr="00AB27AC">
        <w:rPr>
          <w:rFonts w:asciiTheme="majorHAnsi" w:hAnsiTheme="majorHAnsi"/>
          <w:color w:val="000000" w:themeColor="text1"/>
          <w:sz w:val="16"/>
          <w:szCs w:val="16"/>
          <w:lang w:val="es-ES_tradnl"/>
        </w:rPr>
        <w:t xml:space="preserve">, el 27 de septiembre de 2010, la Secretaría Ejecutiva de la CIDH recibió una comunicación en la que las presuntas víctimas revocaban el mandato de representación de los letrados Patricia Andrade y Rafael Parra Saluzzo. </w:t>
      </w:r>
    </w:p>
  </w:footnote>
  <w:footnote w:id="3">
    <w:p w14:paraId="60D04801" w14:textId="6122AAD0" w:rsidR="00A90694" w:rsidRPr="00E24D70" w:rsidRDefault="00A90694" w:rsidP="006F4960">
      <w:pPr>
        <w:pStyle w:val="FootnoteText"/>
        <w:spacing w:after="40"/>
        <w:ind w:firstLine="720"/>
        <w:jc w:val="both"/>
        <w:rPr>
          <w:rFonts w:asciiTheme="majorHAnsi" w:hAnsiTheme="majorHAnsi"/>
          <w:color w:val="000000" w:themeColor="text1"/>
          <w:sz w:val="16"/>
          <w:szCs w:val="16"/>
          <w:lang w:val="es-ES"/>
        </w:rPr>
      </w:pPr>
      <w:r w:rsidRPr="00AB27AC">
        <w:rPr>
          <w:rStyle w:val="FootnoteReference"/>
          <w:rFonts w:asciiTheme="majorHAnsi" w:hAnsiTheme="majorHAnsi"/>
          <w:color w:val="000000" w:themeColor="text1"/>
          <w:sz w:val="16"/>
          <w:szCs w:val="16"/>
        </w:rPr>
        <w:footnoteRef/>
      </w:r>
      <w:r w:rsidRPr="00AB27AC">
        <w:rPr>
          <w:rFonts w:asciiTheme="majorHAnsi" w:hAnsiTheme="majorHAnsi"/>
          <w:color w:val="000000" w:themeColor="text1"/>
          <w:sz w:val="16"/>
          <w:szCs w:val="16"/>
          <w:lang w:val="es-ES_tradnl"/>
        </w:rPr>
        <w:t xml:space="preserve"> CIDH, Informe No. 4/15, Petición582-01. Admisibilidad. </w:t>
      </w:r>
      <w:r w:rsidRPr="00AB27AC">
        <w:rPr>
          <w:rFonts w:asciiTheme="majorHAnsi" w:hAnsiTheme="majorHAnsi"/>
          <w:color w:val="000000" w:themeColor="text1"/>
          <w:sz w:val="16"/>
          <w:szCs w:val="16"/>
          <w:lang w:val="pt-BR"/>
        </w:rPr>
        <w:t xml:space="preserve">Raúl Rolando Romero Feris. Argentina. </w:t>
      </w:r>
      <w:r w:rsidRPr="00AB27AC">
        <w:rPr>
          <w:rFonts w:asciiTheme="majorHAnsi" w:hAnsiTheme="majorHAnsi"/>
          <w:color w:val="000000" w:themeColor="text1"/>
          <w:sz w:val="16"/>
          <w:szCs w:val="16"/>
          <w:lang w:val="es-ES_tradnl"/>
        </w:rPr>
        <w:t>29 de enero de 2015, párr. 43; CIDH, Informe No. 94/14, Petición 623-03. Admisibilidad. Jaime Humberto Uscátegui Ramírez y familiares. Colombia. 6 de noviembre de 2014, párr. 39; CIDH, Informe No. 25/04, Petición 12.361, Admisibilidad, Ana Victoria Sánchez Villalobos y otros, Costa Rica, 11 de marzo de 2004, párr. 45; CIDH, Informe No. 52/00 Casos 11.830 y 12.038</w:t>
      </w:r>
      <w:r>
        <w:rPr>
          <w:rFonts w:asciiTheme="majorHAnsi" w:hAnsiTheme="majorHAnsi"/>
          <w:color w:val="000000" w:themeColor="text1"/>
          <w:sz w:val="16"/>
          <w:szCs w:val="16"/>
          <w:lang w:val="es-ES_tradnl"/>
        </w:rPr>
        <w:t>.</w:t>
      </w:r>
      <w:r w:rsidRPr="00AB27AC">
        <w:rPr>
          <w:rFonts w:asciiTheme="majorHAnsi" w:hAnsiTheme="majorHAnsi"/>
          <w:color w:val="000000" w:themeColor="text1"/>
          <w:sz w:val="16"/>
          <w:szCs w:val="16"/>
          <w:lang w:val="es-ES_tradnl"/>
        </w:rPr>
        <w:t xml:space="preserve"> Trabajadores Cesados del Congreso. Perú, 15 de junio de 2000, párr. </w:t>
      </w:r>
      <w:r w:rsidRPr="00E24D70">
        <w:rPr>
          <w:rFonts w:asciiTheme="majorHAnsi" w:hAnsiTheme="majorHAnsi"/>
          <w:color w:val="000000" w:themeColor="text1"/>
          <w:sz w:val="16"/>
          <w:szCs w:val="16"/>
          <w:lang w:val="es-ES"/>
        </w:rPr>
        <w:t>1.</w:t>
      </w:r>
    </w:p>
  </w:footnote>
  <w:footnote w:id="4">
    <w:p w14:paraId="6958EEA7" w14:textId="25291E18" w:rsidR="00A90694" w:rsidRPr="00AB27AC" w:rsidRDefault="00A90694" w:rsidP="006F4960">
      <w:pPr>
        <w:pStyle w:val="FootnoteText"/>
        <w:spacing w:after="40"/>
        <w:ind w:firstLine="720"/>
        <w:jc w:val="both"/>
        <w:rPr>
          <w:rFonts w:asciiTheme="majorHAnsi" w:hAnsiTheme="majorHAnsi"/>
          <w:color w:val="000000" w:themeColor="text1"/>
          <w:sz w:val="16"/>
          <w:szCs w:val="16"/>
          <w:lang w:val="es-AR"/>
        </w:rPr>
      </w:pPr>
      <w:r w:rsidRPr="00AB27AC">
        <w:rPr>
          <w:rStyle w:val="FootnoteReference"/>
          <w:rFonts w:asciiTheme="majorHAnsi" w:hAnsiTheme="majorHAnsi"/>
          <w:color w:val="000000" w:themeColor="text1"/>
          <w:sz w:val="16"/>
          <w:szCs w:val="16"/>
        </w:rPr>
        <w:footnoteRef/>
      </w:r>
      <w:r w:rsidRPr="00AB27AC">
        <w:rPr>
          <w:rFonts w:asciiTheme="majorHAnsi" w:hAnsiTheme="majorHAnsi"/>
          <w:color w:val="000000" w:themeColor="text1"/>
          <w:sz w:val="16"/>
          <w:szCs w:val="16"/>
          <w:lang w:val="es-AR"/>
        </w:rPr>
        <w:t xml:space="preserve"> </w:t>
      </w:r>
      <w:r w:rsidRPr="00AB27AC">
        <w:rPr>
          <w:rFonts w:asciiTheme="majorHAnsi" w:hAnsiTheme="majorHAnsi"/>
          <w:color w:val="000000" w:themeColor="text1"/>
          <w:sz w:val="16"/>
          <w:szCs w:val="16"/>
          <w:lang w:val="es-ES"/>
        </w:rPr>
        <w:t xml:space="preserve">CIDH, Informe No. </w:t>
      </w:r>
      <w:r w:rsidRPr="00AB27AC">
        <w:rPr>
          <w:rFonts w:asciiTheme="majorHAnsi" w:hAnsiTheme="majorHAnsi"/>
          <w:color w:val="000000" w:themeColor="text1"/>
          <w:sz w:val="16"/>
          <w:szCs w:val="16"/>
          <w:lang w:val="es-AR"/>
        </w:rPr>
        <w:t xml:space="preserve">18/15, Peticiones 929-04, 1082-07 y 1187-07. Admisibilidad. José Antonio Arrona Salazar y Familia, Luz Claudia Irozaqui Félix y Joel Gutiérrez Ezquivel. México. </w:t>
      </w:r>
      <w:r w:rsidRPr="00AB27AC">
        <w:rPr>
          <w:rFonts w:asciiTheme="majorHAnsi" w:hAnsiTheme="majorHAnsi"/>
          <w:color w:val="000000" w:themeColor="text1"/>
          <w:sz w:val="16"/>
          <w:szCs w:val="16"/>
          <w:lang w:val="es-CR"/>
        </w:rPr>
        <w:t xml:space="preserve">24 de marzo de 2015, párr. 33; </w:t>
      </w:r>
      <w:r w:rsidRPr="00AB27AC">
        <w:rPr>
          <w:rFonts w:asciiTheme="majorHAnsi" w:hAnsiTheme="majorHAnsi"/>
          <w:color w:val="000000" w:themeColor="text1"/>
          <w:sz w:val="16"/>
          <w:szCs w:val="16"/>
          <w:bdr w:val="none" w:sz="0" w:space="0" w:color="auto" w:frame="1"/>
          <w:lang w:val="es-ES"/>
        </w:rPr>
        <w:t>CIDH, Informe No. 7</w:t>
      </w:r>
      <w:r w:rsidRPr="00AB27AC">
        <w:rPr>
          <w:rFonts w:asciiTheme="majorHAnsi" w:hAnsiTheme="majorHAnsi"/>
          <w:color w:val="000000" w:themeColor="text1"/>
          <w:sz w:val="16"/>
          <w:szCs w:val="16"/>
          <w:bdr w:val="none" w:sz="0" w:space="0" w:color="auto" w:frame="1"/>
          <w:lang w:val="es-ES_tradnl"/>
        </w:rPr>
        <w:t>/15, Petición 547-04. Admisibilidad. Jos</w:t>
      </w:r>
      <w:r w:rsidRPr="00AB27AC">
        <w:rPr>
          <w:rFonts w:asciiTheme="majorHAnsi" w:hAnsiTheme="majorHAnsi"/>
          <w:color w:val="000000" w:themeColor="text1"/>
          <w:sz w:val="16"/>
          <w:szCs w:val="16"/>
          <w:bdr w:val="none" w:sz="0" w:space="0" w:color="auto" w:frame="1"/>
          <w:lang w:val="es-ES"/>
        </w:rPr>
        <w:t>é Antonio Bolaños Juárez</w:t>
      </w:r>
      <w:r w:rsidRPr="00AB27AC">
        <w:rPr>
          <w:rFonts w:asciiTheme="majorHAnsi" w:hAnsiTheme="majorHAnsi"/>
          <w:color w:val="000000" w:themeColor="text1"/>
          <w:sz w:val="16"/>
          <w:szCs w:val="16"/>
          <w:bdr w:val="none" w:sz="0" w:space="0" w:color="auto" w:frame="1"/>
          <w:lang w:val="es-ES_tradnl"/>
        </w:rPr>
        <w:t>. México. 29 de enero de 2015</w:t>
      </w:r>
      <w:r w:rsidRPr="00AB27AC">
        <w:rPr>
          <w:rFonts w:asciiTheme="majorHAnsi" w:hAnsiTheme="majorHAnsi"/>
          <w:color w:val="000000" w:themeColor="text1"/>
          <w:sz w:val="16"/>
          <w:szCs w:val="16"/>
          <w:bdr w:val="none" w:sz="0" w:space="0" w:color="auto" w:frame="1"/>
          <w:lang w:val="es-ES"/>
        </w:rPr>
        <w:t xml:space="preserve">, párr. 22; </w:t>
      </w:r>
      <w:r w:rsidRPr="00AB27AC">
        <w:rPr>
          <w:rFonts w:asciiTheme="majorHAnsi" w:hAnsiTheme="majorHAnsi"/>
          <w:color w:val="000000" w:themeColor="text1"/>
          <w:sz w:val="16"/>
          <w:szCs w:val="16"/>
          <w:lang w:val="es-PE"/>
        </w:rPr>
        <w:t>CIDH, Informe No. 73/14</w:t>
      </w:r>
      <w:r w:rsidRPr="00AB27AC">
        <w:rPr>
          <w:rFonts w:asciiTheme="majorHAnsi" w:hAnsiTheme="majorHAnsi"/>
          <w:color w:val="000000" w:themeColor="text1"/>
          <w:sz w:val="16"/>
          <w:szCs w:val="16"/>
          <w:lang w:val="es-ES_tradnl"/>
        </w:rPr>
        <w:t xml:space="preserve">, Petición 272-05. Admisibilidad. Gustavo Javier Alarcón y otros. Argentina. </w:t>
      </w:r>
      <w:r w:rsidRPr="00AB27AC">
        <w:rPr>
          <w:rFonts w:asciiTheme="majorHAnsi" w:hAnsiTheme="majorHAnsi"/>
          <w:color w:val="000000" w:themeColor="text1"/>
          <w:sz w:val="16"/>
          <w:szCs w:val="16"/>
          <w:lang w:val="es-PE"/>
        </w:rPr>
        <w:t xml:space="preserve">15 de agosto de 2014, párr. </w:t>
      </w:r>
      <w:r w:rsidRPr="00E24D70">
        <w:rPr>
          <w:rFonts w:asciiTheme="majorHAnsi" w:hAnsiTheme="majorHAnsi"/>
          <w:color w:val="000000" w:themeColor="text1"/>
          <w:sz w:val="16"/>
          <w:szCs w:val="16"/>
          <w:lang w:val="pt-BR"/>
        </w:rPr>
        <w:t xml:space="preserve">30; CIDH, Informe No. 49/13, Admisibilidad. Gerardo Cruz Pacheco. México. 12 de julio de 2013, párr. 35; CIDH, </w:t>
      </w:r>
      <w:r w:rsidRPr="00E24D70">
        <w:rPr>
          <w:rFonts w:asciiTheme="majorHAnsi" w:hAnsiTheme="majorHAnsi"/>
          <w:color w:val="000000" w:themeColor="text1"/>
          <w:sz w:val="16"/>
          <w:szCs w:val="16"/>
          <w:bdr w:val="none" w:sz="0" w:space="0" w:color="auto" w:frame="1"/>
          <w:lang w:val="pt-BR"/>
        </w:rPr>
        <w:t xml:space="preserve">Informe No. 32/13. </w:t>
      </w:r>
      <w:r w:rsidRPr="00AB27AC">
        <w:rPr>
          <w:rFonts w:asciiTheme="majorHAnsi" w:hAnsiTheme="majorHAnsi"/>
          <w:color w:val="000000" w:themeColor="text1"/>
          <w:sz w:val="16"/>
          <w:szCs w:val="16"/>
          <w:bdr w:val="none" w:sz="0" w:space="0" w:color="auto" w:frame="1"/>
          <w:lang w:val="es-ES"/>
        </w:rPr>
        <w:t xml:space="preserve">Petición 276-04. Admisibilidad. Siegfried Jesús De Los Reyes Vomend. México. 21 de marzo de 2013, párr. 28. </w:t>
      </w:r>
    </w:p>
  </w:footnote>
  <w:footnote w:id="5">
    <w:p w14:paraId="7914D522" w14:textId="7EA75CAE" w:rsidR="00A90694" w:rsidRPr="00AB27AC" w:rsidRDefault="00A90694" w:rsidP="006F4960">
      <w:pPr>
        <w:pStyle w:val="FootnoteText"/>
        <w:spacing w:after="40"/>
        <w:ind w:firstLine="720"/>
        <w:jc w:val="both"/>
        <w:rPr>
          <w:rFonts w:asciiTheme="majorHAnsi" w:hAnsiTheme="majorHAnsi"/>
          <w:sz w:val="16"/>
          <w:szCs w:val="16"/>
          <w:lang w:val="es-AR"/>
        </w:rPr>
      </w:pPr>
      <w:r w:rsidRPr="00AB27AC">
        <w:rPr>
          <w:rStyle w:val="FootnoteReference"/>
          <w:rFonts w:asciiTheme="majorHAnsi" w:hAnsiTheme="majorHAnsi"/>
          <w:sz w:val="16"/>
          <w:szCs w:val="16"/>
        </w:rPr>
        <w:footnoteRef/>
      </w:r>
      <w:r w:rsidRPr="00AB27AC">
        <w:rPr>
          <w:rFonts w:asciiTheme="majorHAnsi" w:hAnsiTheme="majorHAnsi"/>
          <w:sz w:val="16"/>
          <w:szCs w:val="16"/>
          <w:lang w:val="es-ES_tradnl"/>
        </w:rPr>
        <w:t xml:space="preserve"> CIDH, Informe</w:t>
      </w:r>
      <w:r>
        <w:rPr>
          <w:rFonts w:asciiTheme="majorHAnsi" w:hAnsiTheme="majorHAnsi"/>
          <w:sz w:val="16"/>
          <w:szCs w:val="16"/>
          <w:lang w:val="es-ES_tradnl"/>
        </w:rPr>
        <w:t xml:space="preserve"> No.</w:t>
      </w:r>
      <w:r w:rsidRPr="00AB27AC">
        <w:rPr>
          <w:rFonts w:asciiTheme="majorHAnsi" w:hAnsiTheme="majorHAnsi"/>
          <w:sz w:val="16"/>
          <w:szCs w:val="16"/>
          <w:lang w:val="es-ES_tradnl"/>
        </w:rPr>
        <w:t xml:space="preserve"> 16/02, Admisibilidad, Petición 12.331, Marco Antonio, Servellón García, Rony Alexis Betancourt Hernández, Diómedes Obed García y Orlando Alvarez Ríos (“Los Cuatro Puntos Cardinales”)</w:t>
      </w:r>
      <w:r>
        <w:rPr>
          <w:rFonts w:asciiTheme="majorHAnsi" w:hAnsiTheme="majorHAnsi"/>
          <w:sz w:val="16"/>
          <w:szCs w:val="16"/>
          <w:lang w:val="es-ES_tradnl"/>
        </w:rPr>
        <w:t>.</w:t>
      </w:r>
      <w:r w:rsidRPr="00AB27AC">
        <w:rPr>
          <w:rFonts w:asciiTheme="majorHAnsi" w:hAnsiTheme="majorHAnsi"/>
          <w:sz w:val="16"/>
          <w:szCs w:val="16"/>
          <w:lang w:val="es-ES_tradnl"/>
        </w:rPr>
        <w:t xml:space="preserve"> Honduras</w:t>
      </w:r>
      <w:r>
        <w:rPr>
          <w:rFonts w:asciiTheme="majorHAnsi" w:hAnsiTheme="majorHAnsi"/>
          <w:sz w:val="16"/>
          <w:szCs w:val="16"/>
          <w:lang w:val="es-ES_tradnl"/>
        </w:rPr>
        <w:t>.</w:t>
      </w:r>
      <w:r w:rsidRPr="00AB27AC">
        <w:rPr>
          <w:rFonts w:asciiTheme="majorHAnsi" w:hAnsiTheme="majorHAnsi"/>
          <w:sz w:val="16"/>
          <w:szCs w:val="16"/>
          <w:lang w:val="es-ES_tradnl"/>
        </w:rPr>
        <w:t xml:space="preserve"> 27 de febrero de 2002, párr. 27; CIDH, Informe</w:t>
      </w:r>
      <w:r>
        <w:rPr>
          <w:rFonts w:asciiTheme="majorHAnsi" w:hAnsiTheme="majorHAnsi"/>
          <w:sz w:val="16"/>
          <w:szCs w:val="16"/>
          <w:lang w:val="es-ES_tradnl"/>
        </w:rPr>
        <w:t xml:space="preserve"> No.</w:t>
      </w:r>
      <w:r w:rsidRPr="00AB27AC">
        <w:rPr>
          <w:rFonts w:asciiTheme="majorHAnsi" w:hAnsiTheme="majorHAnsi"/>
          <w:sz w:val="16"/>
          <w:szCs w:val="16"/>
          <w:lang w:val="es-ES_tradnl"/>
        </w:rPr>
        <w:t xml:space="preserve"> 65/99</w:t>
      </w:r>
      <w:r>
        <w:rPr>
          <w:rFonts w:asciiTheme="majorHAnsi" w:hAnsiTheme="majorHAnsi"/>
          <w:sz w:val="16"/>
          <w:szCs w:val="16"/>
          <w:lang w:val="es-ES_tradnl"/>
        </w:rPr>
        <w:t>.</w:t>
      </w:r>
      <w:r w:rsidRPr="00AB27AC">
        <w:rPr>
          <w:rFonts w:asciiTheme="majorHAnsi" w:hAnsiTheme="majorHAnsi"/>
          <w:sz w:val="16"/>
          <w:szCs w:val="16"/>
          <w:lang w:val="es-ES_tradnl"/>
        </w:rPr>
        <w:t xml:space="preserve"> Caso 10.228</w:t>
      </w:r>
      <w:r>
        <w:rPr>
          <w:rFonts w:asciiTheme="majorHAnsi" w:hAnsiTheme="majorHAnsi"/>
          <w:sz w:val="16"/>
          <w:szCs w:val="16"/>
          <w:lang w:val="es-ES_tradnl"/>
        </w:rPr>
        <w:t>.</w:t>
      </w:r>
      <w:r w:rsidRPr="00AB27AC">
        <w:rPr>
          <w:rFonts w:asciiTheme="majorHAnsi" w:hAnsiTheme="majorHAnsi"/>
          <w:sz w:val="16"/>
          <w:szCs w:val="16"/>
          <w:lang w:val="es-ES_tradnl"/>
        </w:rPr>
        <w:t xml:space="preserve"> Víctor Hernández Vásquez</w:t>
      </w:r>
      <w:r>
        <w:rPr>
          <w:rFonts w:asciiTheme="majorHAnsi" w:hAnsiTheme="majorHAnsi"/>
          <w:sz w:val="16"/>
          <w:szCs w:val="16"/>
          <w:lang w:val="es-ES_tradnl"/>
        </w:rPr>
        <w:t>.</w:t>
      </w:r>
      <w:r w:rsidRPr="00AB27AC">
        <w:rPr>
          <w:rFonts w:asciiTheme="majorHAnsi" w:hAnsiTheme="majorHAnsi"/>
          <w:sz w:val="16"/>
          <w:szCs w:val="16"/>
          <w:lang w:val="es-ES_tradnl"/>
        </w:rPr>
        <w:t xml:space="preserve"> El Salvador</w:t>
      </w:r>
      <w:r>
        <w:rPr>
          <w:rFonts w:asciiTheme="majorHAnsi" w:hAnsiTheme="majorHAnsi"/>
          <w:sz w:val="16"/>
          <w:szCs w:val="16"/>
          <w:lang w:val="es-ES_tradnl"/>
        </w:rPr>
        <w:t>.</w:t>
      </w:r>
      <w:r w:rsidRPr="00AB27AC">
        <w:rPr>
          <w:rFonts w:asciiTheme="majorHAnsi" w:hAnsiTheme="majorHAnsi"/>
          <w:sz w:val="16"/>
          <w:szCs w:val="16"/>
          <w:lang w:val="es-ES_tradnl"/>
        </w:rPr>
        <w:t xml:space="preserve"> 13 de abril de 1999, párr. 82; CIDH, Informe</w:t>
      </w:r>
      <w:r>
        <w:rPr>
          <w:rFonts w:asciiTheme="majorHAnsi" w:hAnsiTheme="majorHAnsi"/>
          <w:sz w:val="16"/>
          <w:szCs w:val="16"/>
          <w:lang w:val="es-ES_tradnl"/>
        </w:rPr>
        <w:t xml:space="preserve"> No.</w:t>
      </w:r>
      <w:r w:rsidRPr="00AB27AC">
        <w:rPr>
          <w:rFonts w:asciiTheme="majorHAnsi" w:hAnsiTheme="majorHAnsi"/>
          <w:sz w:val="16"/>
          <w:szCs w:val="16"/>
          <w:lang w:val="es-ES_tradnl"/>
        </w:rPr>
        <w:t xml:space="preserve"> 25/98, Casos 11.505, 11.532, 11.541, 11.546, 11.549, 11.569, 11.572, 11.573, 11.583, 11.585, 11.595, 11.652, 11.657, 11.675 y 11.705</w:t>
      </w:r>
      <w:r>
        <w:rPr>
          <w:rFonts w:asciiTheme="majorHAnsi" w:hAnsiTheme="majorHAnsi"/>
          <w:sz w:val="16"/>
          <w:szCs w:val="16"/>
          <w:lang w:val="es-ES_tradnl"/>
        </w:rPr>
        <w:t>.</w:t>
      </w:r>
      <w:r w:rsidRPr="00AB27AC">
        <w:rPr>
          <w:rFonts w:asciiTheme="majorHAnsi" w:hAnsiTheme="majorHAnsi"/>
          <w:sz w:val="16"/>
          <w:szCs w:val="16"/>
          <w:lang w:val="es-ES_tradnl"/>
        </w:rPr>
        <w:t xml:space="preserve"> Chile</w:t>
      </w:r>
      <w:r>
        <w:rPr>
          <w:rFonts w:asciiTheme="majorHAnsi" w:hAnsiTheme="majorHAnsi"/>
          <w:sz w:val="16"/>
          <w:szCs w:val="16"/>
          <w:lang w:val="es-ES_tradnl"/>
        </w:rPr>
        <w:t>.</w:t>
      </w:r>
      <w:r w:rsidRPr="00AB27AC">
        <w:rPr>
          <w:rFonts w:asciiTheme="majorHAnsi" w:hAnsiTheme="majorHAnsi"/>
          <w:sz w:val="16"/>
          <w:szCs w:val="16"/>
          <w:lang w:val="es-ES_tradnl"/>
        </w:rPr>
        <w:t xml:space="preserve"> 7 de abril de 1998, párr. 56</w:t>
      </w:r>
      <w:r w:rsidR="008A53C9">
        <w:rPr>
          <w:rFonts w:asciiTheme="majorHAnsi" w:hAnsiTheme="majorHAnsi"/>
          <w:sz w:val="16"/>
          <w:szCs w:val="16"/>
          <w:lang w:val="es-ES_tradnl"/>
        </w:rPr>
        <w:t>.</w:t>
      </w:r>
      <w:r w:rsidRPr="00AB27AC">
        <w:rPr>
          <w:rFonts w:asciiTheme="majorHAnsi" w:hAnsiTheme="majorHAnsi"/>
          <w:sz w:val="16"/>
          <w:szCs w:val="16"/>
          <w:lang w:val="es-ES_tradnl"/>
        </w:rPr>
        <w:t xml:space="preserve"> </w:t>
      </w:r>
    </w:p>
  </w:footnote>
  <w:footnote w:id="6">
    <w:p w14:paraId="7FD3AF0D" w14:textId="491B2839" w:rsidR="00A90694" w:rsidRPr="00AB27AC" w:rsidRDefault="00A90694" w:rsidP="006F4960">
      <w:pPr>
        <w:widowControl w:val="0"/>
        <w:tabs>
          <w:tab w:val="left" w:pos="220"/>
          <w:tab w:val="left" w:pos="720"/>
        </w:tabs>
        <w:autoSpaceDE w:val="0"/>
        <w:autoSpaceDN w:val="0"/>
        <w:adjustRightInd w:val="0"/>
        <w:spacing w:after="40"/>
        <w:ind w:firstLine="720"/>
        <w:jc w:val="both"/>
        <w:rPr>
          <w:rFonts w:asciiTheme="majorHAnsi" w:hAnsiTheme="majorHAnsi"/>
          <w:color w:val="000000" w:themeColor="text1"/>
          <w:sz w:val="16"/>
          <w:szCs w:val="16"/>
        </w:rPr>
      </w:pPr>
      <w:r w:rsidRPr="00AB27AC">
        <w:rPr>
          <w:rStyle w:val="FootnoteReference"/>
          <w:rFonts w:asciiTheme="majorHAnsi" w:hAnsiTheme="majorHAnsi"/>
          <w:color w:val="000000" w:themeColor="text1"/>
          <w:sz w:val="16"/>
          <w:szCs w:val="16"/>
        </w:rPr>
        <w:footnoteRef/>
      </w:r>
      <w:r w:rsidRPr="00AB27AC">
        <w:rPr>
          <w:rFonts w:asciiTheme="majorHAnsi" w:hAnsiTheme="majorHAnsi"/>
          <w:color w:val="000000" w:themeColor="text1"/>
          <w:sz w:val="16"/>
          <w:szCs w:val="16"/>
        </w:rPr>
        <w:t xml:space="preserve"> CIDH. Informe No. 22/09, Admisibilidad, Igmar Alexander Landaeta Mejías</w:t>
      </w:r>
      <w:r>
        <w:rPr>
          <w:rFonts w:asciiTheme="majorHAnsi" w:hAnsiTheme="majorHAnsi"/>
          <w:color w:val="000000" w:themeColor="text1"/>
          <w:sz w:val="16"/>
          <w:szCs w:val="16"/>
        </w:rPr>
        <w:t>.</w:t>
      </w:r>
      <w:r w:rsidRPr="00AB27AC">
        <w:rPr>
          <w:rFonts w:asciiTheme="majorHAnsi" w:hAnsiTheme="majorHAnsi"/>
          <w:color w:val="000000" w:themeColor="text1"/>
          <w:sz w:val="16"/>
          <w:szCs w:val="16"/>
        </w:rPr>
        <w:t xml:space="preserve"> Venezuela</w:t>
      </w:r>
      <w:r>
        <w:rPr>
          <w:rFonts w:asciiTheme="majorHAnsi" w:hAnsiTheme="majorHAnsi"/>
          <w:color w:val="000000" w:themeColor="text1"/>
          <w:sz w:val="16"/>
          <w:szCs w:val="16"/>
        </w:rPr>
        <w:t>.</w:t>
      </w:r>
      <w:r w:rsidRPr="00AB27AC">
        <w:rPr>
          <w:rFonts w:asciiTheme="majorHAnsi" w:hAnsiTheme="majorHAnsi"/>
          <w:color w:val="000000" w:themeColor="text1"/>
          <w:sz w:val="16"/>
          <w:szCs w:val="16"/>
        </w:rPr>
        <w:t xml:space="preserve"> 20 de marzo de 2009, párr. 52; </w:t>
      </w:r>
      <w:r w:rsidRPr="00AB27AC">
        <w:rPr>
          <w:rFonts w:asciiTheme="majorHAnsi" w:hAnsiTheme="majorHAnsi"/>
          <w:color w:val="000000" w:themeColor="text1"/>
          <w:sz w:val="16"/>
          <w:szCs w:val="16"/>
          <w:lang w:val="es-AR"/>
        </w:rPr>
        <w:t>CIDH, Informe No. 1/11, Admisibilidad</w:t>
      </w:r>
      <w:r>
        <w:rPr>
          <w:rFonts w:asciiTheme="majorHAnsi" w:hAnsiTheme="majorHAnsi"/>
          <w:color w:val="000000" w:themeColor="text1"/>
          <w:sz w:val="16"/>
          <w:szCs w:val="16"/>
          <w:lang w:val="es-AR"/>
        </w:rPr>
        <w:t>.</w:t>
      </w:r>
      <w:r w:rsidRPr="00AB27AC">
        <w:rPr>
          <w:rFonts w:asciiTheme="majorHAnsi" w:hAnsiTheme="majorHAnsi"/>
          <w:color w:val="000000" w:themeColor="text1"/>
          <w:sz w:val="16"/>
          <w:szCs w:val="16"/>
          <w:lang w:val="es-AR"/>
        </w:rPr>
        <w:t xml:space="preserve"> Saúl Filormo Cañar Pauta</w:t>
      </w:r>
      <w:r>
        <w:rPr>
          <w:rFonts w:asciiTheme="majorHAnsi" w:hAnsiTheme="majorHAnsi"/>
          <w:color w:val="000000" w:themeColor="text1"/>
          <w:sz w:val="16"/>
          <w:szCs w:val="16"/>
          <w:lang w:val="es-AR"/>
        </w:rPr>
        <w:t>.</w:t>
      </w:r>
      <w:r w:rsidRPr="00AB27AC">
        <w:rPr>
          <w:rFonts w:asciiTheme="majorHAnsi" w:hAnsiTheme="majorHAnsi"/>
          <w:color w:val="000000" w:themeColor="text1"/>
          <w:sz w:val="16"/>
          <w:szCs w:val="16"/>
          <w:lang w:val="es-AR"/>
        </w:rPr>
        <w:t xml:space="preserve"> Ecuador</w:t>
      </w:r>
      <w:r>
        <w:rPr>
          <w:rFonts w:asciiTheme="majorHAnsi" w:hAnsiTheme="majorHAnsi"/>
          <w:color w:val="000000" w:themeColor="text1"/>
          <w:sz w:val="16"/>
          <w:szCs w:val="16"/>
          <w:lang w:val="es-AR"/>
        </w:rPr>
        <w:t>.</w:t>
      </w:r>
      <w:r w:rsidRPr="00AB27AC">
        <w:rPr>
          <w:rFonts w:asciiTheme="majorHAnsi" w:hAnsiTheme="majorHAnsi"/>
          <w:color w:val="000000" w:themeColor="text1"/>
          <w:sz w:val="16"/>
          <w:szCs w:val="16"/>
          <w:lang w:val="es-AR"/>
        </w:rPr>
        <w:t xml:space="preserve"> 4 de enero de 2011, párr. 30; CIDH, Informe No. 43/13, Petición 171-06</w:t>
      </w:r>
      <w:r>
        <w:rPr>
          <w:rFonts w:asciiTheme="majorHAnsi" w:hAnsiTheme="majorHAnsi"/>
          <w:color w:val="000000" w:themeColor="text1"/>
          <w:sz w:val="16"/>
          <w:szCs w:val="16"/>
          <w:lang w:val="es-AR"/>
        </w:rPr>
        <w:t>.</w:t>
      </w:r>
      <w:r w:rsidRPr="00AB27AC">
        <w:rPr>
          <w:rFonts w:asciiTheme="majorHAnsi" w:hAnsiTheme="majorHAnsi"/>
          <w:color w:val="000000" w:themeColor="text1"/>
          <w:sz w:val="16"/>
          <w:szCs w:val="16"/>
          <w:lang w:val="es-AR"/>
        </w:rPr>
        <w:t xml:space="preserve"> Admisibilidad</w:t>
      </w:r>
      <w:r>
        <w:rPr>
          <w:rFonts w:asciiTheme="majorHAnsi" w:hAnsiTheme="majorHAnsi"/>
          <w:color w:val="000000" w:themeColor="text1"/>
          <w:sz w:val="16"/>
          <w:szCs w:val="16"/>
          <w:lang w:val="es-AR"/>
        </w:rPr>
        <w:t>.</w:t>
      </w:r>
      <w:r w:rsidRPr="00AB27AC">
        <w:rPr>
          <w:rFonts w:asciiTheme="majorHAnsi" w:hAnsiTheme="majorHAnsi"/>
          <w:color w:val="000000" w:themeColor="text1"/>
          <w:sz w:val="16"/>
          <w:szCs w:val="16"/>
          <w:lang w:val="es-AR"/>
        </w:rPr>
        <w:t xml:space="preserve"> YGSA</w:t>
      </w:r>
      <w:r>
        <w:rPr>
          <w:rFonts w:asciiTheme="majorHAnsi" w:hAnsiTheme="majorHAnsi"/>
          <w:color w:val="000000" w:themeColor="text1"/>
          <w:sz w:val="16"/>
          <w:szCs w:val="16"/>
          <w:lang w:val="es-AR"/>
        </w:rPr>
        <w:t>.</w:t>
      </w:r>
      <w:r w:rsidRPr="00AB27AC">
        <w:rPr>
          <w:rFonts w:asciiTheme="majorHAnsi" w:hAnsiTheme="majorHAnsi"/>
          <w:color w:val="000000" w:themeColor="text1"/>
          <w:sz w:val="16"/>
          <w:szCs w:val="16"/>
          <w:lang w:val="es-AR"/>
        </w:rPr>
        <w:t xml:space="preserve"> Ecuador, 11 de julio de 2013, párr. 28.</w:t>
      </w:r>
    </w:p>
  </w:footnote>
  <w:footnote w:id="7">
    <w:p w14:paraId="7547AEBC" w14:textId="6A8A3E6E" w:rsidR="00A90694" w:rsidRPr="004A2C33" w:rsidRDefault="00A90694" w:rsidP="0069357C">
      <w:pPr>
        <w:pStyle w:val="FootnoteText"/>
        <w:spacing w:after="40"/>
        <w:ind w:firstLine="720"/>
        <w:jc w:val="both"/>
        <w:rPr>
          <w:rFonts w:asciiTheme="majorHAnsi" w:hAnsiTheme="majorHAnsi"/>
          <w:color w:val="000000" w:themeColor="text1"/>
          <w:sz w:val="16"/>
          <w:szCs w:val="16"/>
          <w:lang w:val="es-CO"/>
        </w:rPr>
      </w:pPr>
      <w:r w:rsidRPr="00AB27AC">
        <w:rPr>
          <w:rStyle w:val="FootnoteReference"/>
          <w:rFonts w:asciiTheme="majorHAnsi" w:hAnsiTheme="majorHAnsi"/>
          <w:color w:val="000000" w:themeColor="text1"/>
          <w:sz w:val="16"/>
          <w:szCs w:val="16"/>
        </w:rPr>
        <w:footnoteRef/>
      </w:r>
      <w:r w:rsidRPr="00AB27AC">
        <w:rPr>
          <w:rFonts w:asciiTheme="majorHAnsi" w:hAnsiTheme="majorHAnsi"/>
          <w:color w:val="000000" w:themeColor="text1"/>
          <w:sz w:val="16"/>
          <w:szCs w:val="16"/>
          <w:lang w:val="es-CO"/>
        </w:rPr>
        <w:t xml:space="preserve"> </w:t>
      </w:r>
      <w:r>
        <w:rPr>
          <w:rFonts w:asciiTheme="majorHAnsi" w:hAnsiTheme="majorHAnsi"/>
          <w:color w:val="000000" w:themeColor="text1"/>
          <w:sz w:val="16"/>
          <w:szCs w:val="16"/>
          <w:lang w:val="es-CO"/>
        </w:rPr>
        <w:t xml:space="preserve">CIDH, </w:t>
      </w:r>
      <w:r w:rsidRPr="0069357C">
        <w:rPr>
          <w:rFonts w:asciiTheme="majorHAnsi" w:hAnsiTheme="majorHAnsi"/>
          <w:color w:val="000000" w:themeColor="text1"/>
          <w:sz w:val="16"/>
          <w:szCs w:val="16"/>
          <w:lang w:val="es-CO"/>
        </w:rPr>
        <w:t>Informe No. 45/13</w:t>
      </w:r>
      <w:r>
        <w:rPr>
          <w:rFonts w:asciiTheme="majorHAnsi" w:hAnsiTheme="majorHAnsi"/>
          <w:color w:val="000000" w:themeColor="text1"/>
          <w:sz w:val="16"/>
          <w:szCs w:val="16"/>
          <w:lang w:val="es-CO"/>
        </w:rPr>
        <w:t xml:space="preserve">, </w:t>
      </w:r>
      <w:r w:rsidRPr="00AB27AC">
        <w:rPr>
          <w:rFonts w:asciiTheme="majorHAnsi" w:hAnsiTheme="majorHAnsi"/>
          <w:color w:val="000000" w:themeColor="text1"/>
          <w:sz w:val="16"/>
          <w:szCs w:val="16"/>
          <w:lang w:val="es-AR"/>
        </w:rPr>
        <w:t xml:space="preserve">Petición </w:t>
      </w:r>
      <w:r w:rsidRPr="0069357C">
        <w:rPr>
          <w:rFonts w:asciiTheme="majorHAnsi" w:hAnsiTheme="majorHAnsi"/>
          <w:color w:val="000000" w:themeColor="text1"/>
          <w:sz w:val="16"/>
          <w:szCs w:val="16"/>
          <w:lang w:val="es-CO"/>
        </w:rPr>
        <w:t>421-05</w:t>
      </w:r>
      <w:r>
        <w:rPr>
          <w:rFonts w:asciiTheme="majorHAnsi" w:hAnsiTheme="majorHAnsi"/>
          <w:color w:val="000000" w:themeColor="text1"/>
          <w:sz w:val="16"/>
          <w:szCs w:val="16"/>
          <w:lang w:val="es-CO"/>
        </w:rPr>
        <w:t xml:space="preserve">. </w:t>
      </w:r>
      <w:r w:rsidRPr="0069357C">
        <w:rPr>
          <w:rFonts w:asciiTheme="majorHAnsi" w:hAnsiTheme="majorHAnsi"/>
          <w:color w:val="000000" w:themeColor="text1"/>
          <w:sz w:val="16"/>
          <w:szCs w:val="16"/>
          <w:lang w:val="es-CO"/>
        </w:rPr>
        <w:t>Admisibilidad</w:t>
      </w:r>
      <w:r>
        <w:rPr>
          <w:rFonts w:asciiTheme="majorHAnsi" w:hAnsiTheme="majorHAnsi"/>
          <w:color w:val="000000" w:themeColor="text1"/>
          <w:sz w:val="16"/>
          <w:szCs w:val="16"/>
          <w:lang w:val="es-CO"/>
        </w:rPr>
        <w:t xml:space="preserve">. </w:t>
      </w:r>
      <w:r w:rsidRPr="0069357C">
        <w:rPr>
          <w:rFonts w:asciiTheme="majorHAnsi" w:hAnsiTheme="majorHAnsi"/>
          <w:color w:val="000000" w:themeColor="text1"/>
          <w:sz w:val="16"/>
          <w:szCs w:val="16"/>
          <w:lang w:val="es-CO"/>
        </w:rPr>
        <w:t>Eduardo Julián Parrilla Ortiz</w:t>
      </w:r>
      <w:r>
        <w:rPr>
          <w:rFonts w:asciiTheme="majorHAnsi" w:hAnsiTheme="majorHAnsi"/>
          <w:color w:val="000000" w:themeColor="text1"/>
          <w:sz w:val="16"/>
          <w:szCs w:val="16"/>
          <w:lang w:val="es-CO"/>
        </w:rPr>
        <w:t xml:space="preserve">. Ecuador. </w:t>
      </w:r>
      <w:r w:rsidRPr="0069357C">
        <w:rPr>
          <w:rFonts w:asciiTheme="majorHAnsi" w:hAnsiTheme="majorHAnsi"/>
          <w:color w:val="000000" w:themeColor="text1"/>
          <w:sz w:val="16"/>
          <w:szCs w:val="16"/>
          <w:lang w:val="es-CO"/>
        </w:rPr>
        <w:t>11 de julio de 2013</w:t>
      </w:r>
      <w:r>
        <w:rPr>
          <w:rFonts w:asciiTheme="majorHAnsi" w:hAnsiTheme="majorHAnsi"/>
          <w:color w:val="000000" w:themeColor="text1"/>
          <w:sz w:val="16"/>
          <w:szCs w:val="16"/>
          <w:lang w:val="es-CO"/>
        </w:rPr>
        <w:t xml:space="preserve">, párr. 28; </w:t>
      </w:r>
      <w:r w:rsidRPr="00AB27AC">
        <w:rPr>
          <w:rFonts w:asciiTheme="majorHAnsi" w:hAnsiTheme="majorHAnsi"/>
          <w:color w:val="000000" w:themeColor="text1"/>
          <w:sz w:val="16"/>
          <w:szCs w:val="16"/>
          <w:lang w:val="es-CO"/>
        </w:rPr>
        <w:t xml:space="preserve">CIDH, Informe No. 76/09, </w:t>
      </w:r>
      <w:r w:rsidRPr="00AB27AC">
        <w:rPr>
          <w:rFonts w:asciiTheme="majorHAnsi" w:hAnsiTheme="majorHAnsi"/>
          <w:color w:val="000000" w:themeColor="text1"/>
          <w:sz w:val="16"/>
          <w:szCs w:val="16"/>
          <w:lang w:val="es-AR"/>
        </w:rPr>
        <w:t xml:space="preserve">Petición </w:t>
      </w:r>
      <w:r w:rsidRPr="00AB27AC">
        <w:rPr>
          <w:rFonts w:asciiTheme="majorHAnsi" w:hAnsiTheme="majorHAnsi"/>
          <w:color w:val="000000" w:themeColor="text1"/>
          <w:sz w:val="16"/>
          <w:szCs w:val="16"/>
          <w:lang w:val="es-CO"/>
        </w:rPr>
        <w:t>1473-06</w:t>
      </w:r>
      <w:r>
        <w:rPr>
          <w:rFonts w:asciiTheme="majorHAnsi" w:hAnsiTheme="majorHAnsi"/>
          <w:color w:val="000000" w:themeColor="text1"/>
          <w:sz w:val="16"/>
          <w:szCs w:val="16"/>
          <w:lang w:val="es-CO"/>
        </w:rPr>
        <w:t>.</w:t>
      </w:r>
      <w:r w:rsidRPr="00AB27AC">
        <w:rPr>
          <w:rFonts w:asciiTheme="majorHAnsi" w:hAnsiTheme="majorHAnsi"/>
          <w:color w:val="000000" w:themeColor="text1"/>
          <w:sz w:val="16"/>
          <w:szCs w:val="16"/>
          <w:lang w:val="es-CO"/>
        </w:rPr>
        <w:t xml:space="preserve"> Admisibilidad</w:t>
      </w:r>
      <w:r>
        <w:rPr>
          <w:rFonts w:asciiTheme="majorHAnsi" w:hAnsiTheme="majorHAnsi"/>
          <w:color w:val="000000" w:themeColor="text1"/>
          <w:sz w:val="16"/>
          <w:szCs w:val="16"/>
          <w:lang w:val="es-CO"/>
        </w:rPr>
        <w:t>.</w:t>
      </w:r>
      <w:r w:rsidRPr="00AB27AC">
        <w:rPr>
          <w:rFonts w:asciiTheme="majorHAnsi" w:hAnsiTheme="majorHAnsi"/>
          <w:color w:val="000000" w:themeColor="text1"/>
          <w:sz w:val="16"/>
          <w:szCs w:val="16"/>
          <w:lang w:val="es-CO"/>
        </w:rPr>
        <w:t xml:space="preserve"> </w:t>
      </w:r>
      <w:r w:rsidRPr="004A2C33">
        <w:rPr>
          <w:rFonts w:asciiTheme="majorHAnsi" w:hAnsiTheme="majorHAnsi"/>
          <w:color w:val="000000" w:themeColor="text1"/>
          <w:sz w:val="16"/>
          <w:szCs w:val="16"/>
          <w:lang w:val="es-CO"/>
        </w:rPr>
        <w:t>Comunidad de la Oroya</w:t>
      </w:r>
      <w:r>
        <w:rPr>
          <w:rFonts w:asciiTheme="majorHAnsi" w:hAnsiTheme="majorHAnsi"/>
          <w:color w:val="000000" w:themeColor="text1"/>
          <w:sz w:val="16"/>
          <w:szCs w:val="16"/>
          <w:lang w:val="es-CO"/>
        </w:rPr>
        <w:t>.</w:t>
      </w:r>
      <w:r w:rsidRPr="004A2C33">
        <w:rPr>
          <w:rFonts w:asciiTheme="majorHAnsi" w:hAnsiTheme="majorHAnsi"/>
          <w:color w:val="000000" w:themeColor="text1"/>
          <w:sz w:val="16"/>
          <w:szCs w:val="16"/>
          <w:lang w:val="es-CO"/>
        </w:rPr>
        <w:t xml:space="preserve"> Perú</w:t>
      </w:r>
      <w:r>
        <w:rPr>
          <w:rFonts w:asciiTheme="majorHAnsi" w:hAnsiTheme="majorHAnsi"/>
          <w:color w:val="000000" w:themeColor="text1"/>
          <w:sz w:val="16"/>
          <w:szCs w:val="16"/>
          <w:lang w:val="es-CO"/>
        </w:rPr>
        <w:t>.</w:t>
      </w:r>
      <w:r w:rsidRPr="004A2C33">
        <w:rPr>
          <w:rFonts w:asciiTheme="majorHAnsi" w:hAnsiTheme="majorHAnsi"/>
          <w:color w:val="000000" w:themeColor="text1"/>
          <w:sz w:val="16"/>
          <w:szCs w:val="16"/>
          <w:lang w:val="es-CO"/>
        </w:rPr>
        <w:t xml:space="preserve"> 5 de agosto de 2009, párrafo 64; </w:t>
      </w:r>
      <w:r w:rsidRPr="004A2C33">
        <w:rPr>
          <w:rFonts w:asciiTheme="majorHAnsi" w:hAnsiTheme="majorHAnsi"/>
          <w:color w:val="000000" w:themeColor="text1"/>
          <w:sz w:val="16"/>
          <w:szCs w:val="16"/>
          <w:lang w:val="es-AR"/>
        </w:rPr>
        <w:t xml:space="preserve">Informe No. 40/08, </w:t>
      </w:r>
      <w:r w:rsidRPr="00AB27AC">
        <w:rPr>
          <w:rFonts w:asciiTheme="majorHAnsi" w:hAnsiTheme="majorHAnsi"/>
          <w:color w:val="000000" w:themeColor="text1"/>
          <w:sz w:val="16"/>
          <w:szCs w:val="16"/>
          <w:lang w:val="es-AR"/>
        </w:rPr>
        <w:t xml:space="preserve">Petición </w:t>
      </w:r>
      <w:r w:rsidRPr="004A2C33">
        <w:rPr>
          <w:rFonts w:asciiTheme="majorHAnsi" w:hAnsiTheme="majorHAnsi"/>
          <w:color w:val="000000" w:themeColor="text1"/>
          <w:sz w:val="16"/>
          <w:szCs w:val="16"/>
          <w:lang w:val="es-AR"/>
        </w:rPr>
        <w:t>270</w:t>
      </w:r>
      <w:r>
        <w:rPr>
          <w:rFonts w:asciiTheme="majorHAnsi" w:hAnsiTheme="majorHAnsi"/>
          <w:color w:val="000000" w:themeColor="text1"/>
          <w:sz w:val="16"/>
          <w:szCs w:val="16"/>
          <w:lang w:val="es-AR"/>
        </w:rPr>
        <w:t>-07. Admisibilidad</w:t>
      </w:r>
      <w:r w:rsidRPr="004A2C33">
        <w:rPr>
          <w:rFonts w:asciiTheme="majorHAnsi" w:hAnsiTheme="majorHAnsi"/>
          <w:iCs/>
          <w:color w:val="000000" w:themeColor="text1"/>
          <w:sz w:val="16"/>
          <w:szCs w:val="16"/>
          <w:lang w:val="es-AR"/>
        </w:rPr>
        <w:t xml:space="preserve">, </w:t>
      </w:r>
      <w:r>
        <w:rPr>
          <w:rFonts w:asciiTheme="majorHAnsi" w:hAnsiTheme="majorHAnsi"/>
          <w:iCs/>
          <w:color w:val="000000" w:themeColor="text1"/>
          <w:sz w:val="16"/>
          <w:szCs w:val="16"/>
          <w:lang w:val="es-AR"/>
        </w:rPr>
        <w:t xml:space="preserve">I. V., </w:t>
      </w:r>
      <w:r w:rsidRPr="004A2C33">
        <w:rPr>
          <w:rFonts w:asciiTheme="majorHAnsi" w:hAnsiTheme="majorHAnsi"/>
          <w:iCs/>
          <w:color w:val="000000" w:themeColor="text1"/>
          <w:sz w:val="16"/>
          <w:szCs w:val="16"/>
          <w:lang w:val="es-AR"/>
        </w:rPr>
        <w:t>Bol</w:t>
      </w:r>
      <w:r>
        <w:rPr>
          <w:rFonts w:asciiTheme="majorHAnsi" w:hAnsiTheme="majorHAnsi"/>
          <w:iCs/>
          <w:color w:val="000000" w:themeColor="text1"/>
          <w:sz w:val="16"/>
          <w:szCs w:val="16"/>
          <w:lang w:val="es-AR"/>
        </w:rPr>
        <w:t>i</w:t>
      </w:r>
      <w:r w:rsidRPr="004A2C33">
        <w:rPr>
          <w:rFonts w:asciiTheme="majorHAnsi" w:hAnsiTheme="majorHAnsi"/>
          <w:iCs/>
          <w:color w:val="000000" w:themeColor="text1"/>
          <w:sz w:val="16"/>
          <w:szCs w:val="16"/>
          <w:lang w:val="es-AR"/>
        </w:rPr>
        <w:t xml:space="preserve">via, </w:t>
      </w:r>
      <w:r w:rsidRPr="004A2C33">
        <w:rPr>
          <w:rFonts w:asciiTheme="majorHAnsi" w:hAnsiTheme="majorHAnsi"/>
          <w:color w:val="000000" w:themeColor="text1"/>
          <w:sz w:val="16"/>
          <w:szCs w:val="16"/>
          <w:lang w:val="es-AR"/>
        </w:rPr>
        <w:t xml:space="preserve">23 de julio de 2008, </w:t>
      </w:r>
      <w:r>
        <w:rPr>
          <w:rFonts w:asciiTheme="majorHAnsi" w:hAnsiTheme="majorHAnsi"/>
          <w:color w:val="000000" w:themeColor="text1"/>
          <w:sz w:val="16"/>
          <w:szCs w:val="16"/>
          <w:lang w:val="es-AR"/>
        </w:rPr>
        <w:t>párr.</w:t>
      </w:r>
      <w:r w:rsidRPr="004A2C33">
        <w:rPr>
          <w:rFonts w:asciiTheme="majorHAnsi" w:hAnsiTheme="majorHAnsi"/>
          <w:color w:val="000000" w:themeColor="text1"/>
          <w:sz w:val="16"/>
          <w:szCs w:val="16"/>
          <w:lang w:val="es-AR"/>
        </w:rPr>
        <w:t xml:space="preserve"> 70</w:t>
      </w:r>
      <w:r>
        <w:rPr>
          <w:rFonts w:asciiTheme="majorHAnsi" w:hAnsiTheme="majorHAnsi"/>
          <w:color w:val="000000" w:themeColor="text1"/>
          <w:sz w:val="16"/>
          <w:szCs w:val="16"/>
          <w:lang w:val="es-AR"/>
        </w:rPr>
        <w:t>.</w:t>
      </w:r>
    </w:p>
  </w:footnote>
  <w:footnote w:id="8">
    <w:p w14:paraId="5A0757C8" w14:textId="562C2A50" w:rsidR="00A90694" w:rsidRPr="00AB27AC" w:rsidRDefault="00A90694" w:rsidP="0069357C">
      <w:pPr>
        <w:pStyle w:val="FootnoteText"/>
        <w:spacing w:after="40"/>
        <w:ind w:firstLine="720"/>
        <w:jc w:val="both"/>
        <w:rPr>
          <w:rFonts w:asciiTheme="majorHAnsi" w:hAnsiTheme="majorHAnsi"/>
          <w:color w:val="000000" w:themeColor="text1"/>
          <w:sz w:val="16"/>
          <w:szCs w:val="16"/>
          <w:lang w:val="es-ES_tradnl"/>
        </w:rPr>
      </w:pPr>
      <w:r w:rsidRPr="004A2C33">
        <w:rPr>
          <w:rStyle w:val="FootnoteReference"/>
          <w:rFonts w:asciiTheme="majorHAnsi" w:hAnsiTheme="majorHAnsi"/>
          <w:color w:val="000000" w:themeColor="text1"/>
          <w:sz w:val="16"/>
          <w:szCs w:val="16"/>
        </w:rPr>
        <w:footnoteRef/>
      </w:r>
      <w:r w:rsidRPr="004A2C33">
        <w:rPr>
          <w:rFonts w:asciiTheme="majorHAnsi" w:hAnsiTheme="majorHAnsi"/>
          <w:color w:val="000000" w:themeColor="text1"/>
          <w:sz w:val="16"/>
          <w:szCs w:val="16"/>
          <w:lang w:val="es-AR"/>
        </w:rPr>
        <w:t xml:space="preserve"> </w:t>
      </w:r>
      <w:r>
        <w:rPr>
          <w:rFonts w:asciiTheme="majorHAnsi" w:hAnsiTheme="majorHAnsi"/>
          <w:color w:val="000000" w:themeColor="text1"/>
          <w:sz w:val="16"/>
          <w:szCs w:val="16"/>
          <w:lang w:val="es-AR"/>
        </w:rPr>
        <w:t xml:space="preserve">CIDH, </w:t>
      </w:r>
      <w:r w:rsidRPr="0069357C">
        <w:rPr>
          <w:rFonts w:asciiTheme="majorHAnsi" w:hAnsiTheme="majorHAnsi"/>
          <w:color w:val="000000" w:themeColor="text1"/>
          <w:sz w:val="16"/>
          <w:szCs w:val="16"/>
          <w:lang w:val="es-AR"/>
        </w:rPr>
        <w:t>Informe No. 59/13</w:t>
      </w:r>
      <w:r>
        <w:rPr>
          <w:rFonts w:asciiTheme="majorHAnsi" w:hAnsiTheme="majorHAnsi"/>
          <w:color w:val="000000" w:themeColor="text1"/>
          <w:sz w:val="16"/>
          <w:szCs w:val="16"/>
          <w:lang w:val="es-AR"/>
        </w:rPr>
        <w:t xml:space="preserve">, </w:t>
      </w:r>
      <w:r w:rsidRPr="00AB27AC">
        <w:rPr>
          <w:rFonts w:asciiTheme="majorHAnsi" w:hAnsiTheme="majorHAnsi"/>
          <w:color w:val="000000" w:themeColor="text1"/>
          <w:sz w:val="16"/>
          <w:szCs w:val="16"/>
          <w:lang w:val="es-AR"/>
        </w:rPr>
        <w:t xml:space="preserve">Petición </w:t>
      </w:r>
      <w:r w:rsidRPr="0069357C">
        <w:rPr>
          <w:rFonts w:asciiTheme="majorHAnsi" w:hAnsiTheme="majorHAnsi"/>
          <w:color w:val="000000" w:themeColor="text1"/>
          <w:sz w:val="16"/>
          <w:szCs w:val="16"/>
          <w:lang w:val="es-AR"/>
        </w:rPr>
        <w:t>212-06</w:t>
      </w:r>
      <w:r>
        <w:rPr>
          <w:rFonts w:asciiTheme="majorHAnsi" w:hAnsiTheme="majorHAnsi"/>
          <w:color w:val="000000" w:themeColor="text1"/>
          <w:sz w:val="16"/>
          <w:szCs w:val="16"/>
          <w:lang w:val="es-AR"/>
        </w:rPr>
        <w:t xml:space="preserve">, </w:t>
      </w:r>
      <w:r w:rsidRPr="0069357C">
        <w:rPr>
          <w:rFonts w:asciiTheme="majorHAnsi" w:hAnsiTheme="majorHAnsi"/>
          <w:color w:val="000000" w:themeColor="text1"/>
          <w:sz w:val="16"/>
          <w:szCs w:val="16"/>
          <w:lang w:val="es-AR"/>
        </w:rPr>
        <w:t>Admisibilidad</w:t>
      </w:r>
      <w:r>
        <w:rPr>
          <w:rFonts w:asciiTheme="majorHAnsi" w:hAnsiTheme="majorHAnsi"/>
          <w:color w:val="000000" w:themeColor="text1"/>
          <w:sz w:val="16"/>
          <w:szCs w:val="16"/>
          <w:lang w:val="es-AR"/>
        </w:rPr>
        <w:t xml:space="preserve">. </w:t>
      </w:r>
      <w:r w:rsidRPr="0069357C">
        <w:rPr>
          <w:rFonts w:asciiTheme="majorHAnsi" w:hAnsiTheme="majorHAnsi"/>
          <w:color w:val="000000" w:themeColor="text1"/>
          <w:sz w:val="16"/>
          <w:szCs w:val="16"/>
          <w:lang w:val="es-AR"/>
        </w:rPr>
        <w:t xml:space="preserve">Rocío San Miguel Sosa </w:t>
      </w:r>
      <w:r>
        <w:rPr>
          <w:rFonts w:asciiTheme="majorHAnsi" w:hAnsiTheme="majorHAnsi"/>
          <w:color w:val="000000" w:themeColor="text1"/>
          <w:sz w:val="16"/>
          <w:szCs w:val="16"/>
          <w:lang w:val="es-AR"/>
        </w:rPr>
        <w:t>y o</w:t>
      </w:r>
      <w:r w:rsidRPr="0069357C">
        <w:rPr>
          <w:rFonts w:asciiTheme="majorHAnsi" w:hAnsiTheme="majorHAnsi"/>
          <w:color w:val="000000" w:themeColor="text1"/>
          <w:sz w:val="16"/>
          <w:szCs w:val="16"/>
          <w:lang w:val="es-AR"/>
        </w:rPr>
        <w:t>tras</w:t>
      </w:r>
      <w:r>
        <w:rPr>
          <w:rFonts w:asciiTheme="majorHAnsi" w:hAnsiTheme="majorHAnsi"/>
          <w:color w:val="000000" w:themeColor="text1"/>
          <w:sz w:val="16"/>
          <w:szCs w:val="16"/>
          <w:lang w:val="es-AR"/>
        </w:rPr>
        <w:t xml:space="preserve">. </w:t>
      </w:r>
      <w:r w:rsidRPr="0069357C">
        <w:rPr>
          <w:rFonts w:asciiTheme="majorHAnsi" w:hAnsiTheme="majorHAnsi"/>
          <w:color w:val="000000" w:themeColor="text1"/>
          <w:sz w:val="16"/>
          <w:szCs w:val="16"/>
          <w:lang w:val="es-AR"/>
        </w:rPr>
        <w:t>Venezuela</w:t>
      </w:r>
      <w:r>
        <w:rPr>
          <w:rFonts w:asciiTheme="majorHAnsi" w:hAnsiTheme="majorHAnsi"/>
          <w:color w:val="000000" w:themeColor="text1"/>
          <w:sz w:val="16"/>
          <w:szCs w:val="16"/>
          <w:lang w:val="es-AR"/>
        </w:rPr>
        <w:t xml:space="preserve">. </w:t>
      </w:r>
      <w:r w:rsidRPr="0069357C">
        <w:rPr>
          <w:rFonts w:asciiTheme="majorHAnsi" w:hAnsiTheme="majorHAnsi"/>
          <w:color w:val="000000" w:themeColor="text1"/>
          <w:sz w:val="16"/>
          <w:szCs w:val="16"/>
          <w:lang w:val="es-AR"/>
        </w:rPr>
        <w:t>16 de julio de 2013</w:t>
      </w:r>
      <w:r>
        <w:rPr>
          <w:rFonts w:asciiTheme="majorHAnsi" w:hAnsiTheme="majorHAnsi"/>
          <w:color w:val="000000" w:themeColor="text1"/>
          <w:sz w:val="16"/>
          <w:szCs w:val="16"/>
          <w:lang w:val="es-AR"/>
        </w:rPr>
        <w:t xml:space="preserve">, </w:t>
      </w:r>
      <w:r w:rsidR="00CF64A2">
        <w:rPr>
          <w:rFonts w:asciiTheme="majorHAnsi" w:hAnsiTheme="majorHAnsi"/>
          <w:color w:val="000000" w:themeColor="text1"/>
          <w:sz w:val="16"/>
          <w:szCs w:val="16"/>
          <w:lang w:val="es-AR"/>
        </w:rPr>
        <w:br/>
      </w:r>
      <w:r>
        <w:rPr>
          <w:rFonts w:asciiTheme="majorHAnsi" w:hAnsiTheme="majorHAnsi"/>
          <w:color w:val="000000" w:themeColor="text1"/>
          <w:sz w:val="16"/>
          <w:szCs w:val="16"/>
          <w:lang w:val="es-AR"/>
        </w:rPr>
        <w:t xml:space="preserve">párr. 72; </w:t>
      </w:r>
      <w:r w:rsidRPr="004A2C33">
        <w:rPr>
          <w:rFonts w:asciiTheme="majorHAnsi" w:hAnsiTheme="majorHAnsi"/>
          <w:color w:val="000000" w:themeColor="text1"/>
          <w:sz w:val="16"/>
          <w:szCs w:val="16"/>
          <w:lang w:val="es-AR"/>
        </w:rPr>
        <w:t xml:space="preserve">CIDH, Informe No. 70/04, </w:t>
      </w:r>
      <w:r w:rsidRPr="00AB27AC">
        <w:rPr>
          <w:rFonts w:asciiTheme="majorHAnsi" w:hAnsiTheme="majorHAnsi"/>
          <w:color w:val="000000" w:themeColor="text1"/>
          <w:sz w:val="16"/>
          <w:szCs w:val="16"/>
          <w:lang w:val="es-AR"/>
        </w:rPr>
        <w:t xml:space="preserve">Petición </w:t>
      </w:r>
      <w:r w:rsidRPr="004A2C33">
        <w:rPr>
          <w:rFonts w:asciiTheme="majorHAnsi" w:hAnsiTheme="majorHAnsi"/>
          <w:color w:val="000000" w:themeColor="text1"/>
          <w:sz w:val="16"/>
          <w:szCs w:val="16"/>
          <w:lang w:val="es-AR"/>
        </w:rPr>
        <w:t>667-</w:t>
      </w:r>
      <w:r>
        <w:rPr>
          <w:rFonts w:asciiTheme="majorHAnsi" w:hAnsiTheme="majorHAnsi"/>
          <w:color w:val="000000" w:themeColor="text1"/>
          <w:sz w:val="16"/>
          <w:szCs w:val="16"/>
          <w:lang w:val="es-AR"/>
        </w:rPr>
        <w:t>0</w:t>
      </w:r>
      <w:r w:rsidRPr="004A2C33">
        <w:rPr>
          <w:rFonts w:asciiTheme="majorHAnsi" w:hAnsiTheme="majorHAnsi"/>
          <w:color w:val="000000" w:themeColor="text1"/>
          <w:sz w:val="16"/>
          <w:szCs w:val="16"/>
          <w:lang w:val="es-AR"/>
        </w:rPr>
        <w:t>1</w:t>
      </w:r>
      <w:r>
        <w:rPr>
          <w:rFonts w:asciiTheme="majorHAnsi" w:hAnsiTheme="majorHAnsi"/>
          <w:color w:val="000000" w:themeColor="text1"/>
          <w:sz w:val="16"/>
          <w:szCs w:val="16"/>
          <w:lang w:val="es-AR"/>
        </w:rPr>
        <w:t>.</w:t>
      </w:r>
      <w:r w:rsidRPr="004A2C33">
        <w:rPr>
          <w:rFonts w:asciiTheme="majorHAnsi" w:hAnsiTheme="majorHAnsi"/>
          <w:color w:val="000000" w:themeColor="text1"/>
          <w:sz w:val="16"/>
          <w:szCs w:val="16"/>
          <w:lang w:val="es-AR"/>
        </w:rPr>
        <w:t xml:space="preserve"> Admisibilidad</w:t>
      </w:r>
      <w:r>
        <w:rPr>
          <w:rFonts w:asciiTheme="majorHAnsi" w:hAnsiTheme="majorHAnsi"/>
          <w:color w:val="000000" w:themeColor="text1"/>
          <w:sz w:val="16"/>
          <w:szCs w:val="16"/>
          <w:lang w:val="es-AR"/>
        </w:rPr>
        <w:t>.</w:t>
      </w:r>
      <w:r w:rsidRPr="004A2C33">
        <w:rPr>
          <w:rFonts w:asciiTheme="majorHAnsi" w:hAnsiTheme="majorHAnsi"/>
          <w:color w:val="000000" w:themeColor="text1"/>
          <w:sz w:val="16"/>
          <w:szCs w:val="16"/>
          <w:lang w:val="es-AR"/>
        </w:rPr>
        <w:t xml:space="preserve"> </w:t>
      </w:r>
      <w:r w:rsidRPr="004A2C33">
        <w:rPr>
          <w:rFonts w:asciiTheme="majorHAnsi" w:hAnsiTheme="majorHAnsi"/>
          <w:color w:val="000000" w:themeColor="text1"/>
          <w:sz w:val="16"/>
          <w:szCs w:val="16"/>
          <w:lang w:val="es-ES_tradnl"/>
        </w:rPr>
        <w:t>Jesús Manuel Naranjo Cárdenas y otros</w:t>
      </w:r>
      <w:r>
        <w:rPr>
          <w:rFonts w:asciiTheme="majorHAnsi" w:hAnsiTheme="majorHAnsi"/>
          <w:color w:val="000000" w:themeColor="text1"/>
          <w:sz w:val="16"/>
          <w:szCs w:val="16"/>
          <w:lang w:val="es-ES_tradnl"/>
        </w:rPr>
        <w:t xml:space="preserve"> (</w:t>
      </w:r>
      <w:r w:rsidRPr="004A2C33">
        <w:rPr>
          <w:rFonts w:asciiTheme="majorHAnsi" w:hAnsiTheme="majorHAnsi"/>
          <w:color w:val="000000" w:themeColor="text1"/>
          <w:sz w:val="16"/>
          <w:szCs w:val="16"/>
          <w:lang w:val="es-ES_tradnl"/>
        </w:rPr>
        <w:t>Jubilados de La Empresa Venezolana de Aviación VOASA</w:t>
      </w:r>
      <w:r>
        <w:rPr>
          <w:rFonts w:asciiTheme="majorHAnsi" w:hAnsiTheme="majorHAnsi"/>
          <w:color w:val="000000" w:themeColor="text1"/>
          <w:sz w:val="16"/>
          <w:szCs w:val="16"/>
          <w:lang w:val="es-ES_tradnl"/>
        </w:rPr>
        <w:t>).</w:t>
      </w:r>
      <w:r w:rsidRPr="004A2C33">
        <w:rPr>
          <w:rFonts w:asciiTheme="majorHAnsi" w:hAnsiTheme="majorHAnsi"/>
          <w:color w:val="000000" w:themeColor="text1"/>
          <w:sz w:val="16"/>
          <w:szCs w:val="16"/>
          <w:lang w:val="es-ES_tradnl"/>
        </w:rPr>
        <w:t xml:space="preserve"> Venezuela</w:t>
      </w:r>
      <w:r>
        <w:rPr>
          <w:rFonts w:asciiTheme="majorHAnsi" w:hAnsiTheme="majorHAnsi"/>
          <w:color w:val="000000" w:themeColor="text1"/>
          <w:sz w:val="16"/>
          <w:szCs w:val="16"/>
          <w:lang w:val="es-ES_tradnl"/>
        </w:rPr>
        <w:t>.</w:t>
      </w:r>
      <w:r w:rsidRPr="004A2C33">
        <w:rPr>
          <w:rFonts w:asciiTheme="majorHAnsi" w:hAnsiTheme="majorHAnsi"/>
          <w:color w:val="000000" w:themeColor="text1"/>
          <w:sz w:val="16"/>
          <w:szCs w:val="16"/>
          <w:lang w:val="es-ES_tradnl"/>
        </w:rPr>
        <w:t xml:space="preserve"> 13 de octubre de 200</w:t>
      </w:r>
      <w:r w:rsidRPr="00AB27AC">
        <w:rPr>
          <w:rFonts w:asciiTheme="majorHAnsi" w:hAnsiTheme="majorHAnsi"/>
          <w:color w:val="000000" w:themeColor="text1"/>
          <w:sz w:val="16"/>
          <w:szCs w:val="16"/>
          <w:lang w:val="es-ES_tradnl"/>
        </w:rPr>
        <w:t xml:space="preserve">4, </w:t>
      </w:r>
      <w:r>
        <w:rPr>
          <w:rFonts w:asciiTheme="majorHAnsi" w:hAnsiTheme="majorHAnsi"/>
          <w:color w:val="000000" w:themeColor="text1"/>
          <w:sz w:val="16"/>
          <w:szCs w:val="16"/>
          <w:lang w:val="es-ES_tradnl"/>
        </w:rPr>
        <w:t>párr.</w:t>
      </w:r>
      <w:r w:rsidRPr="00AB27AC">
        <w:rPr>
          <w:rFonts w:asciiTheme="majorHAnsi" w:hAnsiTheme="majorHAnsi"/>
          <w:color w:val="000000" w:themeColor="text1"/>
          <w:sz w:val="16"/>
          <w:szCs w:val="16"/>
          <w:lang w:val="es-ES_tradnl"/>
        </w:rPr>
        <w:t xml:space="preserve"> 52</w:t>
      </w:r>
      <w:r>
        <w:rPr>
          <w:rFonts w:asciiTheme="majorHAnsi" w:hAnsiTheme="majorHAnsi"/>
          <w:color w:val="000000" w:themeColor="text1"/>
          <w:sz w:val="16"/>
          <w:szCs w:val="16"/>
          <w:lang w:val="es-ES_tradnl"/>
        </w:rPr>
        <w:t>.</w:t>
      </w:r>
    </w:p>
  </w:footnote>
  <w:footnote w:id="9">
    <w:p w14:paraId="74A70614" w14:textId="13F5C250" w:rsidR="00A90694" w:rsidRPr="00AB27AC" w:rsidRDefault="00A90694" w:rsidP="006F4960">
      <w:pPr>
        <w:pStyle w:val="FootnoteText"/>
        <w:spacing w:after="40"/>
        <w:ind w:firstLine="720"/>
        <w:jc w:val="both"/>
        <w:rPr>
          <w:rFonts w:asciiTheme="majorHAnsi" w:hAnsiTheme="majorHAnsi"/>
          <w:color w:val="000000" w:themeColor="text1"/>
          <w:sz w:val="16"/>
          <w:szCs w:val="16"/>
          <w:lang w:val="es-AR"/>
        </w:rPr>
      </w:pPr>
      <w:r w:rsidRPr="00AB27AC">
        <w:rPr>
          <w:rStyle w:val="FootnoteReference"/>
          <w:rFonts w:asciiTheme="majorHAnsi" w:hAnsiTheme="majorHAnsi"/>
          <w:color w:val="000000" w:themeColor="text1"/>
          <w:sz w:val="16"/>
          <w:szCs w:val="16"/>
        </w:rPr>
        <w:footnoteRef/>
      </w:r>
      <w:r w:rsidRPr="00AB27AC">
        <w:rPr>
          <w:rFonts w:asciiTheme="majorHAnsi" w:hAnsiTheme="majorHAnsi"/>
          <w:color w:val="000000" w:themeColor="text1"/>
          <w:sz w:val="16"/>
          <w:szCs w:val="16"/>
          <w:lang w:val="es-AR"/>
        </w:rPr>
        <w:t xml:space="preserve"> Ver </w:t>
      </w:r>
      <w:r>
        <w:rPr>
          <w:rFonts w:asciiTheme="majorHAnsi" w:hAnsiTheme="majorHAnsi"/>
          <w:color w:val="000000" w:themeColor="text1"/>
          <w:sz w:val="16"/>
          <w:szCs w:val="16"/>
          <w:lang w:val="es-AR"/>
        </w:rPr>
        <w:t>en igual sentido:</w:t>
      </w:r>
      <w:r w:rsidRPr="00AB27AC">
        <w:rPr>
          <w:rFonts w:asciiTheme="majorHAnsi" w:hAnsiTheme="majorHAnsi"/>
          <w:color w:val="000000" w:themeColor="text1"/>
          <w:sz w:val="16"/>
          <w:szCs w:val="16"/>
          <w:lang w:val="es-AR"/>
        </w:rPr>
        <w:t xml:space="preserve"> CIDH, Informe No. 92/14, Petición 1196-03. Admisibilidad. Daniel Omar Camusso e hijo. Argen</w:t>
      </w:r>
      <w:r>
        <w:rPr>
          <w:rFonts w:asciiTheme="majorHAnsi" w:hAnsiTheme="majorHAnsi"/>
          <w:color w:val="000000" w:themeColor="text1"/>
          <w:sz w:val="16"/>
          <w:szCs w:val="16"/>
          <w:lang w:val="es-AR"/>
        </w:rPr>
        <w:t>tina. 4 de noviembre de 2014, pá</w:t>
      </w:r>
      <w:r w:rsidRPr="00AB27AC">
        <w:rPr>
          <w:rFonts w:asciiTheme="majorHAnsi" w:hAnsiTheme="majorHAnsi"/>
          <w:color w:val="000000" w:themeColor="text1"/>
          <w:sz w:val="16"/>
          <w:szCs w:val="16"/>
          <w:lang w:val="es-AR"/>
        </w:rPr>
        <w:t>r</w:t>
      </w:r>
      <w:r>
        <w:rPr>
          <w:rFonts w:asciiTheme="majorHAnsi" w:hAnsiTheme="majorHAnsi"/>
          <w:color w:val="000000" w:themeColor="text1"/>
          <w:sz w:val="16"/>
          <w:szCs w:val="16"/>
          <w:lang w:val="es-AR"/>
        </w:rPr>
        <w:t>r. 80; CIDH,</w:t>
      </w:r>
      <w:r w:rsidRPr="00AB27AC">
        <w:rPr>
          <w:rFonts w:asciiTheme="majorHAnsi" w:hAnsiTheme="majorHAnsi"/>
          <w:color w:val="000000" w:themeColor="text1"/>
          <w:sz w:val="16"/>
          <w:szCs w:val="16"/>
          <w:lang w:val="es-AR"/>
        </w:rPr>
        <w:t xml:space="preserve"> Informe </w:t>
      </w:r>
      <w:r>
        <w:rPr>
          <w:rFonts w:asciiTheme="majorHAnsi" w:hAnsiTheme="majorHAnsi"/>
          <w:color w:val="000000" w:themeColor="text1"/>
          <w:sz w:val="16"/>
          <w:szCs w:val="16"/>
          <w:lang w:val="es-AR"/>
        </w:rPr>
        <w:t xml:space="preserve">No. </w:t>
      </w:r>
      <w:r w:rsidRPr="00AB27AC">
        <w:rPr>
          <w:rFonts w:asciiTheme="majorHAnsi" w:hAnsiTheme="majorHAnsi"/>
          <w:color w:val="000000" w:themeColor="text1"/>
          <w:sz w:val="16"/>
          <w:szCs w:val="16"/>
          <w:lang w:val="es-AR"/>
        </w:rPr>
        <w:t xml:space="preserve">8/10. Caso 12.374. Admisibilidad. Jorge Enrique Patiño Palacios y otros. </w:t>
      </w:r>
      <w:r>
        <w:rPr>
          <w:rFonts w:asciiTheme="majorHAnsi" w:hAnsiTheme="majorHAnsi"/>
          <w:color w:val="000000" w:themeColor="text1"/>
          <w:sz w:val="16"/>
          <w:szCs w:val="16"/>
          <w:lang w:val="es-AR"/>
        </w:rPr>
        <w:t>Paraguay. 16 de marzo de 2010, p</w:t>
      </w:r>
      <w:r w:rsidRPr="00AB27AC">
        <w:rPr>
          <w:rFonts w:asciiTheme="majorHAnsi" w:hAnsiTheme="majorHAnsi"/>
          <w:color w:val="000000" w:themeColor="text1"/>
          <w:sz w:val="16"/>
          <w:szCs w:val="16"/>
          <w:lang w:val="es-AR"/>
        </w:rPr>
        <w:t xml:space="preserve">árr. 31; CIDH. Informe </w:t>
      </w:r>
      <w:r>
        <w:rPr>
          <w:rFonts w:asciiTheme="majorHAnsi" w:hAnsiTheme="majorHAnsi"/>
          <w:color w:val="000000" w:themeColor="text1"/>
          <w:sz w:val="16"/>
          <w:szCs w:val="16"/>
          <w:lang w:val="es-AR"/>
        </w:rPr>
        <w:t xml:space="preserve">No. </w:t>
      </w:r>
      <w:r w:rsidRPr="00AB27AC">
        <w:rPr>
          <w:rFonts w:asciiTheme="majorHAnsi" w:hAnsiTheme="majorHAnsi"/>
          <w:color w:val="000000" w:themeColor="text1"/>
          <w:sz w:val="16"/>
          <w:szCs w:val="16"/>
          <w:lang w:val="es-AR"/>
        </w:rPr>
        <w:t>20/05. Petición 716</w:t>
      </w:r>
      <w:r>
        <w:rPr>
          <w:rFonts w:asciiTheme="majorHAnsi" w:hAnsiTheme="majorHAnsi"/>
          <w:color w:val="000000" w:themeColor="text1"/>
          <w:sz w:val="16"/>
          <w:szCs w:val="16"/>
          <w:lang w:val="es-AR"/>
        </w:rPr>
        <w:t>-</w:t>
      </w:r>
      <w:r w:rsidRPr="00AB27AC">
        <w:rPr>
          <w:rFonts w:asciiTheme="majorHAnsi" w:hAnsiTheme="majorHAnsi"/>
          <w:color w:val="000000" w:themeColor="text1"/>
          <w:sz w:val="16"/>
          <w:szCs w:val="16"/>
          <w:lang w:val="es-AR"/>
        </w:rPr>
        <w:t xml:space="preserve">00. Admisibilidad. Rafael Correa Díaz. </w:t>
      </w:r>
      <w:r w:rsidRPr="00AB27AC">
        <w:rPr>
          <w:rFonts w:asciiTheme="majorHAnsi" w:hAnsiTheme="majorHAnsi"/>
          <w:color w:val="000000" w:themeColor="text1"/>
          <w:sz w:val="16"/>
          <w:szCs w:val="16"/>
          <w:lang w:val="es-ES_tradnl"/>
        </w:rPr>
        <w:t>Perú. 25 de febrero de 2005</w:t>
      </w:r>
      <w:r>
        <w:rPr>
          <w:rFonts w:asciiTheme="majorHAnsi" w:hAnsiTheme="majorHAnsi"/>
          <w:color w:val="000000" w:themeColor="text1"/>
          <w:sz w:val="16"/>
          <w:szCs w:val="16"/>
          <w:lang w:val="es-ES_tradnl"/>
        </w:rPr>
        <w:t xml:space="preserve">, </w:t>
      </w:r>
      <w:r w:rsidR="00CF64A2">
        <w:rPr>
          <w:rFonts w:asciiTheme="majorHAnsi" w:hAnsiTheme="majorHAnsi"/>
          <w:color w:val="000000" w:themeColor="text1"/>
          <w:sz w:val="16"/>
          <w:szCs w:val="16"/>
          <w:lang w:val="es-ES_tradnl"/>
        </w:rPr>
        <w:br/>
      </w:r>
      <w:r>
        <w:rPr>
          <w:rFonts w:asciiTheme="majorHAnsi" w:hAnsiTheme="majorHAnsi"/>
          <w:color w:val="000000" w:themeColor="text1"/>
          <w:sz w:val="16"/>
          <w:szCs w:val="16"/>
          <w:lang w:val="es-ES_tradnl"/>
        </w:rPr>
        <w:t>p</w:t>
      </w:r>
      <w:r w:rsidRPr="00AB27AC">
        <w:rPr>
          <w:rFonts w:asciiTheme="majorHAnsi" w:hAnsiTheme="majorHAnsi"/>
          <w:color w:val="000000" w:themeColor="text1"/>
          <w:sz w:val="16"/>
          <w:szCs w:val="16"/>
          <w:lang w:val="es-ES_tradnl"/>
        </w:rPr>
        <w:t>árr.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A2D2A" w14:textId="508D95B5" w:rsidR="00A90694" w:rsidRDefault="00A90694" w:rsidP="005359C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FA3A642" w14:textId="77777777" w:rsidR="00A90694" w:rsidRDefault="00A906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98C6" w14:textId="62B51CD7" w:rsidR="00A90694" w:rsidRDefault="00A90694" w:rsidP="00A50FCF">
    <w:pPr>
      <w:pStyle w:val="Header"/>
      <w:tabs>
        <w:tab w:val="clear" w:pos="4320"/>
        <w:tab w:val="clear" w:pos="8640"/>
      </w:tabs>
      <w:jc w:val="center"/>
      <w:rPr>
        <w:sz w:val="22"/>
        <w:szCs w:val="22"/>
      </w:rPr>
    </w:pPr>
    <w:r>
      <w:rPr>
        <w:noProof/>
        <w:sz w:val="22"/>
        <w:szCs w:val="22"/>
        <w:lang w:val="en-US"/>
      </w:rPr>
      <w:drawing>
        <wp:inline distT="0" distB="0" distL="0" distR="0" wp14:anchorId="2CA4C80A" wp14:editId="489AE1B4">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F8B90A9" w14:textId="77777777" w:rsidR="00A90694" w:rsidRPr="00EC7D62" w:rsidRDefault="004D5C50" w:rsidP="00A50FCF">
    <w:pPr>
      <w:pStyle w:val="Header"/>
      <w:tabs>
        <w:tab w:val="clear" w:pos="4320"/>
        <w:tab w:val="clear" w:pos="8640"/>
      </w:tabs>
      <w:jc w:val="center"/>
      <w:rPr>
        <w:sz w:val="22"/>
        <w:szCs w:val="22"/>
      </w:rPr>
    </w:pPr>
    <w:r>
      <w:rPr>
        <w:sz w:val="22"/>
        <w:szCs w:val="22"/>
      </w:rPr>
      <w:pict w14:anchorId="78D1877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7B10F" w14:textId="06464339" w:rsidR="00A90694" w:rsidRDefault="00A906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3F306" w14:textId="46510EF0" w:rsidR="00A90694" w:rsidRDefault="00A90694" w:rsidP="005359C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35F1FAB" w14:textId="77777777" w:rsidR="00A90694" w:rsidRDefault="00A906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764B5" w14:textId="2EB6E6A7" w:rsidR="00A90694" w:rsidRDefault="00A906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FDE6" w14:textId="59204702" w:rsidR="00A90694" w:rsidRDefault="00A906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8EA36B3"/>
    <w:multiLevelType w:val="hybridMultilevel"/>
    <w:tmpl w:val="BFF0EC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91280B"/>
    <w:multiLevelType w:val="hybridMultilevel"/>
    <w:tmpl w:val="406CE7B0"/>
    <w:lvl w:ilvl="0" w:tplc="E8300530">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D7A4017"/>
    <w:multiLevelType w:val="hybridMultilevel"/>
    <w:tmpl w:val="9AC87E24"/>
    <w:lvl w:ilvl="0" w:tplc="9ACAC364">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0F1248EA"/>
    <w:multiLevelType w:val="hybridMultilevel"/>
    <w:tmpl w:val="43BCE0D8"/>
    <w:lvl w:ilvl="0" w:tplc="3B5CAF58">
      <w:start w:val="1"/>
      <w:numFmt w:val="upperLetter"/>
      <w:lvlText w:val="%1."/>
      <w:lvlJc w:val="left"/>
      <w:pPr>
        <w:tabs>
          <w:tab w:val="num" w:pos="1080"/>
        </w:tabs>
        <w:ind w:left="1080" w:hanging="720"/>
      </w:pPr>
      <w:rPr>
        <w:rFonts w:asciiTheme="majorHAnsi" w:hAnsiTheme="majorHAnsi"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37E6ED1"/>
    <w:multiLevelType w:val="hybridMultilevel"/>
    <w:tmpl w:val="4FEED1E6"/>
    <w:lvl w:ilvl="0" w:tplc="02363CC8">
      <w:start w:val="1"/>
      <w:numFmt w:val="decimal"/>
      <w:lvlText w:val="%1."/>
      <w:lvlJc w:val="left"/>
      <w:pPr>
        <w:tabs>
          <w:tab w:val="num" w:pos="720"/>
        </w:tabs>
        <w:ind w:left="0" w:firstLine="720"/>
      </w:pPr>
      <w:rPr>
        <w:rFonts w:ascii="Calibri" w:hAnsi="Calibri" w:cs="Calibri" w:hint="default"/>
        <w:b w:val="0"/>
        <w:color w:val="auto"/>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7F96B3A"/>
    <w:multiLevelType w:val="hybridMultilevel"/>
    <w:tmpl w:val="205E0AE8"/>
    <w:lvl w:ilvl="0" w:tplc="E972394A">
      <w:start w:val="1"/>
      <w:numFmt w:val="upperLetter"/>
      <w:pStyle w:val="Heading2"/>
      <w:lvlText w:val="%1."/>
      <w:lvlJc w:val="left"/>
      <w:pPr>
        <w:tabs>
          <w:tab w:val="num" w:pos="1080"/>
        </w:tabs>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F10C7E"/>
    <w:multiLevelType w:val="hybridMultilevel"/>
    <w:tmpl w:val="17E8656A"/>
    <w:lvl w:ilvl="0" w:tplc="5D4802A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4">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5947F1F"/>
    <w:multiLevelType w:val="hybridMultilevel"/>
    <w:tmpl w:val="1D7EC968"/>
    <w:lvl w:ilvl="0" w:tplc="FFBA31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B74B58"/>
    <w:multiLevelType w:val="hybridMultilevel"/>
    <w:tmpl w:val="4C0CC49A"/>
    <w:lvl w:ilvl="0" w:tplc="0DF85124">
      <w:start w:val="1"/>
      <w:numFmt w:val="decimal"/>
      <w:lvlText w:val="%1."/>
      <w:lvlJc w:val="left"/>
      <w:pPr>
        <w:tabs>
          <w:tab w:val="num" w:pos="2160"/>
        </w:tabs>
        <w:ind w:left="2160" w:hanging="1440"/>
      </w:pPr>
      <w:rPr>
        <w:rFonts w:hint="default"/>
      </w:rPr>
    </w:lvl>
    <w:lvl w:ilvl="1" w:tplc="2B50058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4CE1E49"/>
    <w:multiLevelType w:val="hybridMultilevel"/>
    <w:tmpl w:val="C764D9FC"/>
    <w:lvl w:ilvl="0" w:tplc="F94EEC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5BFE6718"/>
    <w:multiLevelType w:val="hybridMultilevel"/>
    <w:tmpl w:val="D85A70D4"/>
    <w:lvl w:ilvl="0" w:tplc="C84EFCFC">
      <w:start w:val="1"/>
      <w:numFmt w:val="decimal"/>
      <w:lvlText w:val="%1."/>
      <w:lvlJc w:val="left"/>
      <w:pPr>
        <w:tabs>
          <w:tab w:val="num" w:pos="720"/>
        </w:tabs>
        <w:ind w:left="720" w:hanging="360"/>
      </w:pPr>
      <w:rPr>
        <w:rFonts w:hint="default"/>
      </w:rPr>
    </w:lvl>
    <w:lvl w:ilvl="1" w:tplc="5EC417BC">
      <w:start w:val="1"/>
      <w:numFmt w:val="upperLetter"/>
      <w:lvlText w:val="%2."/>
      <w:lvlJc w:val="left"/>
      <w:pPr>
        <w:ind w:left="1788" w:hanging="708"/>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5E147F60"/>
    <w:multiLevelType w:val="hybridMultilevel"/>
    <w:tmpl w:val="836A2148"/>
    <w:lvl w:ilvl="0" w:tplc="4014CC18">
      <w:start w:val="1"/>
      <w:numFmt w:val="decimal"/>
      <w:lvlText w:val="%1."/>
      <w:lvlJc w:val="left"/>
      <w:pPr>
        <w:tabs>
          <w:tab w:val="num" w:pos="2160"/>
        </w:tabs>
        <w:ind w:left="1368" w:hanging="648"/>
      </w:pPr>
      <w:rPr>
        <w:rFonts w:hint="default"/>
        <w:sz w:val="20"/>
        <w:szCs w:val="20"/>
      </w:rPr>
    </w:lvl>
    <w:lvl w:ilvl="1" w:tplc="2B50058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nsid w:val="6C9979FE"/>
    <w:multiLevelType w:val="hybridMultilevel"/>
    <w:tmpl w:val="5EB6DE18"/>
    <w:lvl w:ilvl="0" w:tplc="DE309AA6">
      <w:start w:val="1"/>
      <w:numFmt w:val="decimal"/>
      <w:lvlText w:val="%1."/>
      <w:lvlJc w:val="left"/>
      <w:pPr>
        <w:tabs>
          <w:tab w:val="num" w:pos="720"/>
        </w:tabs>
        <w:ind w:firstLine="720"/>
      </w:pPr>
      <w:rPr>
        <w:rFonts w:ascii="Cambria" w:hAnsi="Cambria" w:cs="Times New Roman" w:hint="default"/>
        <w:b w:val="0"/>
      </w:rPr>
    </w:lvl>
    <w:lvl w:ilvl="1" w:tplc="AA80750E">
      <w:start w:val="2"/>
      <w:numFmt w:val="upp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6"/>
  </w:num>
  <w:num w:numId="2">
    <w:abstractNumId w:val="8"/>
  </w:num>
  <w:num w:numId="3">
    <w:abstractNumId w:val="61"/>
  </w:num>
  <w:num w:numId="4">
    <w:abstractNumId w:val="26"/>
  </w:num>
  <w:num w:numId="5">
    <w:abstractNumId w:val="54"/>
  </w:num>
  <w:num w:numId="6">
    <w:abstractNumId w:val="31"/>
  </w:num>
  <w:num w:numId="7">
    <w:abstractNumId w:val="12"/>
  </w:num>
  <w:num w:numId="8">
    <w:abstractNumId w:val="22"/>
  </w:num>
  <w:num w:numId="9">
    <w:abstractNumId w:val="47"/>
  </w:num>
  <w:num w:numId="10">
    <w:abstractNumId w:val="0"/>
  </w:num>
  <w:num w:numId="11">
    <w:abstractNumId w:val="42"/>
  </w:num>
  <w:num w:numId="12">
    <w:abstractNumId w:val="43"/>
  </w:num>
  <w:num w:numId="13">
    <w:abstractNumId w:val="49"/>
  </w:num>
  <w:num w:numId="14">
    <w:abstractNumId w:val="1"/>
  </w:num>
  <w:num w:numId="15">
    <w:abstractNumId w:val="4"/>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3"/>
  </w:num>
  <w:num w:numId="26">
    <w:abstractNumId w:val="24"/>
  </w:num>
  <w:num w:numId="27">
    <w:abstractNumId w:val="27"/>
  </w:num>
  <w:num w:numId="28">
    <w:abstractNumId w:val="28"/>
  </w:num>
  <w:num w:numId="29">
    <w:abstractNumId w:val="29"/>
  </w:num>
  <w:num w:numId="30">
    <w:abstractNumId w:val="30"/>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40"/>
  </w:num>
  <w:num w:numId="38">
    <w:abstractNumId w:val="41"/>
  </w:num>
  <w:num w:numId="39">
    <w:abstractNumId w:val="44"/>
  </w:num>
  <w:num w:numId="40">
    <w:abstractNumId w:val="45"/>
  </w:num>
  <w:num w:numId="41">
    <w:abstractNumId w:val="53"/>
  </w:num>
  <w:num w:numId="42">
    <w:abstractNumId w:val="55"/>
  </w:num>
  <w:num w:numId="43">
    <w:abstractNumId w:val="57"/>
  </w:num>
  <w:num w:numId="44">
    <w:abstractNumId w:val="59"/>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5"/>
  </w:num>
  <w:num w:numId="52">
    <w:abstractNumId w:val="46"/>
  </w:num>
  <w:num w:numId="53">
    <w:abstractNumId w:val="58"/>
  </w:num>
  <w:num w:numId="54">
    <w:abstractNumId w:val="50"/>
  </w:num>
  <w:num w:numId="55">
    <w:abstractNumId w:val="3"/>
  </w:num>
  <w:num w:numId="56">
    <w:abstractNumId w:val="52"/>
  </w:num>
  <w:num w:numId="57">
    <w:abstractNumId w:val="11"/>
  </w:num>
  <w:num w:numId="58">
    <w:abstractNumId w:val="10"/>
  </w:num>
  <w:num w:numId="59">
    <w:abstractNumId w:val="7"/>
  </w:num>
  <w:num w:numId="60">
    <w:abstractNumId w:val="48"/>
  </w:num>
  <w:num w:numId="61">
    <w:abstractNumId w:val="38"/>
  </w:num>
  <w:num w:numId="62">
    <w:abstractNumId w:val="56"/>
  </w:num>
  <w:num w:numId="63">
    <w:abstractNumId w:val="5"/>
  </w:num>
  <w:num w:numId="64">
    <w:abstractNumId w:val="9"/>
  </w:num>
  <w:num w:numId="65">
    <w:abstractNumId w:val="2"/>
  </w:num>
  <w:num w:numId="66">
    <w:abstractNumId w:val="51"/>
  </w:num>
  <w:num w:numId="67">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1C0"/>
    <w:rsid w:val="00006628"/>
    <w:rsid w:val="00006E1F"/>
    <w:rsid w:val="000070D7"/>
    <w:rsid w:val="00007E5A"/>
    <w:rsid w:val="000115A5"/>
    <w:rsid w:val="00013204"/>
    <w:rsid w:val="00013B8A"/>
    <w:rsid w:val="000142E9"/>
    <w:rsid w:val="000176D9"/>
    <w:rsid w:val="000177D5"/>
    <w:rsid w:val="0001788C"/>
    <w:rsid w:val="00023D2E"/>
    <w:rsid w:val="00025B6F"/>
    <w:rsid w:val="00025DCD"/>
    <w:rsid w:val="0003078E"/>
    <w:rsid w:val="00031852"/>
    <w:rsid w:val="00031CCC"/>
    <w:rsid w:val="00031EE9"/>
    <w:rsid w:val="000338F1"/>
    <w:rsid w:val="00035009"/>
    <w:rsid w:val="000350C5"/>
    <w:rsid w:val="00036914"/>
    <w:rsid w:val="00040AD5"/>
    <w:rsid w:val="00040C3A"/>
    <w:rsid w:val="000431F5"/>
    <w:rsid w:val="00045740"/>
    <w:rsid w:val="00051DA5"/>
    <w:rsid w:val="00052AED"/>
    <w:rsid w:val="00052EBE"/>
    <w:rsid w:val="00056928"/>
    <w:rsid w:val="0006015A"/>
    <w:rsid w:val="00060F75"/>
    <w:rsid w:val="000626B7"/>
    <w:rsid w:val="00063CE9"/>
    <w:rsid w:val="00070275"/>
    <w:rsid w:val="000716C5"/>
    <w:rsid w:val="0007344B"/>
    <w:rsid w:val="00074647"/>
    <w:rsid w:val="00075E23"/>
    <w:rsid w:val="00075E3E"/>
    <w:rsid w:val="00076BDC"/>
    <w:rsid w:val="000771AF"/>
    <w:rsid w:val="00077CA0"/>
    <w:rsid w:val="00083E7B"/>
    <w:rsid w:val="0008674E"/>
    <w:rsid w:val="00090D45"/>
    <w:rsid w:val="0009340A"/>
    <w:rsid w:val="0009344A"/>
    <w:rsid w:val="0009469A"/>
    <w:rsid w:val="0009535A"/>
    <w:rsid w:val="00097BEE"/>
    <w:rsid w:val="000A392E"/>
    <w:rsid w:val="000A449B"/>
    <w:rsid w:val="000A4E03"/>
    <w:rsid w:val="000A5103"/>
    <w:rsid w:val="000A575F"/>
    <w:rsid w:val="000A59F1"/>
    <w:rsid w:val="000A6870"/>
    <w:rsid w:val="000B0816"/>
    <w:rsid w:val="000B0CEE"/>
    <w:rsid w:val="000B2408"/>
    <w:rsid w:val="000B6D15"/>
    <w:rsid w:val="000B6EE9"/>
    <w:rsid w:val="000C0879"/>
    <w:rsid w:val="000C0CFE"/>
    <w:rsid w:val="000C1074"/>
    <w:rsid w:val="000C76B0"/>
    <w:rsid w:val="000D10DB"/>
    <w:rsid w:val="000D7A69"/>
    <w:rsid w:val="000E02AD"/>
    <w:rsid w:val="000E28DF"/>
    <w:rsid w:val="000E5EB5"/>
    <w:rsid w:val="000E71F8"/>
    <w:rsid w:val="000E7CD1"/>
    <w:rsid w:val="000F1E12"/>
    <w:rsid w:val="000F35ED"/>
    <w:rsid w:val="000F69B8"/>
    <w:rsid w:val="00100551"/>
    <w:rsid w:val="001007BA"/>
    <w:rsid w:val="00104256"/>
    <w:rsid w:val="001047E8"/>
    <w:rsid w:val="001053EE"/>
    <w:rsid w:val="00105B9F"/>
    <w:rsid w:val="00107131"/>
    <w:rsid w:val="0010736F"/>
    <w:rsid w:val="00111819"/>
    <w:rsid w:val="00111945"/>
    <w:rsid w:val="00112FCF"/>
    <w:rsid w:val="00113F73"/>
    <w:rsid w:val="00121CC2"/>
    <w:rsid w:val="00123ACD"/>
    <w:rsid w:val="0012603E"/>
    <w:rsid w:val="00133919"/>
    <w:rsid w:val="00133EE5"/>
    <w:rsid w:val="0013511C"/>
    <w:rsid w:val="0013539F"/>
    <w:rsid w:val="001405D2"/>
    <w:rsid w:val="00141953"/>
    <w:rsid w:val="00150C3F"/>
    <w:rsid w:val="00151542"/>
    <w:rsid w:val="00153FBE"/>
    <w:rsid w:val="0015483C"/>
    <w:rsid w:val="001612E5"/>
    <w:rsid w:val="00162B32"/>
    <w:rsid w:val="00163D76"/>
    <w:rsid w:val="001667B7"/>
    <w:rsid w:val="00167A34"/>
    <w:rsid w:val="00173E3A"/>
    <w:rsid w:val="00174177"/>
    <w:rsid w:val="00175771"/>
    <w:rsid w:val="00176279"/>
    <w:rsid w:val="00177B37"/>
    <w:rsid w:val="00177F90"/>
    <w:rsid w:val="00180602"/>
    <w:rsid w:val="001837B5"/>
    <w:rsid w:val="0019254B"/>
    <w:rsid w:val="00197019"/>
    <w:rsid w:val="001A2912"/>
    <w:rsid w:val="001A29D6"/>
    <w:rsid w:val="001A3707"/>
    <w:rsid w:val="001A38FE"/>
    <w:rsid w:val="001A4CF2"/>
    <w:rsid w:val="001A5F3D"/>
    <w:rsid w:val="001A7870"/>
    <w:rsid w:val="001B06F6"/>
    <w:rsid w:val="001B1429"/>
    <w:rsid w:val="001B6379"/>
    <w:rsid w:val="001C103C"/>
    <w:rsid w:val="001C159B"/>
    <w:rsid w:val="001C1B41"/>
    <w:rsid w:val="001C49A6"/>
    <w:rsid w:val="001C6FAF"/>
    <w:rsid w:val="001C7308"/>
    <w:rsid w:val="001D0F0B"/>
    <w:rsid w:val="001D2754"/>
    <w:rsid w:val="001D491D"/>
    <w:rsid w:val="001D5BA0"/>
    <w:rsid w:val="001D65EF"/>
    <w:rsid w:val="001E145C"/>
    <w:rsid w:val="001E16BE"/>
    <w:rsid w:val="001E24AE"/>
    <w:rsid w:val="001E5676"/>
    <w:rsid w:val="001E5A74"/>
    <w:rsid w:val="001F0393"/>
    <w:rsid w:val="001F0F6B"/>
    <w:rsid w:val="001F1D73"/>
    <w:rsid w:val="001F57B7"/>
    <w:rsid w:val="00200184"/>
    <w:rsid w:val="002012C3"/>
    <w:rsid w:val="00206808"/>
    <w:rsid w:val="002120B2"/>
    <w:rsid w:val="0022225C"/>
    <w:rsid w:val="002250A3"/>
    <w:rsid w:val="002271FB"/>
    <w:rsid w:val="00227FC8"/>
    <w:rsid w:val="0023000B"/>
    <w:rsid w:val="00234444"/>
    <w:rsid w:val="002351F5"/>
    <w:rsid w:val="00235217"/>
    <w:rsid w:val="002461A6"/>
    <w:rsid w:val="002465C7"/>
    <w:rsid w:val="00246D1F"/>
    <w:rsid w:val="00247403"/>
    <w:rsid w:val="00247542"/>
    <w:rsid w:val="00253AB4"/>
    <w:rsid w:val="00257786"/>
    <w:rsid w:val="002615AF"/>
    <w:rsid w:val="00262846"/>
    <w:rsid w:val="00262EFD"/>
    <w:rsid w:val="00263183"/>
    <w:rsid w:val="002635F6"/>
    <w:rsid w:val="00264345"/>
    <w:rsid w:val="00266B61"/>
    <w:rsid w:val="0026712A"/>
    <w:rsid w:val="002704DB"/>
    <w:rsid w:val="00276318"/>
    <w:rsid w:val="0027673C"/>
    <w:rsid w:val="0028019E"/>
    <w:rsid w:val="00284475"/>
    <w:rsid w:val="00285735"/>
    <w:rsid w:val="002873BC"/>
    <w:rsid w:val="00291815"/>
    <w:rsid w:val="00295B7D"/>
    <w:rsid w:val="00296547"/>
    <w:rsid w:val="0029755A"/>
    <w:rsid w:val="002A0AAE"/>
    <w:rsid w:val="002A27C0"/>
    <w:rsid w:val="002A41AA"/>
    <w:rsid w:val="002A57F8"/>
    <w:rsid w:val="002A5820"/>
    <w:rsid w:val="002A5F01"/>
    <w:rsid w:val="002A7397"/>
    <w:rsid w:val="002A78D0"/>
    <w:rsid w:val="002A79F1"/>
    <w:rsid w:val="002A7A83"/>
    <w:rsid w:val="002B18C2"/>
    <w:rsid w:val="002B7823"/>
    <w:rsid w:val="002C07D2"/>
    <w:rsid w:val="002C3A6D"/>
    <w:rsid w:val="002C525C"/>
    <w:rsid w:val="002C6FD0"/>
    <w:rsid w:val="002D2A4C"/>
    <w:rsid w:val="002D2B26"/>
    <w:rsid w:val="002D36AA"/>
    <w:rsid w:val="002D3A4E"/>
    <w:rsid w:val="002D78DD"/>
    <w:rsid w:val="002D7EA2"/>
    <w:rsid w:val="002E10BF"/>
    <w:rsid w:val="002E187C"/>
    <w:rsid w:val="002E420F"/>
    <w:rsid w:val="002E631B"/>
    <w:rsid w:val="002E6C57"/>
    <w:rsid w:val="002E7284"/>
    <w:rsid w:val="002F73C5"/>
    <w:rsid w:val="002F755E"/>
    <w:rsid w:val="00300CC7"/>
    <w:rsid w:val="00302733"/>
    <w:rsid w:val="00306BCB"/>
    <w:rsid w:val="003103D5"/>
    <w:rsid w:val="00313A7E"/>
    <w:rsid w:val="00314078"/>
    <w:rsid w:val="0031535D"/>
    <w:rsid w:val="003155F1"/>
    <w:rsid w:val="00315F0B"/>
    <w:rsid w:val="003178A1"/>
    <w:rsid w:val="00324F98"/>
    <w:rsid w:val="00326DF3"/>
    <w:rsid w:val="0033169F"/>
    <w:rsid w:val="0033300C"/>
    <w:rsid w:val="00333918"/>
    <w:rsid w:val="00336B41"/>
    <w:rsid w:val="00346C95"/>
    <w:rsid w:val="00356185"/>
    <w:rsid w:val="003566CE"/>
    <w:rsid w:val="00357FF9"/>
    <w:rsid w:val="00360380"/>
    <w:rsid w:val="003611A2"/>
    <w:rsid w:val="00372D75"/>
    <w:rsid w:val="0037519E"/>
    <w:rsid w:val="00377056"/>
    <w:rsid w:val="00383592"/>
    <w:rsid w:val="00385931"/>
    <w:rsid w:val="00385C38"/>
    <w:rsid w:val="0038600A"/>
    <w:rsid w:val="003869EB"/>
    <w:rsid w:val="00386CF0"/>
    <w:rsid w:val="00392C43"/>
    <w:rsid w:val="00393637"/>
    <w:rsid w:val="003975AC"/>
    <w:rsid w:val="00397B0D"/>
    <w:rsid w:val="003A25FA"/>
    <w:rsid w:val="003A2BEF"/>
    <w:rsid w:val="003A3FA3"/>
    <w:rsid w:val="003A466A"/>
    <w:rsid w:val="003A58A1"/>
    <w:rsid w:val="003B3687"/>
    <w:rsid w:val="003B39AA"/>
    <w:rsid w:val="003B5A34"/>
    <w:rsid w:val="003B5EDB"/>
    <w:rsid w:val="003C04F7"/>
    <w:rsid w:val="003C1C8B"/>
    <w:rsid w:val="003C5B8D"/>
    <w:rsid w:val="003C6620"/>
    <w:rsid w:val="003C676B"/>
    <w:rsid w:val="003C76C5"/>
    <w:rsid w:val="003D3BC2"/>
    <w:rsid w:val="003D4D24"/>
    <w:rsid w:val="003D6E26"/>
    <w:rsid w:val="003D70D1"/>
    <w:rsid w:val="003E1F97"/>
    <w:rsid w:val="003E6CA1"/>
    <w:rsid w:val="003E775C"/>
    <w:rsid w:val="003F06E0"/>
    <w:rsid w:val="003F6480"/>
    <w:rsid w:val="004002BC"/>
    <w:rsid w:val="0040462A"/>
    <w:rsid w:val="004075BF"/>
    <w:rsid w:val="004122FE"/>
    <w:rsid w:val="004141C0"/>
    <w:rsid w:val="004147DF"/>
    <w:rsid w:val="00416344"/>
    <w:rsid w:val="004165C2"/>
    <w:rsid w:val="00422FDD"/>
    <w:rsid w:val="00423103"/>
    <w:rsid w:val="00426C27"/>
    <w:rsid w:val="00430455"/>
    <w:rsid w:val="00434427"/>
    <w:rsid w:val="00434A00"/>
    <w:rsid w:val="00436C78"/>
    <w:rsid w:val="00441ECB"/>
    <w:rsid w:val="00443F03"/>
    <w:rsid w:val="00451194"/>
    <w:rsid w:val="0045329C"/>
    <w:rsid w:val="00453AB5"/>
    <w:rsid w:val="00453BE7"/>
    <w:rsid w:val="0045672C"/>
    <w:rsid w:val="00457545"/>
    <w:rsid w:val="004614AF"/>
    <w:rsid w:val="004632DB"/>
    <w:rsid w:val="004633C2"/>
    <w:rsid w:val="00464195"/>
    <w:rsid w:val="0046529D"/>
    <w:rsid w:val="0046648D"/>
    <w:rsid w:val="00467836"/>
    <w:rsid w:val="00467B7E"/>
    <w:rsid w:val="00467D30"/>
    <w:rsid w:val="00473945"/>
    <w:rsid w:val="00477592"/>
    <w:rsid w:val="00477D1F"/>
    <w:rsid w:val="00480F44"/>
    <w:rsid w:val="00481F61"/>
    <w:rsid w:val="004842D1"/>
    <w:rsid w:val="00485CE3"/>
    <w:rsid w:val="0048682E"/>
    <w:rsid w:val="00486F1C"/>
    <w:rsid w:val="0049419D"/>
    <w:rsid w:val="00495EE2"/>
    <w:rsid w:val="00497280"/>
    <w:rsid w:val="004A0C38"/>
    <w:rsid w:val="004A1B2B"/>
    <w:rsid w:val="004A2C33"/>
    <w:rsid w:val="004A36FC"/>
    <w:rsid w:val="004A6A08"/>
    <w:rsid w:val="004A7603"/>
    <w:rsid w:val="004B117B"/>
    <w:rsid w:val="004B1672"/>
    <w:rsid w:val="004C20D2"/>
    <w:rsid w:val="004C2497"/>
    <w:rsid w:val="004C4B62"/>
    <w:rsid w:val="004C54C9"/>
    <w:rsid w:val="004C7A69"/>
    <w:rsid w:val="004D05E0"/>
    <w:rsid w:val="004D1504"/>
    <w:rsid w:val="004D221B"/>
    <w:rsid w:val="004D3BEC"/>
    <w:rsid w:val="004D5388"/>
    <w:rsid w:val="004D5C50"/>
    <w:rsid w:val="004D6025"/>
    <w:rsid w:val="004D7934"/>
    <w:rsid w:val="004D7C05"/>
    <w:rsid w:val="004E0A07"/>
    <w:rsid w:val="004E2649"/>
    <w:rsid w:val="004E37F2"/>
    <w:rsid w:val="004E49C9"/>
    <w:rsid w:val="004E5A50"/>
    <w:rsid w:val="004F0381"/>
    <w:rsid w:val="004F1EF2"/>
    <w:rsid w:val="004F60DD"/>
    <w:rsid w:val="00501399"/>
    <w:rsid w:val="0050542F"/>
    <w:rsid w:val="00506111"/>
    <w:rsid w:val="0050633D"/>
    <w:rsid w:val="00507BC4"/>
    <w:rsid w:val="005107E2"/>
    <w:rsid w:val="005128E4"/>
    <w:rsid w:val="005133DB"/>
    <w:rsid w:val="005165F8"/>
    <w:rsid w:val="00525560"/>
    <w:rsid w:val="00525EDA"/>
    <w:rsid w:val="0052697B"/>
    <w:rsid w:val="00526BE3"/>
    <w:rsid w:val="005278D7"/>
    <w:rsid w:val="005359C7"/>
    <w:rsid w:val="00537A9C"/>
    <w:rsid w:val="005427CD"/>
    <w:rsid w:val="00544C49"/>
    <w:rsid w:val="00545C7A"/>
    <w:rsid w:val="005507E2"/>
    <w:rsid w:val="005516A1"/>
    <w:rsid w:val="0055207A"/>
    <w:rsid w:val="00554F53"/>
    <w:rsid w:val="00555042"/>
    <w:rsid w:val="005566C1"/>
    <w:rsid w:val="00562D17"/>
    <w:rsid w:val="005664E6"/>
    <w:rsid w:val="00570071"/>
    <w:rsid w:val="00570935"/>
    <w:rsid w:val="0057128C"/>
    <w:rsid w:val="00572409"/>
    <w:rsid w:val="00572F43"/>
    <w:rsid w:val="0057402A"/>
    <w:rsid w:val="005771D0"/>
    <w:rsid w:val="005773FE"/>
    <w:rsid w:val="00580423"/>
    <w:rsid w:val="00581E2E"/>
    <w:rsid w:val="00582858"/>
    <w:rsid w:val="00583979"/>
    <w:rsid w:val="005854B0"/>
    <w:rsid w:val="0059191A"/>
    <w:rsid w:val="005921FF"/>
    <w:rsid w:val="00593A3E"/>
    <w:rsid w:val="00593F78"/>
    <w:rsid w:val="00595E8C"/>
    <w:rsid w:val="005A1B25"/>
    <w:rsid w:val="005A5FF0"/>
    <w:rsid w:val="005A6D0E"/>
    <w:rsid w:val="005B14EC"/>
    <w:rsid w:val="005B293A"/>
    <w:rsid w:val="005B5040"/>
    <w:rsid w:val="005B52B0"/>
    <w:rsid w:val="005B65CF"/>
    <w:rsid w:val="005B6806"/>
    <w:rsid w:val="005C0ECD"/>
    <w:rsid w:val="005C0FC5"/>
    <w:rsid w:val="005C4225"/>
    <w:rsid w:val="005C5B61"/>
    <w:rsid w:val="005C5DC6"/>
    <w:rsid w:val="005D152B"/>
    <w:rsid w:val="005D744D"/>
    <w:rsid w:val="005E17AB"/>
    <w:rsid w:val="005E209F"/>
    <w:rsid w:val="005F01FB"/>
    <w:rsid w:val="005F078E"/>
    <w:rsid w:val="005F0DAD"/>
    <w:rsid w:val="005F0F33"/>
    <w:rsid w:val="005F25F8"/>
    <w:rsid w:val="005F32EC"/>
    <w:rsid w:val="005F3885"/>
    <w:rsid w:val="005F56E7"/>
    <w:rsid w:val="005F7D02"/>
    <w:rsid w:val="00600DEB"/>
    <w:rsid w:val="00601772"/>
    <w:rsid w:val="006066F0"/>
    <w:rsid w:val="006073E3"/>
    <w:rsid w:val="00607E62"/>
    <w:rsid w:val="00611392"/>
    <w:rsid w:val="00611AA1"/>
    <w:rsid w:val="00613767"/>
    <w:rsid w:val="00614232"/>
    <w:rsid w:val="00620CC5"/>
    <w:rsid w:val="0062781E"/>
    <w:rsid w:val="00627C9F"/>
    <w:rsid w:val="00627F96"/>
    <w:rsid w:val="006311E9"/>
    <w:rsid w:val="00631F67"/>
    <w:rsid w:val="00631FF7"/>
    <w:rsid w:val="00632354"/>
    <w:rsid w:val="0063297C"/>
    <w:rsid w:val="00633B8B"/>
    <w:rsid w:val="00642810"/>
    <w:rsid w:val="00644195"/>
    <w:rsid w:val="0064460E"/>
    <w:rsid w:val="006472E3"/>
    <w:rsid w:val="0065232C"/>
    <w:rsid w:val="00652333"/>
    <w:rsid w:val="006528CF"/>
    <w:rsid w:val="00653351"/>
    <w:rsid w:val="006539E4"/>
    <w:rsid w:val="00654B4C"/>
    <w:rsid w:val="00654CE4"/>
    <w:rsid w:val="006565A4"/>
    <w:rsid w:val="00657609"/>
    <w:rsid w:val="00664142"/>
    <w:rsid w:val="00664F0D"/>
    <w:rsid w:val="0066501F"/>
    <w:rsid w:val="006671C7"/>
    <w:rsid w:val="006716CE"/>
    <w:rsid w:val="0067342D"/>
    <w:rsid w:val="006779B4"/>
    <w:rsid w:val="00677DA9"/>
    <w:rsid w:val="0068009E"/>
    <w:rsid w:val="00682CFA"/>
    <w:rsid w:val="00684FBB"/>
    <w:rsid w:val="00685B3B"/>
    <w:rsid w:val="00687172"/>
    <w:rsid w:val="00687E78"/>
    <w:rsid w:val="00690C35"/>
    <w:rsid w:val="00692219"/>
    <w:rsid w:val="0069357C"/>
    <w:rsid w:val="006941C8"/>
    <w:rsid w:val="0069579C"/>
    <w:rsid w:val="00695971"/>
    <w:rsid w:val="006A0A63"/>
    <w:rsid w:val="006A17D2"/>
    <w:rsid w:val="006A2D04"/>
    <w:rsid w:val="006A73E6"/>
    <w:rsid w:val="006B13FB"/>
    <w:rsid w:val="006B2D5C"/>
    <w:rsid w:val="006B3A4C"/>
    <w:rsid w:val="006B4172"/>
    <w:rsid w:val="006C2279"/>
    <w:rsid w:val="006C4EB1"/>
    <w:rsid w:val="006C5C8F"/>
    <w:rsid w:val="006C76EA"/>
    <w:rsid w:val="006D2CCC"/>
    <w:rsid w:val="006D4114"/>
    <w:rsid w:val="006D5955"/>
    <w:rsid w:val="006D74B7"/>
    <w:rsid w:val="006D7602"/>
    <w:rsid w:val="006E0166"/>
    <w:rsid w:val="006E2311"/>
    <w:rsid w:val="006E4CB5"/>
    <w:rsid w:val="006E7672"/>
    <w:rsid w:val="006E7B34"/>
    <w:rsid w:val="006F1304"/>
    <w:rsid w:val="006F4960"/>
    <w:rsid w:val="007003FE"/>
    <w:rsid w:val="00703273"/>
    <w:rsid w:val="0070697F"/>
    <w:rsid w:val="007100CF"/>
    <w:rsid w:val="007103CD"/>
    <w:rsid w:val="00713FE7"/>
    <w:rsid w:val="0072199C"/>
    <w:rsid w:val="00722C9F"/>
    <w:rsid w:val="00724FC9"/>
    <w:rsid w:val="007253B8"/>
    <w:rsid w:val="00725C62"/>
    <w:rsid w:val="00727945"/>
    <w:rsid w:val="0073115F"/>
    <w:rsid w:val="007328A5"/>
    <w:rsid w:val="0073489E"/>
    <w:rsid w:val="00734D9A"/>
    <w:rsid w:val="0073741F"/>
    <w:rsid w:val="0074099D"/>
    <w:rsid w:val="007433D8"/>
    <w:rsid w:val="0074583B"/>
    <w:rsid w:val="0075082C"/>
    <w:rsid w:val="00756BC2"/>
    <w:rsid w:val="00762360"/>
    <w:rsid w:val="00762CBC"/>
    <w:rsid w:val="007635D4"/>
    <w:rsid w:val="0076643F"/>
    <w:rsid w:val="00777F63"/>
    <w:rsid w:val="0078031D"/>
    <w:rsid w:val="00781037"/>
    <w:rsid w:val="00782768"/>
    <w:rsid w:val="00786DD7"/>
    <w:rsid w:val="00787014"/>
    <w:rsid w:val="00787443"/>
    <w:rsid w:val="0079205F"/>
    <w:rsid w:val="00794660"/>
    <w:rsid w:val="00795AB5"/>
    <w:rsid w:val="00796E91"/>
    <w:rsid w:val="00797ECB"/>
    <w:rsid w:val="007A0ECC"/>
    <w:rsid w:val="007A215A"/>
    <w:rsid w:val="007A3A40"/>
    <w:rsid w:val="007A3EF4"/>
    <w:rsid w:val="007A5604"/>
    <w:rsid w:val="007A57CD"/>
    <w:rsid w:val="007A5817"/>
    <w:rsid w:val="007B1500"/>
    <w:rsid w:val="007B60E9"/>
    <w:rsid w:val="007B6232"/>
    <w:rsid w:val="007B6CC3"/>
    <w:rsid w:val="007C3334"/>
    <w:rsid w:val="007C5179"/>
    <w:rsid w:val="007C6977"/>
    <w:rsid w:val="007C7D38"/>
    <w:rsid w:val="007D0197"/>
    <w:rsid w:val="007D1693"/>
    <w:rsid w:val="007D2B98"/>
    <w:rsid w:val="007D542A"/>
    <w:rsid w:val="007D5516"/>
    <w:rsid w:val="007E0CA1"/>
    <w:rsid w:val="007E21BC"/>
    <w:rsid w:val="007E6943"/>
    <w:rsid w:val="007E6FCB"/>
    <w:rsid w:val="007F298E"/>
    <w:rsid w:val="007F68FB"/>
    <w:rsid w:val="0080117C"/>
    <w:rsid w:val="0080221D"/>
    <w:rsid w:val="00803961"/>
    <w:rsid w:val="00803F1C"/>
    <w:rsid w:val="0080600E"/>
    <w:rsid w:val="008060BC"/>
    <w:rsid w:val="00806BE8"/>
    <w:rsid w:val="00807E30"/>
    <w:rsid w:val="0081156B"/>
    <w:rsid w:val="00813174"/>
    <w:rsid w:val="008156BE"/>
    <w:rsid w:val="008170F1"/>
    <w:rsid w:val="00817612"/>
    <w:rsid w:val="00820A0E"/>
    <w:rsid w:val="008265E1"/>
    <w:rsid w:val="00830F2E"/>
    <w:rsid w:val="00833313"/>
    <w:rsid w:val="008338A4"/>
    <w:rsid w:val="00836232"/>
    <w:rsid w:val="00836C85"/>
    <w:rsid w:val="008372F5"/>
    <w:rsid w:val="00837C45"/>
    <w:rsid w:val="008408C0"/>
    <w:rsid w:val="008418D4"/>
    <w:rsid w:val="00843CFE"/>
    <w:rsid w:val="00844730"/>
    <w:rsid w:val="008457C2"/>
    <w:rsid w:val="008527B2"/>
    <w:rsid w:val="00852976"/>
    <w:rsid w:val="00854274"/>
    <w:rsid w:val="00854828"/>
    <w:rsid w:val="00857A82"/>
    <w:rsid w:val="00861C45"/>
    <w:rsid w:val="00864AD5"/>
    <w:rsid w:val="00864C18"/>
    <w:rsid w:val="00864DF1"/>
    <w:rsid w:val="0086759C"/>
    <w:rsid w:val="00873836"/>
    <w:rsid w:val="00873894"/>
    <w:rsid w:val="0087430B"/>
    <w:rsid w:val="008820B4"/>
    <w:rsid w:val="00885737"/>
    <w:rsid w:val="00885EB9"/>
    <w:rsid w:val="008902D2"/>
    <w:rsid w:val="00890650"/>
    <w:rsid w:val="00893215"/>
    <w:rsid w:val="008944DF"/>
    <w:rsid w:val="00897B0D"/>
    <w:rsid w:val="00897E12"/>
    <w:rsid w:val="008A0ECB"/>
    <w:rsid w:val="008A1035"/>
    <w:rsid w:val="008A1088"/>
    <w:rsid w:val="008A2242"/>
    <w:rsid w:val="008A4C31"/>
    <w:rsid w:val="008A53C9"/>
    <w:rsid w:val="008A6BDF"/>
    <w:rsid w:val="008A6C83"/>
    <w:rsid w:val="008A7254"/>
    <w:rsid w:val="008A72A4"/>
    <w:rsid w:val="008A7389"/>
    <w:rsid w:val="008A7E0F"/>
    <w:rsid w:val="008B12F5"/>
    <w:rsid w:val="008B1B00"/>
    <w:rsid w:val="008B1F6F"/>
    <w:rsid w:val="008B3ADC"/>
    <w:rsid w:val="008B5816"/>
    <w:rsid w:val="008B6DC1"/>
    <w:rsid w:val="008C3789"/>
    <w:rsid w:val="008C691F"/>
    <w:rsid w:val="008C729E"/>
    <w:rsid w:val="008D5065"/>
    <w:rsid w:val="008D59B8"/>
    <w:rsid w:val="008D768D"/>
    <w:rsid w:val="008E3759"/>
    <w:rsid w:val="008E3FFE"/>
    <w:rsid w:val="008E46E7"/>
    <w:rsid w:val="008E5124"/>
    <w:rsid w:val="008E6AF7"/>
    <w:rsid w:val="008F1912"/>
    <w:rsid w:val="008F2353"/>
    <w:rsid w:val="0090241B"/>
    <w:rsid w:val="0090270B"/>
    <w:rsid w:val="00902B6B"/>
    <w:rsid w:val="009041DC"/>
    <w:rsid w:val="00910CC7"/>
    <w:rsid w:val="00913908"/>
    <w:rsid w:val="00913E59"/>
    <w:rsid w:val="00917B5A"/>
    <w:rsid w:val="009209FD"/>
    <w:rsid w:val="00920A58"/>
    <w:rsid w:val="00920A8C"/>
    <w:rsid w:val="009235B3"/>
    <w:rsid w:val="00924245"/>
    <w:rsid w:val="00924F0B"/>
    <w:rsid w:val="00927154"/>
    <w:rsid w:val="00930FAB"/>
    <w:rsid w:val="00931817"/>
    <w:rsid w:val="0093407B"/>
    <w:rsid w:val="00934A2C"/>
    <w:rsid w:val="009353FA"/>
    <w:rsid w:val="00935495"/>
    <w:rsid w:val="00935F2D"/>
    <w:rsid w:val="00942EBB"/>
    <w:rsid w:val="009509A3"/>
    <w:rsid w:val="009553C8"/>
    <w:rsid w:val="00957081"/>
    <w:rsid w:val="0096211B"/>
    <w:rsid w:val="009621F8"/>
    <w:rsid w:val="00962F64"/>
    <w:rsid w:val="00965750"/>
    <w:rsid w:val="0096706E"/>
    <w:rsid w:val="009674FC"/>
    <w:rsid w:val="00967875"/>
    <w:rsid w:val="009701B2"/>
    <w:rsid w:val="00973725"/>
    <w:rsid w:val="00974FA2"/>
    <w:rsid w:val="00975C4E"/>
    <w:rsid w:val="0097773A"/>
    <w:rsid w:val="009800DB"/>
    <w:rsid w:val="00981B5F"/>
    <w:rsid w:val="00981FBA"/>
    <w:rsid w:val="00983F55"/>
    <w:rsid w:val="00984CB6"/>
    <w:rsid w:val="00985EC1"/>
    <w:rsid w:val="00985ED1"/>
    <w:rsid w:val="0098607D"/>
    <w:rsid w:val="00990DD7"/>
    <w:rsid w:val="00993A92"/>
    <w:rsid w:val="00994F1C"/>
    <w:rsid w:val="00996E72"/>
    <w:rsid w:val="00997BC5"/>
    <w:rsid w:val="009A1008"/>
    <w:rsid w:val="009A28A8"/>
    <w:rsid w:val="009A4F41"/>
    <w:rsid w:val="009A6A9F"/>
    <w:rsid w:val="009B381B"/>
    <w:rsid w:val="009B4F2C"/>
    <w:rsid w:val="009B5CC4"/>
    <w:rsid w:val="009C2363"/>
    <w:rsid w:val="009C2C37"/>
    <w:rsid w:val="009C6CA4"/>
    <w:rsid w:val="009C764E"/>
    <w:rsid w:val="009D0EB3"/>
    <w:rsid w:val="009D1106"/>
    <w:rsid w:val="009D1753"/>
    <w:rsid w:val="009D202E"/>
    <w:rsid w:val="009D2FC5"/>
    <w:rsid w:val="009D3D87"/>
    <w:rsid w:val="009D3E00"/>
    <w:rsid w:val="009D69C3"/>
    <w:rsid w:val="009D7611"/>
    <w:rsid w:val="009E0B61"/>
    <w:rsid w:val="009E0D50"/>
    <w:rsid w:val="009E27A9"/>
    <w:rsid w:val="009E53DE"/>
    <w:rsid w:val="009E649F"/>
    <w:rsid w:val="009E6888"/>
    <w:rsid w:val="009F04C9"/>
    <w:rsid w:val="009F0D4F"/>
    <w:rsid w:val="009F10C5"/>
    <w:rsid w:val="009F2AE6"/>
    <w:rsid w:val="00A000CB"/>
    <w:rsid w:val="00A0182A"/>
    <w:rsid w:val="00A01E0B"/>
    <w:rsid w:val="00A07C47"/>
    <w:rsid w:val="00A112B7"/>
    <w:rsid w:val="00A12FC3"/>
    <w:rsid w:val="00A142F7"/>
    <w:rsid w:val="00A14442"/>
    <w:rsid w:val="00A155E0"/>
    <w:rsid w:val="00A2006B"/>
    <w:rsid w:val="00A27782"/>
    <w:rsid w:val="00A302FD"/>
    <w:rsid w:val="00A30532"/>
    <w:rsid w:val="00A328B3"/>
    <w:rsid w:val="00A33940"/>
    <w:rsid w:val="00A41B36"/>
    <w:rsid w:val="00A43166"/>
    <w:rsid w:val="00A438BB"/>
    <w:rsid w:val="00A439B3"/>
    <w:rsid w:val="00A4602E"/>
    <w:rsid w:val="00A50FCF"/>
    <w:rsid w:val="00A51352"/>
    <w:rsid w:val="00A528D1"/>
    <w:rsid w:val="00A550BA"/>
    <w:rsid w:val="00A610CD"/>
    <w:rsid w:val="00A61297"/>
    <w:rsid w:val="00A636D1"/>
    <w:rsid w:val="00A70E81"/>
    <w:rsid w:val="00A748F4"/>
    <w:rsid w:val="00A749E4"/>
    <w:rsid w:val="00A806BE"/>
    <w:rsid w:val="00A854AB"/>
    <w:rsid w:val="00A86E64"/>
    <w:rsid w:val="00A90561"/>
    <w:rsid w:val="00A90694"/>
    <w:rsid w:val="00A940A0"/>
    <w:rsid w:val="00A94684"/>
    <w:rsid w:val="00A95358"/>
    <w:rsid w:val="00A95B96"/>
    <w:rsid w:val="00A96F06"/>
    <w:rsid w:val="00A96F69"/>
    <w:rsid w:val="00AA09A2"/>
    <w:rsid w:val="00AA3575"/>
    <w:rsid w:val="00AA441E"/>
    <w:rsid w:val="00AA6223"/>
    <w:rsid w:val="00AA6B28"/>
    <w:rsid w:val="00AA6C91"/>
    <w:rsid w:val="00AA7996"/>
    <w:rsid w:val="00AB0753"/>
    <w:rsid w:val="00AB27AC"/>
    <w:rsid w:val="00AB34FC"/>
    <w:rsid w:val="00AB5F97"/>
    <w:rsid w:val="00AB7C71"/>
    <w:rsid w:val="00AC01D7"/>
    <w:rsid w:val="00AC19CB"/>
    <w:rsid w:val="00AC3B1E"/>
    <w:rsid w:val="00AC4978"/>
    <w:rsid w:val="00AD0A23"/>
    <w:rsid w:val="00AD0AD1"/>
    <w:rsid w:val="00AD4341"/>
    <w:rsid w:val="00AE2F49"/>
    <w:rsid w:val="00AE5488"/>
    <w:rsid w:val="00AE6AEA"/>
    <w:rsid w:val="00AE6F91"/>
    <w:rsid w:val="00AE7A03"/>
    <w:rsid w:val="00AE7A2E"/>
    <w:rsid w:val="00AF0661"/>
    <w:rsid w:val="00AF0EB3"/>
    <w:rsid w:val="00AF2BB4"/>
    <w:rsid w:val="00AF5571"/>
    <w:rsid w:val="00AF6DD1"/>
    <w:rsid w:val="00B07341"/>
    <w:rsid w:val="00B12CB4"/>
    <w:rsid w:val="00B1350E"/>
    <w:rsid w:val="00B15323"/>
    <w:rsid w:val="00B17B7C"/>
    <w:rsid w:val="00B20AA9"/>
    <w:rsid w:val="00B21DA7"/>
    <w:rsid w:val="00B250AD"/>
    <w:rsid w:val="00B30539"/>
    <w:rsid w:val="00B314DB"/>
    <w:rsid w:val="00B33226"/>
    <w:rsid w:val="00B34055"/>
    <w:rsid w:val="00B34645"/>
    <w:rsid w:val="00B361F2"/>
    <w:rsid w:val="00B36239"/>
    <w:rsid w:val="00B363D4"/>
    <w:rsid w:val="00B36428"/>
    <w:rsid w:val="00B367A7"/>
    <w:rsid w:val="00B3718B"/>
    <w:rsid w:val="00B4000B"/>
    <w:rsid w:val="00B42AC9"/>
    <w:rsid w:val="00B4337C"/>
    <w:rsid w:val="00B4632A"/>
    <w:rsid w:val="00B463BF"/>
    <w:rsid w:val="00B475C0"/>
    <w:rsid w:val="00B530F1"/>
    <w:rsid w:val="00B60E63"/>
    <w:rsid w:val="00B640EB"/>
    <w:rsid w:val="00B66B56"/>
    <w:rsid w:val="00B679DA"/>
    <w:rsid w:val="00B753CB"/>
    <w:rsid w:val="00B776BC"/>
    <w:rsid w:val="00B85C1B"/>
    <w:rsid w:val="00B864CD"/>
    <w:rsid w:val="00B867B5"/>
    <w:rsid w:val="00B90626"/>
    <w:rsid w:val="00B907CF"/>
    <w:rsid w:val="00B92F6A"/>
    <w:rsid w:val="00B93970"/>
    <w:rsid w:val="00B962A5"/>
    <w:rsid w:val="00B96D29"/>
    <w:rsid w:val="00BA276C"/>
    <w:rsid w:val="00BA6984"/>
    <w:rsid w:val="00BB00BC"/>
    <w:rsid w:val="00BB306F"/>
    <w:rsid w:val="00BB322D"/>
    <w:rsid w:val="00BB3E5A"/>
    <w:rsid w:val="00BB65FE"/>
    <w:rsid w:val="00BB7220"/>
    <w:rsid w:val="00BC1FE5"/>
    <w:rsid w:val="00BC72C0"/>
    <w:rsid w:val="00BD078A"/>
    <w:rsid w:val="00BD1A74"/>
    <w:rsid w:val="00BD4B89"/>
    <w:rsid w:val="00BE0BF8"/>
    <w:rsid w:val="00BE4454"/>
    <w:rsid w:val="00BE484E"/>
    <w:rsid w:val="00BE64E7"/>
    <w:rsid w:val="00BF18A2"/>
    <w:rsid w:val="00BF2695"/>
    <w:rsid w:val="00BF5235"/>
    <w:rsid w:val="00BF53FC"/>
    <w:rsid w:val="00BF6C49"/>
    <w:rsid w:val="00BF6FD8"/>
    <w:rsid w:val="00C03680"/>
    <w:rsid w:val="00C03A3F"/>
    <w:rsid w:val="00C04D34"/>
    <w:rsid w:val="00C054DF"/>
    <w:rsid w:val="00C10BA9"/>
    <w:rsid w:val="00C10D3E"/>
    <w:rsid w:val="00C130A4"/>
    <w:rsid w:val="00C21762"/>
    <w:rsid w:val="00C2253F"/>
    <w:rsid w:val="00C228F7"/>
    <w:rsid w:val="00C22A4C"/>
    <w:rsid w:val="00C24543"/>
    <w:rsid w:val="00C24A17"/>
    <w:rsid w:val="00C24ED2"/>
    <w:rsid w:val="00C256A2"/>
    <w:rsid w:val="00C31B65"/>
    <w:rsid w:val="00C31C5E"/>
    <w:rsid w:val="00C32E3A"/>
    <w:rsid w:val="00C350E6"/>
    <w:rsid w:val="00C36AD0"/>
    <w:rsid w:val="00C411D8"/>
    <w:rsid w:val="00C5011B"/>
    <w:rsid w:val="00C51515"/>
    <w:rsid w:val="00C517F7"/>
    <w:rsid w:val="00C546A2"/>
    <w:rsid w:val="00C55155"/>
    <w:rsid w:val="00C5660B"/>
    <w:rsid w:val="00C56EFF"/>
    <w:rsid w:val="00C63856"/>
    <w:rsid w:val="00C66B72"/>
    <w:rsid w:val="00C67385"/>
    <w:rsid w:val="00C67E03"/>
    <w:rsid w:val="00C70F82"/>
    <w:rsid w:val="00C71EBD"/>
    <w:rsid w:val="00C759EE"/>
    <w:rsid w:val="00C76C46"/>
    <w:rsid w:val="00C82783"/>
    <w:rsid w:val="00C82CBC"/>
    <w:rsid w:val="00C845E0"/>
    <w:rsid w:val="00C84A96"/>
    <w:rsid w:val="00C923D5"/>
    <w:rsid w:val="00C92C9A"/>
    <w:rsid w:val="00C9567A"/>
    <w:rsid w:val="00C97686"/>
    <w:rsid w:val="00CA2941"/>
    <w:rsid w:val="00CA635E"/>
    <w:rsid w:val="00CA636C"/>
    <w:rsid w:val="00CB212D"/>
    <w:rsid w:val="00CB2660"/>
    <w:rsid w:val="00CB27D9"/>
    <w:rsid w:val="00CB2EDE"/>
    <w:rsid w:val="00CB62E4"/>
    <w:rsid w:val="00CB7AFF"/>
    <w:rsid w:val="00CB7C22"/>
    <w:rsid w:val="00CB7EE3"/>
    <w:rsid w:val="00CC04BC"/>
    <w:rsid w:val="00CC08C6"/>
    <w:rsid w:val="00CC4E61"/>
    <w:rsid w:val="00CC54AB"/>
    <w:rsid w:val="00CC5E90"/>
    <w:rsid w:val="00CC63CB"/>
    <w:rsid w:val="00CC7ED2"/>
    <w:rsid w:val="00CD046C"/>
    <w:rsid w:val="00CE0035"/>
    <w:rsid w:val="00CE076C"/>
    <w:rsid w:val="00CE4D26"/>
    <w:rsid w:val="00CE5199"/>
    <w:rsid w:val="00CE5B0A"/>
    <w:rsid w:val="00CE66D5"/>
    <w:rsid w:val="00CE7BB6"/>
    <w:rsid w:val="00CF10F3"/>
    <w:rsid w:val="00CF140D"/>
    <w:rsid w:val="00CF2064"/>
    <w:rsid w:val="00CF4495"/>
    <w:rsid w:val="00CF4C42"/>
    <w:rsid w:val="00CF6327"/>
    <w:rsid w:val="00CF637A"/>
    <w:rsid w:val="00CF64A2"/>
    <w:rsid w:val="00D00FB5"/>
    <w:rsid w:val="00D01E78"/>
    <w:rsid w:val="00D05026"/>
    <w:rsid w:val="00D059DE"/>
    <w:rsid w:val="00D13FCE"/>
    <w:rsid w:val="00D228EE"/>
    <w:rsid w:val="00D263FC"/>
    <w:rsid w:val="00D26983"/>
    <w:rsid w:val="00D275C6"/>
    <w:rsid w:val="00D306D1"/>
    <w:rsid w:val="00D34786"/>
    <w:rsid w:val="00D359E6"/>
    <w:rsid w:val="00D3703E"/>
    <w:rsid w:val="00D37BFC"/>
    <w:rsid w:val="00D4074C"/>
    <w:rsid w:val="00D40F7A"/>
    <w:rsid w:val="00D47A8E"/>
    <w:rsid w:val="00D47D30"/>
    <w:rsid w:val="00D50853"/>
    <w:rsid w:val="00D51F25"/>
    <w:rsid w:val="00D52D14"/>
    <w:rsid w:val="00D55FB7"/>
    <w:rsid w:val="00D64658"/>
    <w:rsid w:val="00D705AB"/>
    <w:rsid w:val="00D70AC8"/>
    <w:rsid w:val="00D712D3"/>
    <w:rsid w:val="00D71422"/>
    <w:rsid w:val="00D72DC6"/>
    <w:rsid w:val="00D735D8"/>
    <w:rsid w:val="00D7558D"/>
    <w:rsid w:val="00D77433"/>
    <w:rsid w:val="00D777A1"/>
    <w:rsid w:val="00D81D92"/>
    <w:rsid w:val="00D82793"/>
    <w:rsid w:val="00D85166"/>
    <w:rsid w:val="00D86071"/>
    <w:rsid w:val="00D8631E"/>
    <w:rsid w:val="00D935D1"/>
    <w:rsid w:val="00D979F7"/>
    <w:rsid w:val="00DA0949"/>
    <w:rsid w:val="00DA16BD"/>
    <w:rsid w:val="00DA7B5F"/>
    <w:rsid w:val="00DB4550"/>
    <w:rsid w:val="00DB6531"/>
    <w:rsid w:val="00DB6EFE"/>
    <w:rsid w:val="00DC11E7"/>
    <w:rsid w:val="00DC4109"/>
    <w:rsid w:val="00DC7023"/>
    <w:rsid w:val="00DC769A"/>
    <w:rsid w:val="00DD08D5"/>
    <w:rsid w:val="00DD29A2"/>
    <w:rsid w:val="00DD3D86"/>
    <w:rsid w:val="00DD5719"/>
    <w:rsid w:val="00DD6A8F"/>
    <w:rsid w:val="00DD7200"/>
    <w:rsid w:val="00DE0384"/>
    <w:rsid w:val="00DE793B"/>
    <w:rsid w:val="00DE7CFA"/>
    <w:rsid w:val="00DE7D63"/>
    <w:rsid w:val="00DF1420"/>
    <w:rsid w:val="00DF1EC4"/>
    <w:rsid w:val="00DF2DA6"/>
    <w:rsid w:val="00DF4FAA"/>
    <w:rsid w:val="00DF5570"/>
    <w:rsid w:val="00DF5649"/>
    <w:rsid w:val="00E01D4E"/>
    <w:rsid w:val="00E0340B"/>
    <w:rsid w:val="00E03D56"/>
    <w:rsid w:val="00E04A90"/>
    <w:rsid w:val="00E0522E"/>
    <w:rsid w:val="00E14D55"/>
    <w:rsid w:val="00E14EA7"/>
    <w:rsid w:val="00E1782C"/>
    <w:rsid w:val="00E216D5"/>
    <w:rsid w:val="00E219C7"/>
    <w:rsid w:val="00E22781"/>
    <w:rsid w:val="00E2300F"/>
    <w:rsid w:val="00E248A0"/>
    <w:rsid w:val="00E24B62"/>
    <w:rsid w:val="00E24D70"/>
    <w:rsid w:val="00E25191"/>
    <w:rsid w:val="00E2544C"/>
    <w:rsid w:val="00E266C8"/>
    <w:rsid w:val="00E336C0"/>
    <w:rsid w:val="00E3677E"/>
    <w:rsid w:val="00E36E1B"/>
    <w:rsid w:val="00E406E3"/>
    <w:rsid w:val="00E43157"/>
    <w:rsid w:val="00E45353"/>
    <w:rsid w:val="00E461CE"/>
    <w:rsid w:val="00E4626E"/>
    <w:rsid w:val="00E46607"/>
    <w:rsid w:val="00E47385"/>
    <w:rsid w:val="00E534C2"/>
    <w:rsid w:val="00E54D0E"/>
    <w:rsid w:val="00E55682"/>
    <w:rsid w:val="00E562DB"/>
    <w:rsid w:val="00E5764D"/>
    <w:rsid w:val="00E61F46"/>
    <w:rsid w:val="00E63087"/>
    <w:rsid w:val="00E63DFD"/>
    <w:rsid w:val="00E65411"/>
    <w:rsid w:val="00E67838"/>
    <w:rsid w:val="00E715B6"/>
    <w:rsid w:val="00E71BC4"/>
    <w:rsid w:val="00E720CA"/>
    <w:rsid w:val="00E750FB"/>
    <w:rsid w:val="00E7580D"/>
    <w:rsid w:val="00E82D2D"/>
    <w:rsid w:val="00E84EB5"/>
    <w:rsid w:val="00E85152"/>
    <w:rsid w:val="00E85662"/>
    <w:rsid w:val="00E8789F"/>
    <w:rsid w:val="00E9106B"/>
    <w:rsid w:val="00E91E33"/>
    <w:rsid w:val="00E94439"/>
    <w:rsid w:val="00E9679C"/>
    <w:rsid w:val="00E97B71"/>
    <w:rsid w:val="00EA3D34"/>
    <w:rsid w:val="00EA4E65"/>
    <w:rsid w:val="00EA642E"/>
    <w:rsid w:val="00EA793C"/>
    <w:rsid w:val="00EA7965"/>
    <w:rsid w:val="00EA7C7D"/>
    <w:rsid w:val="00EB2719"/>
    <w:rsid w:val="00EB38E8"/>
    <w:rsid w:val="00EB3FA5"/>
    <w:rsid w:val="00EB454D"/>
    <w:rsid w:val="00EB55A7"/>
    <w:rsid w:val="00EB5653"/>
    <w:rsid w:val="00EB571E"/>
    <w:rsid w:val="00EC014F"/>
    <w:rsid w:val="00EC185C"/>
    <w:rsid w:val="00EC5C42"/>
    <w:rsid w:val="00ED32F5"/>
    <w:rsid w:val="00ED58D0"/>
    <w:rsid w:val="00ED76BE"/>
    <w:rsid w:val="00ED7871"/>
    <w:rsid w:val="00ED7F16"/>
    <w:rsid w:val="00EE17E0"/>
    <w:rsid w:val="00EE4AF7"/>
    <w:rsid w:val="00EE76EA"/>
    <w:rsid w:val="00EF2853"/>
    <w:rsid w:val="00EF5F2A"/>
    <w:rsid w:val="00EF619B"/>
    <w:rsid w:val="00F00B55"/>
    <w:rsid w:val="00F022C8"/>
    <w:rsid w:val="00F02AD1"/>
    <w:rsid w:val="00F0329A"/>
    <w:rsid w:val="00F06E7D"/>
    <w:rsid w:val="00F1213E"/>
    <w:rsid w:val="00F140E9"/>
    <w:rsid w:val="00F1467B"/>
    <w:rsid w:val="00F16E29"/>
    <w:rsid w:val="00F22F3E"/>
    <w:rsid w:val="00F253CC"/>
    <w:rsid w:val="00F25583"/>
    <w:rsid w:val="00F26352"/>
    <w:rsid w:val="00F279EF"/>
    <w:rsid w:val="00F30224"/>
    <w:rsid w:val="00F319CE"/>
    <w:rsid w:val="00F33269"/>
    <w:rsid w:val="00F34567"/>
    <w:rsid w:val="00F34B72"/>
    <w:rsid w:val="00F36DA3"/>
    <w:rsid w:val="00F37106"/>
    <w:rsid w:val="00F509A8"/>
    <w:rsid w:val="00F50F64"/>
    <w:rsid w:val="00F519CF"/>
    <w:rsid w:val="00F51DC1"/>
    <w:rsid w:val="00F55438"/>
    <w:rsid w:val="00F554DA"/>
    <w:rsid w:val="00F55B6E"/>
    <w:rsid w:val="00F56683"/>
    <w:rsid w:val="00F56BA5"/>
    <w:rsid w:val="00F60E22"/>
    <w:rsid w:val="00F61E54"/>
    <w:rsid w:val="00F63EF1"/>
    <w:rsid w:val="00F66D27"/>
    <w:rsid w:val="00F712A0"/>
    <w:rsid w:val="00F72BEB"/>
    <w:rsid w:val="00F812A2"/>
    <w:rsid w:val="00F81395"/>
    <w:rsid w:val="00F82AA3"/>
    <w:rsid w:val="00F862A0"/>
    <w:rsid w:val="00F917D1"/>
    <w:rsid w:val="00F95699"/>
    <w:rsid w:val="00F95B09"/>
    <w:rsid w:val="00F96417"/>
    <w:rsid w:val="00F9653B"/>
    <w:rsid w:val="00F966F6"/>
    <w:rsid w:val="00FA1384"/>
    <w:rsid w:val="00FA1D03"/>
    <w:rsid w:val="00FA46D1"/>
    <w:rsid w:val="00FA5D92"/>
    <w:rsid w:val="00FB0380"/>
    <w:rsid w:val="00FB0779"/>
    <w:rsid w:val="00FB1DB1"/>
    <w:rsid w:val="00FB308A"/>
    <w:rsid w:val="00FB343A"/>
    <w:rsid w:val="00FB351A"/>
    <w:rsid w:val="00FB62CF"/>
    <w:rsid w:val="00FC3063"/>
    <w:rsid w:val="00FC4DB1"/>
    <w:rsid w:val="00FD0DB9"/>
    <w:rsid w:val="00FD1FD8"/>
    <w:rsid w:val="00FD3C3B"/>
    <w:rsid w:val="00FD7740"/>
    <w:rsid w:val="00FD7C11"/>
    <w:rsid w:val="00FE097E"/>
    <w:rsid w:val="00FE5476"/>
    <w:rsid w:val="00FE5D10"/>
    <w:rsid w:val="00FE6B45"/>
    <w:rsid w:val="00FE6E2D"/>
    <w:rsid w:val="00FF00C7"/>
    <w:rsid w:val="00FF0960"/>
    <w:rsid w:val="00FF1ABF"/>
    <w:rsid w:val="00FF3B75"/>
    <w:rsid w:val="00FF4B0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B1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s-ES_tradnl"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F140D"/>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outlineLvl w:val="1"/>
    </w:pPr>
    <w:rPr>
      <w:rFonts w:asciiTheme="majorHAnsi" w:eastAsia="Times New Roman" w:hAnsiTheme="majorHAnsi" w:cs="Arial"/>
      <w:b/>
      <w:bCs/>
      <w:iCs/>
      <w:sz w:val="20"/>
      <w:szCs w:val="20"/>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CF140D"/>
    <w:rPr>
      <w:rFonts w:asciiTheme="majorHAnsi" w:eastAsia="Times New Roman" w:hAnsiTheme="majorHAnsi" w:cs="Arial"/>
      <w:b/>
      <w:bCs/>
      <w:iCs/>
      <w:bdr w:val="none" w:sz="0" w:space="0" w:color="auto"/>
      <w:lang w:val="es-ES_tradnl"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4">
    <w:name w:val="Style 4"/>
    <w:basedOn w:val="Normal"/>
    <w:rsid w:val="00CF140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3">
    <w:name w:val="Style 3"/>
    <w:basedOn w:val="Normal"/>
    <w:rsid w:val="00CF140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 w:hanging="360"/>
      <w:jc w:val="both"/>
    </w:pPr>
    <w:rPr>
      <w:rFonts w:eastAsia="Times New Roman"/>
      <w:bdr w:val="none" w:sz="0" w:space="0" w:color="auto"/>
    </w:rPr>
  </w:style>
  <w:style w:type="character" w:customStyle="1" w:styleId="heading2charcharchar">
    <w:name w:val="heading2charcharchar"/>
    <w:rsid w:val="00CF140D"/>
    <w:rPr>
      <w:rFonts w:ascii="Univers" w:hAnsi="Univers" w:cs="Times New Roman"/>
      <w:b/>
      <w:bCs/>
    </w:rPr>
  </w:style>
  <w:style w:type="character" w:customStyle="1" w:styleId="apple-converted-space">
    <w:name w:val="apple-converted-space"/>
    <w:basedOn w:val="DefaultParagraphFont"/>
    <w:rsid w:val="00CF140D"/>
  </w:style>
  <w:style w:type="character" w:customStyle="1" w:styleId="Caracteresdenotaalpie">
    <w:name w:val="Caracteres de nota al pie"/>
    <w:rsid w:val="00CF140D"/>
    <w:rPr>
      <w:vertAlign w:val="superscript"/>
    </w:rPr>
  </w:style>
  <w:style w:type="character" w:styleId="CommentReference">
    <w:name w:val="annotation reference"/>
    <w:basedOn w:val="DefaultParagraphFont"/>
    <w:uiPriority w:val="99"/>
    <w:semiHidden/>
    <w:unhideWhenUsed/>
    <w:rsid w:val="008156BE"/>
    <w:rPr>
      <w:sz w:val="18"/>
      <w:szCs w:val="18"/>
    </w:rPr>
  </w:style>
  <w:style w:type="paragraph" w:styleId="CommentText">
    <w:name w:val="annotation text"/>
    <w:basedOn w:val="Normal"/>
    <w:link w:val="CommentTextChar"/>
    <w:uiPriority w:val="99"/>
    <w:semiHidden/>
    <w:unhideWhenUsed/>
    <w:rsid w:val="008156BE"/>
  </w:style>
  <w:style w:type="character" w:customStyle="1" w:styleId="CommentTextChar">
    <w:name w:val="Comment Text Char"/>
    <w:basedOn w:val="DefaultParagraphFont"/>
    <w:link w:val="CommentText"/>
    <w:uiPriority w:val="99"/>
    <w:semiHidden/>
    <w:rsid w:val="008156BE"/>
    <w:rPr>
      <w:sz w:val="24"/>
      <w:szCs w:val="24"/>
      <w:lang w:val="es-ES_tradnl" w:eastAsia="en-US"/>
    </w:rPr>
  </w:style>
  <w:style w:type="paragraph" w:styleId="CommentSubject">
    <w:name w:val="annotation subject"/>
    <w:basedOn w:val="CommentText"/>
    <w:next w:val="CommentText"/>
    <w:link w:val="CommentSubjectChar"/>
    <w:uiPriority w:val="99"/>
    <w:semiHidden/>
    <w:unhideWhenUsed/>
    <w:rsid w:val="008156BE"/>
    <w:rPr>
      <w:b/>
      <w:bCs/>
      <w:sz w:val="20"/>
      <w:szCs w:val="20"/>
    </w:rPr>
  </w:style>
  <w:style w:type="character" w:customStyle="1" w:styleId="CommentSubjectChar">
    <w:name w:val="Comment Subject Char"/>
    <w:basedOn w:val="CommentTextChar"/>
    <w:link w:val="CommentSubject"/>
    <w:uiPriority w:val="99"/>
    <w:semiHidden/>
    <w:rsid w:val="008156BE"/>
    <w:rPr>
      <w:b/>
      <w:bCs/>
      <w:sz w:val="24"/>
      <w:szCs w:val="24"/>
      <w:lang w:val="es-ES_tradnl" w:eastAsia="en-US"/>
    </w:rPr>
  </w:style>
  <w:style w:type="character" w:customStyle="1" w:styleId="StyleUnivers10pt">
    <w:name w:val="Style Univers 10 pt"/>
    <w:uiPriority w:val="99"/>
    <w:rsid w:val="00AE7A03"/>
    <w:rPr>
      <w:rFonts w:ascii="Univers" w:hAnsi="Univers"/>
      <w:sz w:val="20"/>
    </w:rPr>
  </w:style>
  <w:style w:type="paragraph" w:styleId="BodyText2">
    <w:name w:val="Body Text 2"/>
    <w:basedOn w:val="Normal"/>
    <w:link w:val="BodyText2Char"/>
    <w:uiPriority w:val="99"/>
    <w:semiHidden/>
    <w:unhideWhenUsed/>
    <w:rsid w:val="000C76B0"/>
    <w:pPr>
      <w:spacing w:after="120" w:line="480" w:lineRule="auto"/>
    </w:pPr>
  </w:style>
  <w:style w:type="character" w:customStyle="1" w:styleId="BodyText2Char">
    <w:name w:val="Body Text 2 Char"/>
    <w:basedOn w:val="DefaultParagraphFont"/>
    <w:link w:val="BodyText2"/>
    <w:uiPriority w:val="99"/>
    <w:semiHidden/>
    <w:rsid w:val="000C76B0"/>
    <w:rPr>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s-ES_tradnl"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F140D"/>
    <w:pPr>
      <w:keepNext/>
      <w:numPr>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outlineLvl w:val="1"/>
    </w:pPr>
    <w:rPr>
      <w:rFonts w:asciiTheme="majorHAnsi" w:eastAsia="Times New Roman" w:hAnsiTheme="majorHAnsi" w:cs="Arial"/>
      <w:b/>
      <w:bCs/>
      <w:iCs/>
      <w:sz w:val="20"/>
      <w:szCs w:val="20"/>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CF140D"/>
    <w:rPr>
      <w:rFonts w:asciiTheme="majorHAnsi" w:eastAsia="Times New Roman" w:hAnsiTheme="majorHAnsi" w:cs="Arial"/>
      <w:b/>
      <w:bCs/>
      <w:iCs/>
      <w:bdr w:val="none" w:sz="0" w:space="0" w:color="auto"/>
      <w:lang w:val="es-ES_tradnl"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4">
    <w:name w:val="Style 4"/>
    <w:basedOn w:val="Normal"/>
    <w:rsid w:val="00CF140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rPr>
  </w:style>
  <w:style w:type="paragraph" w:customStyle="1" w:styleId="Style3">
    <w:name w:val="Style 3"/>
    <w:basedOn w:val="Normal"/>
    <w:rsid w:val="00CF140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 w:hanging="360"/>
      <w:jc w:val="both"/>
    </w:pPr>
    <w:rPr>
      <w:rFonts w:eastAsia="Times New Roman"/>
      <w:bdr w:val="none" w:sz="0" w:space="0" w:color="auto"/>
    </w:rPr>
  </w:style>
  <w:style w:type="character" w:customStyle="1" w:styleId="heading2charcharchar">
    <w:name w:val="heading2charcharchar"/>
    <w:rsid w:val="00CF140D"/>
    <w:rPr>
      <w:rFonts w:ascii="Univers" w:hAnsi="Univers" w:cs="Times New Roman"/>
      <w:b/>
      <w:bCs/>
    </w:rPr>
  </w:style>
  <w:style w:type="character" w:customStyle="1" w:styleId="apple-converted-space">
    <w:name w:val="apple-converted-space"/>
    <w:basedOn w:val="DefaultParagraphFont"/>
    <w:rsid w:val="00CF140D"/>
  </w:style>
  <w:style w:type="character" w:customStyle="1" w:styleId="Caracteresdenotaalpie">
    <w:name w:val="Caracteres de nota al pie"/>
    <w:rsid w:val="00CF140D"/>
    <w:rPr>
      <w:vertAlign w:val="superscript"/>
    </w:rPr>
  </w:style>
  <w:style w:type="character" w:styleId="CommentReference">
    <w:name w:val="annotation reference"/>
    <w:basedOn w:val="DefaultParagraphFont"/>
    <w:uiPriority w:val="99"/>
    <w:semiHidden/>
    <w:unhideWhenUsed/>
    <w:rsid w:val="008156BE"/>
    <w:rPr>
      <w:sz w:val="18"/>
      <w:szCs w:val="18"/>
    </w:rPr>
  </w:style>
  <w:style w:type="paragraph" w:styleId="CommentText">
    <w:name w:val="annotation text"/>
    <w:basedOn w:val="Normal"/>
    <w:link w:val="CommentTextChar"/>
    <w:uiPriority w:val="99"/>
    <w:semiHidden/>
    <w:unhideWhenUsed/>
    <w:rsid w:val="008156BE"/>
  </w:style>
  <w:style w:type="character" w:customStyle="1" w:styleId="CommentTextChar">
    <w:name w:val="Comment Text Char"/>
    <w:basedOn w:val="DefaultParagraphFont"/>
    <w:link w:val="CommentText"/>
    <w:uiPriority w:val="99"/>
    <w:semiHidden/>
    <w:rsid w:val="008156BE"/>
    <w:rPr>
      <w:sz w:val="24"/>
      <w:szCs w:val="24"/>
      <w:lang w:val="es-ES_tradnl" w:eastAsia="en-US"/>
    </w:rPr>
  </w:style>
  <w:style w:type="paragraph" w:styleId="CommentSubject">
    <w:name w:val="annotation subject"/>
    <w:basedOn w:val="CommentText"/>
    <w:next w:val="CommentText"/>
    <w:link w:val="CommentSubjectChar"/>
    <w:uiPriority w:val="99"/>
    <w:semiHidden/>
    <w:unhideWhenUsed/>
    <w:rsid w:val="008156BE"/>
    <w:rPr>
      <w:b/>
      <w:bCs/>
      <w:sz w:val="20"/>
      <w:szCs w:val="20"/>
    </w:rPr>
  </w:style>
  <w:style w:type="character" w:customStyle="1" w:styleId="CommentSubjectChar">
    <w:name w:val="Comment Subject Char"/>
    <w:basedOn w:val="CommentTextChar"/>
    <w:link w:val="CommentSubject"/>
    <w:uiPriority w:val="99"/>
    <w:semiHidden/>
    <w:rsid w:val="008156BE"/>
    <w:rPr>
      <w:b/>
      <w:bCs/>
      <w:sz w:val="24"/>
      <w:szCs w:val="24"/>
      <w:lang w:val="es-ES_tradnl" w:eastAsia="en-US"/>
    </w:rPr>
  </w:style>
  <w:style w:type="character" w:customStyle="1" w:styleId="StyleUnivers10pt">
    <w:name w:val="Style Univers 10 pt"/>
    <w:uiPriority w:val="99"/>
    <w:rsid w:val="00AE7A03"/>
    <w:rPr>
      <w:rFonts w:ascii="Univers" w:hAnsi="Univers"/>
      <w:sz w:val="20"/>
    </w:rPr>
  </w:style>
  <w:style w:type="paragraph" w:styleId="BodyText2">
    <w:name w:val="Body Text 2"/>
    <w:basedOn w:val="Normal"/>
    <w:link w:val="BodyText2Char"/>
    <w:uiPriority w:val="99"/>
    <w:semiHidden/>
    <w:unhideWhenUsed/>
    <w:rsid w:val="000C76B0"/>
    <w:pPr>
      <w:spacing w:after="120" w:line="480" w:lineRule="auto"/>
    </w:pPr>
  </w:style>
  <w:style w:type="character" w:customStyle="1" w:styleId="BodyText2Char">
    <w:name w:val="Body Text 2 Char"/>
    <w:basedOn w:val="DefaultParagraphFont"/>
    <w:link w:val="BodyText2"/>
    <w:uiPriority w:val="99"/>
    <w:semiHidden/>
    <w:rsid w:val="000C76B0"/>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57096">
      <w:bodyDiv w:val="1"/>
      <w:marLeft w:val="0"/>
      <w:marRight w:val="0"/>
      <w:marTop w:val="0"/>
      <w:marBottom w:val="0"/>
      <w:divBdr>
        <w:top w:val="none" w:sz="0" w:space="0" w:color="auto"/>
        <w:left w:val="none" w:sz="0" w:space="0" w:color="auto"/>
        <w:bottom w:val="none" w:sz="0" w:space="0" w:color="auto"/>
        <w:right w:val="none" w:sz="0" w:space="0" w:color="auto"/>
      </w:divBdr>
    </w:div>
    <w:div w:id="693000123">
      <w:bodyDiv w:val="1"/>
      <w:marLeft w:val="0"/>
      <w:marRight w:val="0"/>
      <w:marTop w:val="0"/>
      <w:marBottom w:val="0"/>
      <w:divBdr>
        <w:top w:val="none" w:sz="0" w:space="0" w:color="auto"/>
        <w:left w:val="none" w:sz="0" w:space="0" w:color="auto"/>
        <w:bottom w:val="none" w:sz="0" w:space="0" w:color="auto"/>
        <w:right w:val="none" w:sz="0" w:space="0" w:color="auto"/>
      </w:divBdr>
    </w:div>
    <w:div w:id="746071991">
      <w:bodyDiv w:val="1"/>
      <w:marLeft w:val="0"/>
      <w:marRight w:val="0"/>
      <w:marTop w:val="0"/>
      <w:marBottom w:val="0"/>
      <w:divBdr>
        <w:top w:val="none" w:sz="0" w:space="0" w:color="auto"/>
        <w:left w:val="none" w:sz="0" w:space="0" w:color="auto"/>
        <w:bottom w:val="none" w:sz="0" w:space="0" w:color="auto"/>
        <w:right w:val="none" w:sz="0" w:space="0" w:color="auto"/>
      </w:divBdr>
    </w:div>
    <w:div w:id="778840035">
      <w:bodyDiv w:val="1"/>
      <w:marLeft w:val="0"/>
      <w:marRight w:val="0"/>
      <w:marTop w:val="0"/>
      <w:marBottom w:val="0"/>
      <w:divBdr>
        <w:top w:val="none" w:sz="0" w:space="0" w:color="auto"/>
        <w:left w:val="none" w:sz="0" w:space="0" w:color="auto"/>
        <w:bottom w:val="none" w:sz="0" w:space="0" w:color="auto"/>
        <w:right w:val="none" w:sz="0" w:space="0" w:color="auto"/>
      </w:divBdr>
    </w:div>
    <w:div w:id="811409433">
      <w:bodyDiv w:val="1"/>
      <w:marLeft w:val="0"/>
      <w:marRight w:val="0"/>
      <w:marTop w:val="0"/>
      <w:marBottom w:val="0"/>
      <w:divBdr>
        <w:top w:val="none" w:sz="0" w:space="0" w:color="auto"/>
        <w:left w:val="none" w:sz="0" w:space="0" w:color="auto"/>
        <w:bottom w:val="none" w:sz="0" w:space="0" w:color="auto"/>
        <w:right w:val="none" w:sz="0" w:space="0" w:color="auto"/>
      </w:divBdr>
    </w:div>
    <w:div w:id="888079324">
      <w:bodyDiv w:val="1"/>
      <w:marLeft w:val="0"/>
      <w:marRight w:val="0"/>
      <w:marTop w:val="0"/>
      <w:marBottom w:val="0"/>
      <w:divBdr>
        <w:top w:val="none" w:sz="0" w:space="0" w:color="auto"/>
        <w:left w:val="none" w:sz="0" w:space="0" w:color="auto"/>
        <w:bottom w:val="none" w:sz="0" w:space="0" w:color="auto"/>
        <w:right w:val="none" w:sz="0" w:space="0" w:color="auto"/>
      </w:divBdr>
    </w:div>
    <w:div w:id="909734101">
      <w:bodyDiv w:val="1"/>
      <w:marLeft w:val="0"/>
      <w:marRight w:val="0"/>
      <w:marTop w:val="0"/>
      <w:marBottom w:val="0"/>
      <w:divBdr>
        <w:top w:val="none" w:sz="0" w:space="0" w:color="auto"/>
        <w:left w:val="none" w:sz="0" w:space="0" w:color="auto"/>
        <w:bottom w:val="none" w:sz="0" w:space="0" w:color="auto"/>
        <w:right w:val="none" w:sz="0" w:space="0" w:color="auto"/>
      </w:divBdr>
    </w:div>
    <w:div w:id="932057566">
      <w:bodyDiv w:val="1"/>
      <w:marLeft w:val="0"/>
      <w:marRight w:val="0"/>
      <w:marTop w:val="0"/>
      <w:marBottom w:val="0"/>
      <w:divBdr>
        <w:top w:val="none" w:sz="0" w:space="0" w:color="auto"/>
        <w:left w:val="none" w:sz="0" w:space="0" w:color="auto"/>
        <w:bottom w:val="none" w:sz="0" w:space="0" w:color="auto"/>
        <w:right w:val="none" w:sz="0" w:space="0" w:color="auto"/>
      </w:divBdr>
    </w:div>
    <w:div w:id="1184855544">
      <w:bodyDiv w:val="1"/>
      <w:marLeft w:val="0"/>
      <w:marRight w:val="0"/>
      <w:marTop w:val="0"/>
      <w:marBottom w:val="0"/>
      <w:divBdr>
        <w:top w:val="none" w:sz="0" w:space="0" w:color="auto"/>
        <w:left w:val="none" w:sz="0" w:space="0" w:color="auto"/>
        <w:bottom w:val="none" w:sz="0" w:space="0" w:color="auto"/>
        <w:right w:val="none" w:sz="0" w:space="0" w:color="auto"/>
      </w:divBdr>
    </w:div>
    <w:div w:id="1628120027">
      <w:bodyDiv w:val="1"/>
      <w:marLeft w:val="0"/>
      <w:marRight w:val="0"/>
      <w:marTop w:val="0"/>
      <w:marBottom w:val="0"/>
      <w:divBdr>
        <w:top w:val="none" w:sz="0" w:space="0" w:color="auto"/>
        <w:left w:val="none" w:sz="0" w:space="0" w:color="auto"/>
        <w:bottom w:val="none" w:sz="0" w:space="0" w:color="auto"/>
        <w:right w:val="none" w:sz="0" w:space="0" w:color="auto"/>
      </w:divBdr>
    </w:div>
    <w:div w:id="168331761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7378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10.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6A04-CB5A-48D3-B2BB-7C70C11F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9058</Words>
  <Characters>47285</Characters>
  <Application>Microsoft Office Word</Application>
  <DocSecurity>0</DocSecurity>
  <Lines>875</Lines>
  <Paragraphs>176</Paragraphs>
  <ScaleCrop>false</ScaleCrop>
  <Company/>
  <LinksUpToDate>false</LinksUpToDate>
  <CharactersWithSpaces>56167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69/15</dc:title>
  <dc:creator/>
  <cp:lastModifiedBy/>
  <cp:revision>1</cp:revision>
  <dcterms:created xsi:type="dcterms:W3CDTF">2016-02-18T20:06:00Z</dcterms:created>
  <dcterms:modified xsi:type="dcterms:W3CDTF">2016-02-18T20:06:00Z</dcterms:modified>
</cp:coreProperties>
</file>