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E348E1" w:rsidRDefault="00D306D1" w:rsidP="00627C9F">
      <w:pPr>
        <w:jc w:val="both"/>
        <w:rPr>
          <w:rFonts w:asciiTheme="majorHAnsi" w:hAnsiTheme="majorHAnsi" w:cs="Univers"/>
          <w:b/>
          <w:bCs/>
          <w:sz w:val="20"/>
          <w:szCs w:val="20"/>
          <w:lang w:val="es-ES_tradnl"/>
        </w:rPr>
      </w:pPr>
      <w:r w:rsidRPr="00E348E1">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1F1CE85" wp14:editId="048C84F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348E1">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DD661A9" wp14:editId="446D470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9BB" w:rsidRDefault="001F09BB" w:rsidP="00AE5488">
                            <w:r>
                              <w:rPr>
                                <w:noProof/>
                              </w:rPr>
                              <w:drawing>
                                <wp:inline distT="0" distB="0" distL="0" distR="0" wp14:anchorId="308B88C1" wp14:editId="740A207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1F09BB" w:rsidRDefault="001F09BB" w:rsidP="00AE5488">
                      <w:r>
                        <w:rPr>
                          <w:noProof/>
                        </w:rPr>
                        <w:drawing>
                          <wp:inline distT="0" distB="0" distL="0" distR="0" wp14:anchorId="308B88C1" wp14:editId="740A207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E348E1" w:rsidRDefault="00040C3A" w:rsidP="00040C3A">
      <w:pPr>
        <w:tabs>
          <w:tab w:val="center" w:pos="5400"/>
        </w:tabs>
        <w:suppressAutoHyphens/>
        <w:jc w:val="both"/>
        <w:rPr>
          <w:rFonts w:asciiTheme="majorHAnsi" w:hAnsiTheme="majorHAnsi"/>
          <w:sz w:val="20"/>
          <w:szCs w:val="20"/>
          <w:lang w:val="es-ES"/>
        </w:rPr>
      </w:pPr>
    </w:p>
    <w:p w:rsidR="00040C3A" w:rsidRPr="00E348E1" w:rsidRDefault="00040C3A" w:rsidP="00040C3A">
      <w:pPr>
        <w:tabs>
          <w:tab w:val="center" w:pos="5400"/>
        </w:tabs>
        <w:suppressAutoHyphens/>
        <w:jc w:val="both"/>
        <w:rPr>
          <w:rFonts w:asciiTheme="majorHAnsi" w:hAnsiTheme="majorHAnsi"/>
          <w:sz w:val="20"/>
          <w:szCs w:val="20"/>
          <w:lang w:val="es-ES"/>
        </w:rPr>
      </w:pPr>
    </w:p>
    <w:p w:rsidR="005128E4" w:rsidRPr="00E348E1" w:rsidRDefault="005128E4" w:rsidP="00040C3A">
      <w:pPr>
        <w:tabs>
          <w:tab w:val="center" w:pos="5400"/>
        </w:tabs>
        <w:suppressAutoHyphens/>
        <w:rPr>
          <w:rFonts w:asciiTheme="majorHAnsi" w:hAnsiTheme="majorHAnsi"/>
          <w:sz w:val="20"/>
          <w:szCs w:val="20"/>
          <w:lang w:val="es-ES_tradnl"/>
        </w:rPr>
      </w:pPr>
    </w:p>
    <w:p w:rsidR="005128E4" w:rsidRPr="00E348E1" w:rsidRDefault="005128E4" w:rsidP="00040C3A">
      <w:pPr>
        <w:tabs>
          <w:tab w:val="center" w:pos="5400"/>
        </w:tabs>
        <w:suppressAutoHyphens/>
        <w:rPr>
          <w:rFonts w:asciiTheme="majorHAnsi" w:hAnsiTheme="majorHAnsi"/>
          <w:sz w:val="20"/>
          <w:szCs w:val="20"/>
          <w:lang w:val="es-ES_tradnl"/>
        </w:rPr>
      </w:pPr>
    </w:p>
    <w:p w:rsidR="005128E4" w:rsidRPr="00E348E1" w:rsidRDefault="005128E4" w:rsidP="00040C3A">
      <w:pPr>
        <w:tabs>
          <w:tab w:val="center" w:pos="5400"/>
        </w:tabs>
        <w:suppressAutoHyphens/>
        <w:rPr>
          <w:rFonts w:asciiTheme="majorHAnsi" w:hAnsiTheme="majorHAnsi"/>
          <w:sz w:val="20"/>
          <w:szCs w:val="20"/>
          <w:lang w:val="es-ES_tradnl"/>
        </w:rPr>
      </w:pPr>
    </w:p>
    <w:p w:rsidR="00040C3A" w:rsidRPr="00E348E1" w:rsidRDefault="00040C3A" w:rsidP="005128E4">
      <w:pPr>
        <w:tabs>
          <w:tab w:val="center" w:pos="5400"/>
        </w:tabs>
        <w:suppressAutoHyphens/>
        <w:jc w:val="center"/>
        <w:rPr>
          <w:rFonts w:asciiTheme="majorHAnsi" w:hAnsiTheme="majorHAnsi"/>
          <w:sz w:val="20"/>
          <w:szCs w:val="20"/>
          <w:lang w:val="es-ES_tradnl"/>
        </w:rPr>
      </w:pPr>
    </w:p>
    <w:p w:rsidR="00040C3A" w:rsidRPr="00E348E1" w:rsidRDefault="00040C3A" w:rsidP="005128E4">
      <w:pPr>
        <w:tabs>
          <w:tab w:val="center" w:pos="5400"/>
        </w:tabs>
        <w:suppressAutoHyphens/>
        <w:jc w:val="center"/>
        <w:rPr>
          <w:rFonts w:asciiTheme="majorHAnsi" w:hAnsiTheme="majorHAnsi"/>
          <w:sz w:val="20"/>
          <w:szCs w:val="20"/>
          <w:lang w:val="es-ES_tradnl"/>
        </w:rPr>
      </w:pPr>
    </w:p>
    <w:p w:rsidR="005B52B0" w:rsidRPr="00E348E1" w:rsidRDefault="005B52B0" w:rsidP="005128E4">
      <w:pPr>
        <w:tabs>
          <w:tab w:val="center" w:pos="5400"/>
        </w:tabs>
        <w:suppressAutoHyphens/>
        <w:jc w:val="center"/>
        <w:rPr>
          <w:rFonts w:asciiTheme="majorHAnsi" w:hAnsiTheme="majorHAnsi"/>
          <w:sz w:val="20"/>
          <w:szCs w:val="20"/>
          <w:lang w:val="es-ES_tradnl"/>
        </w:rPr>
      </w:pPr>
    </w:p>
    <w:p w:rsidR="005B52B0" w:rsidRPr="00E348E1" w:rsidRDefault="005B52B0" w:rsidP="005128E4">
      <w:pPr>
        <w:tabs>
          <w:tab w:val="center" w:pos="5400"/>
        </w:tabs>
        <w:suppressAutoHyphens/>
        <w:jc w:val="center"/>
        <w:rPr>
          <w:rFonts w:asciiTheme="majorHAnsi" w:hAnsiTheme="majorHAnsi"/>
          <w:sz w:val="20"/>
          <w:szCs w:val="20"/>
          <w:lang w:val="es-ES_tradnl"/>
        </w:rPr>
      </w:pPr>
    </w:p>
    <w:p w:rsidR="005B52B0" w:rsidRPr="00E348E1" w:rsidRDefault="005B52B0" w:rsidP="005128E4">
      <w:pPr>
        <w:tabs>
          <w:tab w:val="center" w:pos="5400"/>
        </w:tabs>
        <w:suppressAutoHyphens/>
        <w:jc w:val="center"/>
        <w:rPr>
          <w:rFonts w:asciiTheme="majorHAnsi" w:hAnsiTheme="majorHAnsi"/>
          <w:sz w:val="20"/>
          <w:szCs w:val="20"/>
          <w:lang w:val="es-ES_tradnl"/>
        </w:rPr>
      </w:pPr>
    </w:p>
    <w:p w:rsidR="00040C3A" w:rsidRPr="00E348E1" w:rsidRDefault="00040C3A" w:rsidP="00040C3A">
      <w:pPr>
        <w:tabs>
          <w:tab w:val="center" w:pos="5400"/>
        </w:tabs>
        <w:suppressAutoHyphens/>
        <w:jc w:val="center"/>
        <w:rPr>
          <w:rFonts w:asciiTheme="majorHAnsi" w:hAnsiTheme="majorHAnsi"/>
          <w:sz w:val="20"/>
          <w:szCs w:val="20"/>
          <w:lang w:val="es-ES_tradnl"/>
        </w:rPr>
      </w:pPr>
    </w:p>
    <w:p w:rsidR="00040C3A" w:rsidRPr="00E348E1" w:rsidRDefault="00040C3A" w:rsidP="00040C3A">
      <w:pPr>
        <w:tabs>
          <w:tab w:val="center" w:pos="5400"/>
        </w:tabs>
        <w:suppressAutoHyphens/>
        <w:jc w:val="center"/>
        <w:rPr>
          <w:rFonts w:asciiTheme="majorHAnsi" w:hAnsiTheme="majorHAnsi"/>
          <w:sz w:val="20"/>
          <w:szCs w:val="20"/>
          <w:lang w:val="es-ES_tradnl"/>
        </w:rPr>
      </w:pPr>
    </w:p>
    <w:p w:rsidR="00040C3A" w:rsidRPr="00E348E1" w:rsidRDefault="003D3BC2" w:rsidP="00040C3A">
      <w:pPr>
        <w:tabs>
          <w:tab w:val="center" w:pos="5400"/>
        </w:tabs>
        <w:suppressAutoHyphens/>
        <w:jc w:val="center"/>
        <w:rPr>
          <w:rFonts w:asciiTheme="majorHAnsi" w:hAnsiTheme="majorHAnsi"/>
          <w:sz w:val="20"/>
          <w:szCs w:val="20"/>
          <w:lang w:val="es-ES_tradnl"/>
        </w:rPr>
      </w:pPr>
      <w:r w:rsidRPr="00E348E1">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F4A4E41" wp14:editId="50A8D95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9BB" w:rsidRPr="004E2649" w:rsidRDefault="001F09B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40013">
                              <w:rPr>
                                <w:rFonts w:asciiTheme="majorHAnsi" w:hAnsiTheme="majorHAnsi" w:cs="Arial"/>
                                <w:b/>
                                <w:bCs/>
                                <w:color w:val="0D0D0D" w:themeColor="text1" w:themeTint="F2"/>
                                <w:sz w:val="36"/>
                                <w:szCs w:val="22"/>
                                <w:lang w:val="es-ES_tradnl"/>
                              </w:rPr>
                              <w:t>68</w:t>
                            </w:r>
                            <w:r w:rsidRPr="004E2649">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5</w:t>
                            </w:r>
                          </w:p>
                          <w:p w:rsidR="001F09BB" w:rsidRPr="004E2649" w:rsidRDefault="001F09B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882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03</w:t>
                            </w:r>
                          </w:p>
                          <w:p w:rsidR="001F09BB" w:rsidRPr="0010736F" w:rsidRDefault="001F09BB" w:rsidP="004F671F">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1F09BB" w:rsidRPr="0010736F" w:rsidRDefault="001F09BB" w:rsidP="00997BC5">
                            <w:pPr>
                              <w:spacing w:line="276" w:lineRule="auto"/>
                              <w:rPr>
                                <w:rFonts w:asciiTheme="majorHAnsi" w:hAnsiTheme="majorHAnsi" w:cs="Arial"/>
                                <w:color w:val="0D0D0D" w:themeColor="text1" w:themeTint="F2"/>
                                <w:szCs w:val="22"/>
                                <w:lang w:val="es-ES_tradnl"/>
                              </w:rPr>
                            </w:pPr>
                            <w:bookmarkStart w:id="1" w:name="_ftnref1"/>
                          </w:p>
                          <w:bookmarkEnd w:id="1"/>
                          <w:p w:rsidR="001F09BB" w:rsidRPr="00C7569E" w:rsidRDefault="001F09BB" w:rsidP="00C7569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VÍCTIMAS </w:t>
                            </w:r>
                            <w:r w:rsidRPr="00C7569E">
                              <w:rPr>
                                <w:rFonts w:asciiTheme="majorHAnsi" w:hAnsiTheme="majorHAnsi" w:cs="Arial"/>
                                <w:color w:val="0D0D0D" w:themeColor="text1" w:themeTint="F2"/>
                                <w:szCs w:val="22"/>
                                <w:lang w:val="es-ES"/>
                              </w:rPr>
                              <w:t>DE LA DICTADURA MILITAR</w:t>
                            </w:r>
                          </w:p>
                          <w:p w:rsidR="001F09BB" w:rsidRPr="0010736F" w:rsidRDefault="001F09B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PANAMÁ </w:t>
                            </w:r>
                          </w:p>
                          <w:p w:rsidR="001F09BB" w:rsidRPr="00AE5488" w:rsidRDefault="001F09B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1F09BB" w:rsidRPr="004E2649" w:rsidRDefault="001F09B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40013">
                        <w:rPr>
                          <w:rFonts w:asciiTheme="majorHAnsi" w:hAnsiTheme="majorHAnsi" w:cs="Arial"/>
                          <w:b/>
                          <w:bCs/>
                          <w:color w:val="0D0D0D" w:themeColor="text1" w:themeTint="F2"/>
                          <w:sz w:val="36"/>
                          <w:szCs w:val="22"/>
                          <w:lang w:val="es-ES_tradnl"/>
                        </w:rPr>
                        <w:t>68</w:t>
                      </w:r>
                      <w:r w:rsidRPr="004E2649">
                        <w:rPr>
                          <w:rFonts w:asciiTheme="majorHAnsi" w:hAnsiTheme="majorHAnsi" w:cs="Arial"/>
                          <w:b/>
                          <w:bCs/>
                          <w:color w:val="0D0D0D" w:themeColor="text1" w:themeTint="F2"/>
                          <w:sz w:val="36"/>
                          <w:szCs w:val="22"/>
                          <w:lang w:val="es-ES_tradnl"/>
                        </w:rPr>
                        <w:t>/1</w:t>
                      </w:r>
                      <w:r>
                        <w:rPr>
                          <w:rFonts w:asciiTheme="majorHAnsi" w:hAnsiTheme="majorHAnsi" w:cs="Arial"/>
                          <w:b/>
                          <w:bCs/>
                          <w:color w:val="0D0D0D" w:themeColor="text1" w:themeTint="F2"/>
                          <w:sz w:val="36"/>
                          <w:szCs w:val="22"/>
                          <w:lang w:val="es-ES_tradnl"/>
                        </w:rPr>
                        <w:t>5</w:t>
                      </w:r>
                    </w:p>
                    <w:p w:rsidR="001F09BB" w:rsidRPr="004E2649" w:rsidRDefault="001F09B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882</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03</w:t>
                      </w:r>
                    </w:p>
                    <w:p w:rsidR="001F09BB" w:rsidRPr="0010736F" w:rsidRDefault="001F09BB" w:rsidP="004F671F">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1F09BB" w:rsidRPr="0010736F" w:rsidRDefault="001F09BB" w:rsidP="00997BC5">
                      <w:pPr>
                        <w:spacing w:line="276" w:lineRule="auto"/>
                        <w:rPr>
                          <w:rFonts w:asciiTheme="majorHAnsi" w:hAnsiTheme="majorHAnsi" w:cs="Arial"/>
                          <w:color w:val="0D0D0D" w:themeColor="text1" w:themeTint="F2"/>
                          <w:szCs w:val="22"/>
                          <w:lang w:val="es-ES_tradnl"/>
                        </w:rPr>
                      </w:pPr>
                      <w:bookmarkStart w:id="1" w:name="_ftnref1"/>
                    </w:p>
                    <w:bookmarkEnd w:id="1"/>
                    <w:p w:rsidR="001F09BB" w:rsidRPr="00C7569E" w:rsidRDefault="001F09BB" w:rsidP="00C7569E">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
                        </w:rPr>
                        <w:t xml:space="preserve">VÍCTIMAS </w:t>
                      </w:r>
                      <w:r w:rsidRPr="00C7569E">
                        <w:rPr>
                          <w:rFonts w:asciiTheme="majorHAnsi" w:hAnsiTheme="majorHAnsi" w:cs="Arial"/>
                          <w:color w:val="0D0D0D" w:themeColor="text1" w:themeTint="F2"/>
                          <w:szCs w:val="22"/>
                          <w:lang w:val="es-ES"/>
                        </w:rPr>
                        <w:t>DE LA DICTADURA MILITAR</w:t>
                      </w:r>
                    </w:p>
                    <w:p w:rsidR="001F09BB" w:rsidRPr="0010736F" w:rsidRDefault="001F09B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 xml:space="preserve">PANAMÁ </w:t>
                      </w:r>
                    </w:p>
                    <w:p w:rsidR="001F09BB" w:rsidRPr="00AE5488" w:rsidRDefault="001F09BB" w:rsidP="007A5817">
                      <w:pPr>
                        <w:rPr>
                          <w:color w:val="0D0D0D" w:themeColor="text1" w:themeTint="F2"/>
                          <w:lang w:val="es-ES_tradnl"/>
                        </w:rPr>
                      </w:pPr>
                    </w:p>
                  </w:txbxContent>
                </v:textbox>
              </v:shape>
            </w:pict>
          </mc:Fallback>
        </mc:AlternateContent>
      </w:r>
      <w:r w:rsidR="004E2649" w:rsidRPr="00E348E1">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8A7EF78" wp14:editId="5D9AC64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9BB" w:rsidRPr="004E2649" w:rsidRDefault="001F09B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Pr>
                                <w:rFonts w:asciiTheme="minorHAnsi" w:hAnsiTheme="minorHAnsi"/>
                                <w:color w:val="FFFFFF" w:themeColor="background1"/>
                                <w:sz w:val="22"/>
                                <w:lang w:val="pt-BR"/>
                              </w:rPr>
                              <w:t>6</w:t>
                            </w:r>
                          </w:p>
                          <w:p w:rsidR="001F09BB" w:rsidRPr="004E2649" w:rsidRDefault="001F09B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40013">
                              <w:rPr>
                                <w:rFonts w:asciiTheme="minorHAnsi" w:hAnsiTheme="minorHAnsi"/>
                                <w:color w:val="FFFFFF" w:themeColor="background1"/>
                                <w:sz w:val="22"/>
                                <w:lang w:val="pt-BR"/>
                              </w:rPr>
                              <w:t>20</w:t>
                            </w:r>
                          </w:p>
                          <w:p w:rsidR="001F09BB" w:rsidRPr="004E2649" w:rsidRDefault="00034F0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w:t>
                            </w:r>
                            <w:r w:rsidR="001F09BB" w:rsidRPr="004E2649">
                              <w:rPr>
                                <w:rFonts w:asciiTheme="minorHAnsi" w:hAnsiTheme="minorHAnsi"/>
                                <w:color w:val="FFFFFF" w:themeColor="background1"/>
                                <w:sz w:val="22"/>
                              </w:rPr>
                              <w:t xml:space="preserve"> </w:t>
                            </w:r>
                            <w:r w:rsidR="003314DB">
                              <w:rPr>
                                <w:rFonts w:asciiTheme="minorHAnsi" w:hAnsiTheme="minorHAnsi"/>
                                <w:color w:val="FFFFFF" w:themeColor="background1"/>
                                <w:sz w:val="22"/>
                              </w:rPr>
                              <w:t>octubre</w:t>
                            </w:r>
                            <w:r w:rsidR="001F09BB" w:rsidRPr="004E2649">
                              <w:rPr>
                                <w:rFonts w:asciiTheme="minorHAnsi" w:hAnsiTheme="minorHAnsi"/>
                                <w:color w:val="FFFFFF" w:themeColor="background1"/>
                                <w:sz w:val="22"/>
                              </w:rPr>
                              <w:t xml:space="preserve"> 201</w:t>
                            </w:r>
                            <w:r w:rsidR="001F09BB">
                              <w:rPr>
                                <w:rFonts w:asciiTheme="minorHAnsi" w:hAnsiTheme="minorHAnsi"/>
                                <w:color w:val="FFFFFF" w:themeColor="background1"/>
                                <w:sz w:val="22"/>
                              </w:rPr>
                              <w:t>5</w:t>
                            </w:r>
                          </w:p>
                          <w:p w:rsidR="001F09BB" w:rsidRPr="004E2649" w:rsidRDefault="001F09B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1F09BB" w:rsidRPr="004E2649" w:rsidRDefault="001F09B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Pr>
                          <w:rFonts w:asciiTheme="minorHAnsi" w:hAnsiTheme="minorHAnsi"/>
                          <w:color w:val="FFFFFF" w:themeColor="background1"/>
                          <w:sz w:val="22"/>
                          <w:lang w:val="pt-BR"/>
                        </w:rPr>
                        <w:t>6</w:t>
                      </w:r>
                    </w:p>
                    <w:p w:rsidR="001F09BB" w:rsidRPr="004E2649" w:rsidRDefault="001F09BB"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B40013">
                        <w:rPr>
                          <w:rFonts w:asciiTheme="minorHAnsi" w:hAnsiTheme="minorHAnsi"/>
                          <w:color w:val="FFFFFF" w:themeColor="background1"/>
                          <w:sz w:val="22"/>
                          <w:lang w:val="pt-BR"/>
                        </w:rPr>
                        <w:t>20</w:t>
                      </w:r>
                    </w:p>
                    <w:p w:rsidR="001F09BB" w:rsidRPr="004E2649" w:rsidRDefault="00034F0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w:t>
                      </w:r>
                      <w:r w:rsidR="001F09BB" w:rsidRPr="004E2649">
                        <w:rPr>
                          <w:rFonts w:asciiTheme="minorHAnsi" w:hAnsiTheme="minorHAnsi"/>
                          <w:color w:val="FFFFFF" w:themeColor="background1"/>
                          <w:sz w:val="22"/>
                        </w:rPr>
                        <w:t xml:space="preserve"> </w:t>
                      </w:r>
                      <w:proofErr w:type="spellStart"/>
                      <w:r w:rsidR="003314DB">
                        <w:rPr>
                          <w:rFonts w:asciiTheme="minorHAnsi" w:hAnsiTheme="minorHAnsi"/>
                          <w:color w:val="FFFFFF" w:themeColor="background1"/>
                          <w:sz w:val="22"/>
                        </w:rPr>
                        <w:t>octubre</w:t>
                      </w:r>
                      <w:proofErr w:type="spellEnd"/>
                      <w:r w:rsidR="001F09BB" w:rsidRPr="004E2649">
                        <w:rPr>
                          <w:rFonts w:asciiTheme="minorHAnsi" w:hAnsiTheme="minorHAnsi"/>
                          <w:color w:val="FFFFFF" w:themeColor="background1"/>
                          <w:sz w:val="22"/>
                        </w:rPr>
                        <w:t xml:space="preserve"> 201</w:t>
                      </w:r>
                      <w:r w:rsidR="001F09BB">
                        <w:rPr>
                          <w:rFonts w:asciiTheme="minorHAnsi" w:hAnsiTheme="minorHAnsi"/>
                          <w:color w:val="FFFFFF" w:themeColor="background1"/>
                          <w:sz w:val="22"/>
                        </w:rPr>
                        <w:t>5</w:t>
                      </w:r>
                    </w:p>
                    <w:p w:rsidR="001F09BB" w:rsidRPr="004E2649" w:rsidRDefault="001F09B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E348E1" w:rsidRDefault="00040C3A" w:rsidP="00040C3A">
      <w:pPr>
        <w:tabs>
          <w:tab w:val="center" w:pos="5400"/>
        </w:tabs>
        <w:suppressAutoHyphens/>
        <w:jc w:val="center"/>
        <w:rPr>
          <w:rFonts w:asciiTheme="majorHAnsi" w:hAnsiTheme="majorHAnsi"/>
          <w:sz w:val="20"/>
          <w:szCs w:val="20"/>
          <w:lang w:val="es-ES_tradnl"/>
        </w:rPr>
      </w:pPr>
    </w:p>
    <w:p w:rsidR="00040C3A" w:rsidRPr="00E348E1" w:rsidRDefault="00040C3A" w:rsidP="00040C3A">
      <w:pPr>
        <w:tabs>
          <w:tab w:val="center" w:pos="5400"/>
        </w:tabs>
        <w:suppressAutoHyphens/>
        <w:jc w:val="center"/>
        <w:rPr>
          <w:rFonts w:asciiTheme="majorHAnsi" w:hAnsiTheme="majorHAnsi"/>
          <w:sz w:val="20"/>
          <w:szCs w:val="20"/>
          <w:lang w:val="es-ES_tradnl"/>
        </w:rPr>
      </w:pPr>
    </w:p>
    <w:p w:rsidR="00040C3A" w:rsidRPr="00E348E1" w:rsidRDefault="00040C3A" w:rsidP="00040C3A">
      <w:pPr>
        <w:tabs>
          <w:tab w:val="center" w:pos="5400"/>
        </w:tabs>
        <w:suppressAutoHyphens/>
        <w:jc w:val="center"/>
        <w:rPr>
          <w:rFonts w:asciiTheme="majorHAnsi" w:hAnsiTheme="majorHAnsi" w:cs="Arial"/>
          <w:sz w:val="20"/>
          <w:szCs w:val="20"/>
          <w:lang w:val="es-ES_tradnl"/>
        </w:rPr>
      </w:pPr>
    </w:p>
    <w:p w:rsidR="00040C3A" w:rsidRPr="00E348E1" w:rsidRDefault="00040C3A" w:rsidP="00040C3A">
      <w:pPr>
        <w:tabs>
          <w:tab w:val="center" w:pos="5400"/>
        </w:tabs>
        <w:suppressAutoHyphens/>
        <w:jc w:val="center"/>
        <w:rPr>
          <w:rFonts w:asciiTheme="majorHAnsi" w:hAnsiTheme="majorHAnsi"/>
          <w:sz w:val="20"/>
          <w:szCs w:val="20"/>
          <w:lang w:val="es-ES_tradnl"/>
        </w:rPr>
      </w:pPr>
    </w:p>
    <w:p w:rsidR="00040C3A" w:rsidRPr="00E348E1" w:rsidRDefault="00040C3A" w:rsidP="00040C3A">
      <w:pPr>
        <w:tabs>
          <w:tab w:val="center" w:pos="5400"/>
        </w:tabs>
        <w:suppressAutoHyphens/>
        <w:jc w:val="center"/>
        <w:rPr>
          <w:rFonts w:asciiTheme="majorHAnsi" w:hAnsiTheme="majorHAnsi"/>
          <w:sz w:val="20"/>
          <w:szCs w:val="20"/>
          <w:lang w:val="es-ES_tradnl"/>
        </w:rPr>
      </w:pPr>
    </w:p>
    <w:p w:rsidR="00040C3A" w:rsidRPr="00E348E1" w:rsidRDefault="00040C3A" w:rsidP="00040C3A">
      <w:pPr>
        <w:tabs>
          <w:tab w:val="center" w:pos="5400"/>
        </w:tabs>
        <w:suppressAutoHyphens/>
        <w:jc w:val="center"/>
        <w:rPr>
          <w:rFonts w:asciiTheme="majorHAnsi" w:hAnsiTheme="majorHAnsi"/>
          <w:sz w:val="20"/>
          <w:szCs w:val="20"/>
          <w:lang w:val="es-ES_tradnl"/>
        </w:rPr>
      </w:pPr>
    </w:p>
    <w:p w:rsidR="00040C3A" w:rsidRPr="00E348E1" w:rsidRDefault="00040C3A" w:rsidP="00040C3A">
      <w:pPr>
        <w:tabs>
          <w:tab w:val="center" w:pos="5400"/>
        </w:tabs>
        <w:suppressAutoHyphens/>
        <w:jc w:val="center"/>
        <w:rPr>
          <w:rFonts w:asciiTheme="majorHAnsi" w:hAnsiTheme="majorHAnsi"/>
          <w:sz w:val="20"/>
          <w:szCs w:val="20"/>
          <w:lang w:val="es-ES_tradnl"/>
        </w:rPr>
      </w:pPr>
    </w:p>
    <w:p w:rsidR="005128E4" w:rsidRPr="00E348E1" w:rsidRDefault="005128E4" w:rsidP="00040C3A">
      <w:pPr>
        <w:tabs>
          <w:tab w:val="center" w:pos="5400"/>
        </w:tabs>
        <w:suppressAutoHyphens/>
        <w:jc w:val="center"/>
        <w:rPr>
          <w:rFonts w:asciiTheme="majorHAnsi" w:hAnsiTheme="majorHAnsi"/>
          <w:sz w:val="20"/>
          <w:szCs w:val="20"/>
          <w:lang w:val="es-ES_tradnl"/>
        </w:rPr>
      </w:pPr>
    </w:p>
    <w:p w:rsidR="00040C3A" w:rsidRPr="00E348E1" w:rsidRDefault="00040C3A" w:rsidP="00040C3A">
      <w:pPr>
        <w:tabs>
          <w:tab w:val="center" w:pos="5400"/>
        </w:tabs>
        <w:suppressAutoHyphens/>
        <w:jc w:val="center"/>
        <w:rPr>
          <w:rFonts w:asciiTheme="majorHAnsi" w:hAnsiTheme="majorHAnsi"/>
          <w:sz w:val="20"/>
          <w:szCs w:val="20"/>
          <w:lang w:val="es-ES_tradnl"/>
        </w:rPr>
      </w:pPr>
    </w:p>
    <w:p w:rsidR="005128E4" w:rsidRPr="00E348E1" w:rsidRDefault="005128E4" w:rsidP="00040C3A">
      <w:pPr>
        <w:tabs>
          <w:tab w:val="center" w:pos="5400"/>
        </w:tabs>
        <w:suppressAutoHyphens/>
        <w:jc w:val="center"/>
        <w:rPr>
          <w:rFonts w:asciiTheme="majorHAnsi" w:hAnsiTheme="majorHAnsi"/>
          <w:sz w:val="20"/>
          <w:szCs w:val="20"/>
          <w:lang w:val="es-ES_tradnl"/>
        </w:rPr>
      </w:pPr>
    </w:p>
    <w:p w:rsidR="005128E4" w:rsidRPr="00E348E1" w:rsidRDefault="005128E4" w:rsidP="00040C3A">
      <w:pPr>
        <w:tabs>
          <w:tab w:val="center" w:pos="5400"/>
        </w:tabs>
        <w:suppressAutoHyphens/>
        <w:jc w:val="center"/>
        <w:rPr>
          <w:rFonts w:asciiTheme="majorHAnsi" w:hAnsiTheme="majorHAnsi"/>
          <w:sz w:val="20"/>
          <w:szCs w:val="20"/>
          <w:lang w:val="es-ES_tradnl"/>
        </w:rPr>
      </w:pPr>
    </w:p>
    <w:p w:rsidR="005128E4" w:rsidRPr="00E348E1" w:rsidRDefault="005128E4" w:rsidP="00040C3A">
      <w:pPr>
        <w:tabs>
          <w:tab w:val="center" w:pos="5400"/>
        </w:tabs>
        <w:suppressAutoHyphens/>
        <w:jc w:val="center"/>
        <w:rPr>
          <w:rFonts w:asciiTheme="majorHAnsi" w:hAnsiTheme="majorHAnsi"/>
          <w:sz w:val="20"/>
          <w:szCs w:val="20"/>
          <w:lang w:val="es-ES_tradnl"/>
        </w:rPr>
      </w:pPr>
    </w:p>
    <w:p w:rsidR="00040C3A" w:rsidRPr="00E348E1" w:rsidRDefault="00040C3A" w:rsidP="00040C3A">
      <w:pPr>
        <w:tabs>
          <w:tab w:val="center" w:pos="5400"/>
        </w:tabs>
        <w:suppressAutoHyphens/>
        <w:jc w:val="center"/>
        <w:rPr>
          <w:rFonts w:asciiTheme="majorHAnsi" w:hAnsiTheme="majorHAnsi"/>
          <w:sz w:val="20"/>
          <w:szCs w:val="20"/>
          <w:lang w:val="es-ES_tradnl"/>
        </w:rPr>
      </w:pPr>
    </w:p>
    <w:p w:rsidR="00040C3A" w:rsidRPr="00E348E1" w:rsidRDefault="00040C3A"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90270B" w:rsidP="00040C3A">
      <w:pPr>
        <w:tabs>
          <w:tab w:val="center" w:pos="5400"/>
        </w:tabs>
        <w:suppressAutoHyphens/>
        <w:jc w:val="center"/>
        <w:rPr>
          <w:rFonts w:asciiTheme="majorHAnsi" w:hAnsiTheme="majorHAnsi"/>
          <w:sz w:val="20"/>
          <w:szCs w:val="20"/>
          <w:lang w:val="es-ES_tradnl"/>
        </w:rPr>
      </w:pPr>
      <w:r w:rsidRPr="00E348E1">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15B4889A" wp14:editId="49E93F6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9BB" w:rsidRPr="00890650" w:rsidRDefault="001F09B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40013">
                              <w:rPr>
                                <w:rFonts w:asciiTheme="majorHAnsi" w:hAnsiTheme="majorHAnsi"/>
                                <w:color w:val="0D0D0D" w:themeColor="text1" w:themeTint="F2"/>
                                <w:sz w:val="18"/>
                                <w:szCs w:val="20"/>
                                <w:lang w:val="es-ES"/>
                              </w:rPr>
                              <w:t>2051</w:t>
                            </w:r>
                            <w:r w:rsidRPr="00890650">
                              <w:rPr>
                                <w:rFonts w:asciiTheme="majorHAnsi" w:hAnsiTheme="majorHAnsi"/>
                                <w:color w:val="0D0D0D" w:themeColor="text1" w:themeTint="F2"/>
                                <w:sz w:val="18"/>
                                <w:szCs w:val="20"/>
                                <w:lang w:val="es-ES"/>
                              </w:rPr>
                              <w:t xml:space="preserve"> celebrada el </w:t>
                            </w:r>
                            <w:r w:rsidR="00B40013">
                              <w:rPr>
                                <w:rFonts w:asciiTheme="majorHAnsi" w:hAnsiTheme="majorHAnsi"/>
                                <w:color w:val="0D0D0D" w:themeColor="text1" w:themeTint="F2"/>
                                <w:sz w:val="18"/>
                                <w:szCs w:val="20"/>
                                <w:lang w:val="es-ES"/>
                              </w:rPr>
                              <w:t>27</w:t>
                            </w:r>
                            <w:r w:rsidRPr="00890650">
                              <w:rPr>
                                <w:rFonts w:asciiTheme="majorHAnsi" w:hAnsiTheme="majorHAnsi"/>
                                <w:color w:val="0D0D0D" w:themeColor="text1" w:themeTint="F2"/>
                                <w:sz w:val="18"/>
                                <w:szCs w:val="20"/>
                                <w:lang w:val="es-ES"/>
                              </w:rPr>
                              <w:t xml:space="preserve"> de</w:t>
                            </w:r>
                            <w:r w:rsidR="003314DB">
                              <w:rPr>
                                <w:rFonts w:asciiTheme="majorHAnsi" w:hAnsiTheme="majorHAnsi"/>
                                <w:color w:val="0D0D0D" w:themeColor="text1" w:themeTint="F2"/>
                                <w:sz w:val="18"/>
                                <w:szCs w:val="20"/>
                                <w:lang w:val="es-ES"/>
                              </w:rPr>
                              <w:t xml:space="preserv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sidR="00B40013">
                              <w:rPr>
                                <w:rFonts w:asciiTheme="majorHAnsi" w:hAnsiTheme="majorHAnsi" w:cs="Univers"/>
                                <w:color w:val="0D0D0D" w:themeColor="text1" w:themeTint="F2"/>
                                <w:sz w:val="18"/>
                                <w:szCs w:val="20"/>
                                <w:lang w:val="es-ES_tradnl"/>
                              </w:rPr>
                              <w:t>6</w:t>
                            </w:r>
                            <w:r w:rsidRPr="00890650">
                              <w:rPr>
                                <w:rFonts w:asciiTheme="majorHAnsi" w:hAnsiTheme="majorHAnsi" w:cs="Univers"/>
                                <w:color w:val="0D0D0D" w:themeColor="text1" w:themeTint="F2"/>
                                <w:sz w:val="18"/>
                                <w:szCs w:val="20"/>
                                <w:lang w:val="es-ES_tradnl"/>
                              </w:rPr>
                              <w:t xml:space="preserve"> período ordinario de sesiones</w:t>
                            </w:r>
                            <w:r w:rsidR="007C0DEF">
                              <w:rPr>
                                <w:rFonts w:asciiTheme="majorHAnsi" w:hAnsiTheme="majorHAnsi" w:cs="Univers"/>
                                <w:color w:val="0D0D0D" w:themeColor="text1" w:themeTint="F2"/>
                                <w:sz w:val="18"/>
                                <w:szCs w:val="20"/>
                                <w:lang w:val="es-ES_tradnl"/>
                              </w:rPr>
                              <w:t>.</w:t>
                            </w:r>
                          </w:p>
                          <w:p w:rsidR="001F09BB" w:rsidRPr="007A5817" w:rsidRDefault="001F09BB" w:rsidP="00247403">
                            <w:pPr>
                              <w:tabs>
                                <w:tab w:val="center" w:pos="5400"/>
                              </w:tabs>
                              <w:suppressAutoHyphens/>
                              <w:spacing w:before="60"/>
                              <w:rPr>
                                <w:rFonts w:asciiTheme="minorHAnsi" w:hAnsiTheme="minorHAnsi" w:cs="Univers"/>
                                <w:color w:val="0D0D0D" w:themeColor="text1" w:themeTint="F2"/>
                                <w:sz w:val="20"/>
                                <w:szCs w:val="20"/>
                                <w:lang w:val="es-ES"/>
                              </w:rPr>
                            </w:pPr>
                          </w:p>
                          <w:p w:rsidR="001F09BB" w:rsidRPr="00167A34" w:rsidRDefault="001F09B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1F09BB" w:rsidRPr="00890650" w:rsidRDefault="001F09BB"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40013">
                        <w:rPr>
                          <w:rFonts w:asciiTheme="majorHAnsi" w:hAnsiTheme="majorHAnsi"/>
                          <w:color w:val="0D0D0D" w:themeColor="text1" w:themeTint="F2"/>
                          <w:sz w:val="18"/>
                          <w:szCs w:val="20"/>
                          <w:lang w:val="es-ES"/>
                        </w:rPr>
                        <w:t>2051</w:t>
                      </w:r>
                      <w:r w:rsidRPr="00890650">
                        <w:rPr>
                          <w:rFonts w:asciiTheme="majorHAnsi" w:hAnsiTheme="majorHAnsi"/>
                          <w:color w:val="0D0D0D" w:themeColor="text1" w:themeTint="F2"/>
                          <w:sz w:val="18"/>
                          <w:szCs w:val="20"/>
                          <w:lang w:val="es-ES"/>
                        </w:rPr>
                        <w:t xml:space="preserve"> celebrada el </w:t>
                      </w:r>
                      <w:r w:rsidR="00B40013">
                        <w:rPr>
                          <w:rFonts w:asciiTheme="majorHAnsi" w:hAnsiTheme="majorHAnsi"/>
                          <w:color w:val="0D0D0D" w:themeColor="text1" w:themeTint="F2"/>
                          <w:sz w:val="18"/>
                          <w:szCs w:val="20"/>
                          <w:lang w:val="es-ES"/>
                        </w:rPr>
                        <w:t>27</w:t>
                      </w:r>
                      <w:r w:rsidRPr="00890650">
                        <w:rPr>
                          <w:rFonts w:asciiTheme="majorHAnsi" w:hAnsiTheme="majorHAnsi"/>
                          <w:color w:val="0D0D0D" w:themeColor="text1" w:themeTint="F2"/>
                          <w:sz w:val="18"/>
                          <w:szCs w:val="20"/>
                          <w:lang w:val="es-ES"/>
                        </w:rPr>
                        <w:t xml:space="preserve"> de</w:t>
                      </w:r>
                      <w:r w:rsidR="003314DB">
                        <w:rPr>
                          <w:rFonts w:asciiTheme="majorHAnsi" w:hAnsiTheme="majorHAnsi"/>
                          <w:color w:val="0D0D0D" w:themeColor="text1" w:themeTint="F2"/>
                          <w:sz w:val="18"/>
                          <w:szCs w:val="20"/>
                          <w:lang w:val="es-ES"/>
                        </w:rPr>
                        <w:t xml:space="preserve"> 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sidR="00B40013">
                        <w:rPr>
                          <w:rFonts w:asciiTheme="majorHAnsi" w:hAnsiTheme="majorHAnsi" w:cs="Univers"/>
                          <w:color w:val="0D0D0D" w:themeColor="text1" w:themeTint="F2"/>
                          <w:sz w:val="18"/>
                          <w:szCs w:val="20"/>
                          <w:lang w:val="es-ES_tradnl"/>
                        </w:rPr>
                        <w:t>6</w:t>
                      </w:r>
                      <w:r w:rsidRPr="00890650">
                        <w:rPr>
                          <w:rFonts w:asciiTheme="majorHAnsi" w:hAnsiTheme="majorHAnsi" w:cs="Univers"/>
                          <w:color w:val="0D0D0D" w:themeColor="text1" w:themeTint="F2"/>
                          <w:sz w:val="18"/>
                          <w:szCs w:val="20"/>
                          <w:lang w:val="es-ES_tradnl"/>
                        </w:rPr>
                        <w:t xml:space="preserve"> período ordinario de sesiones</w:t>
                      </w:r>
                      <w:r w:rsidR="007C0DEF">
                        <w:rPr>
                          <w:rFonts w:asciiTheme="majorHAnsi" w:hAnsiTheme="majorHAnsi" w:cs="Univers"/>
                          <w:color w:val="0D0D0D" w:themeColor="text1" w:themeTint="F2"/>
                          <w:sz w:val="18"/>
                          <w:szCs w:val="20"/>
                          <w:lang w:val="es-ES_tradnl"/>
                        </w:rPr>
                        <w:t>.</w:t>
                      </w:r>
                    </w:p>
                    <w:p w:rsidR="001F09BB" w:rsidRPr="007A5817" w:rsidRDefault="001F09BB" w:rsidP="00247403">
                      <w:pPr>
                        <w:tabs>
                          <w:tab w:val="center" w:pos="5400"/>
                        </w:tabs>
                        <w:suppressAutoHyphens/>
                        <w:spacing w:before="60"/>
                        <w:rPr>
                          <w:rFonts w:asciiTheme="minorHAnsi" w:hAnsiTheme="minorHAnsi" w:cs="Univers"/>
                          <w:color w:val="0D0D0D" w:themeColor="text1" w:themeTint="F2"/>
                          <w:sz w:val="20"/>
                          <w:szCs w:val="20"/>
                          <w:lang w:val="es-ES"/>
                        </w:rPr>
                      </w:pPr>
                    </w:p>
                    <w:p w:rsidR="001F09BB" w:rsidRPr="00167A34" w:rsidRDefault="001F09B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A50FCF" w:rsidRPr="00E348E1" w:rsidRDefault="0090270B" w:rsidP="00040C3A">
      <w:pPr>
        <w:tabs>
          <w:tab w:val="center" w:pos="5400"/>
        </w:tabs>
        <w:suppressAutoHyphens/>
        <w:jc w:val="center"/>
        <w:rPr>
          <w:rFonts w:asciiTheme="majorHAnsi" w:hAnsiTheme="majorHAnsi"/>
          <w:sz w:val="20"/>
          <w:szCs w:val="20"/>
          <w:lang w:val="es-ES_tradnl"/>
        </w:rPr>
      </w:pPr>
      <w:r w:rsidRPr="00E348E1">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31585D" wp14:editId="44179F6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9BB" w:rsidRPr="00324292" w:rsidRDefault="001F09BB" w:rsidP="00324292">
                            <w:pPr>
                              <w:spacing w:line="276" w:lineRule="auto"/>
                              <w:rPr>
                                <w:rFonts w:asciiTheme="majorHAnsi" w:hAnsiTheme="majorHAnsi"/>
                                <w:color w:val="595959" w:themeColor="text1" w:themeTint="A6"/>
                                <w:sz w:val="18"/>
                                <w:szCs w:val="18"/>
                                <w:lang w:val="es-ES"/>
                              </w:rPr>
                            </w:pPr>
                            <w:r w:rsidRPr="00034F0E">
                              <w:rPr>
                                <w:rFonts w:asciiTheme="majorHAnsi" w:hAnsiTheme="majorHAnsi"/>
                                <w:b/>
                                <w:color w:val="595959" w:themeColor="text1" w:themeTint="A6"/>
                                <w:sz w:val="18"/>
                                <w:szCs w:val="18"/>
                                <w:lang w:val="es-ES"/>
                              </w:rPr>
                              <w:t>Citar como:</w:t>
                            </w:r>
                            <w:r w:rsidRPr="00034F0E">
                              <w:rPr>
                                <w:rFonts w:asciiTheme="majorHAnsi" w:hAnsiTheme="majorHAnsi"/>
                                <w:color w:val="595959" w:themeColor="text1" w:themeTint="A6"/>
                                <w:sz w:val="18"/>
                                <w:szCs w:val="18"/>
                                <w:lang w:val="es-ES"/>
                              </w:rPr>
                              <w:t xml:space="preserve"> CIDH, Informe No. </w:t>
                            </w:r>
                            <w:r w:rsidR="00CE6EE7">
                              <w:rPr>
                                <w:rFonts w:asciiTheme="majorHAnsi" w:hAnsiTheme="majorHAnsi"/>
                                <w:color w:val="595959" w:themeColor="text1" w:themeTint="A6"/>
                                <w:sz w:val="18"/>
                                <w:szCs w:val="18"/>
                                <w:lang w:val="es-ES_tradnl"/>
                              </w:rPr>
                              <w:t>68/15</w:t>
                            </w:r>
                            <w:r>
                              <w:rPr>
                                <w:rFonts w:asciiTheme="majorHAnsi" w:hAnsiTheme="majorHAnsi"/>
                                <w:color w:val="595959" w:themeColor="text1" w:themeTint="A6"/>
                                <w:sz w:val="18"/>
                                <w:szCs w:val="18"/>
                                <w:lang w:val="es-ES_tradnl"/>
                              </w:rPr>
                              <w:t xml:space="preserve">, Petición 882-03. </w:t>
                            </w:r>
                            <w:r w:rsidRPr="00890650">
                              <w:rPr>
                                <w:rFonts w:asciiTheme="majorHAnsi" w:hAnsiTheme="majorHAnsi"/>
                                <w:color w:val="595959" w:themeColor="text1" w:themeTint="A6"/>
                                <w:sz w:val="18"/>
                                <w:szCs w:val="18"/>
                                <w:lang w:val="es-ES_tradnl"/>
                              </w:rPr>
                              <w:t xml:space="preserve">Admisibilidad. </w:t>
                            </w:r>
                            <w:r w:rsidR="00CE6EE7">
                              <w:rPr>
                                <w:rFonts w:asciiTheme="majorHAnsi" w:hAnsiTheme="majorHAnsi"/>
                                <w:color w:val="595959" w:themeColor="text1" w:themeTint="A6"/>
                                <w:sz w:val="18"/>
                                <w:szCs w:val="18"/>
                                <w:lang w:val="es-ES_tradnl"/>
                              </w:rPr>
                              <w:t>V</w:t>
                            </w:r>
                            <w:r w:rsidRPr="00324292">
                              <w:rPr>
                                <w:rFonts w:asciiTheme="majorHAnsi" w:hAnsiTheme="majorHAnsi"/>
                                <w:color w:val="595959" w:themeColor="text1" w:themeTint="A6"/>
                                <w:sz w:val="18"/>
                                <w:szCs w:val="18"/>
                                <w:lang w:val="es-ES_tradnl"/>
                              </w:rPr>
                              <w:t>íctimas de la dictadura militar</w:t>
                            </w:r>
                            <w:r>
                              <w:rPr>
                                <w:rFonts w:asciiTheme="majorHAnsi" w:hAnsiTheme="majorHAnsi"/>
                                <w:color w:val="595959" w:themeColor="text1" w:themeTint="A6"/>
                                <w:sz w:val="18"/>
                                <w:szCs w:val="18"/>
                                <w:lang w:val="es-ES_tradnl"/>
                              </w:rPr>
                              <w:t xml:space="preserve">. </w:t>
                            </w:r>
                            <w:r w:rsidRPr="00324292">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CE6EE7">
                              <w:rPr>
                                <w:rFonts w:asciiTheme="majorHAnsi" w:hAnsiTheme="majorHAnsi"/>
                                <w:color w:val="595959" w:themeColor="text1" w:themeTint="A6"/>
                                <w:sz w:val="18"/>
                                <w:szCs w:val="18"/>
                                <w:lang w:val="es-ES"/>
                              </w:rPr>
                              <w:t>27 de octubre de 2015</w:t>
                            </w:r>
                            <w:r w:rsidRPr="0032429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F09BB" w:rsidRPr="00324292" w:rsidRDefault="001F09BB" w:rsidP="00324292">
                      <w:pPr>
                        <w:spacing w:line="276" w:lineRule="auto"/>
                        <w:rPr>
                          <w:rFonts w:asciiTheme="majorHAnsi" w:hAnsiTheme="majorHAnsi"/>
                          <w:color w:val="595959" w:themeColor="text1" w:themeTint="A6"/>
                          <w:sz w:val="18"/>
                          <w:szCs w:val="18"/>
                          <w:lang w:val="es-ES"/>
                        </w:rPr>
                      </w:pPr>
                      <w:r w:rsidRPr="00034F0E">
                        <w:rPr>
                          <w:rFonts w:asciiTheme="majorHAnsi" w:hAnsiTheme="majorHAnsi"/>
                          <w:b/>
                          <w:color w:val="595959" w:themeColor="text1" w:themeTint="A6"/>
                          <w:sz w:val="18"/>
                          <w:szCs w:val="18"/>
                          <w:lang w:val="es-ES"/>
                        </w:rPr>
                        <w:t>Citar como:</w:t>
                      </w:r>
                      <w:r w:rsidRPr="00034F0E">
                        <w:rPr>
                          <w:rFonts w:asciiTheme="majorHAnsi" w:hAnsiTheme="majorHAnsi"/>
                          <w:color w:val="595959" w:themeColor="text1" w:themeTint="A6"/>
                          <w:sz w:val="18"/>
                          <w:szCs w:val="18"/>
                          <w:lang w:val="es-ES"/>
                        </w:rPr>
                        <w:t xml:space="preserve"> CIDH, Informe No. </w:t>
                      </w:r>
                      <w:r w:rsidR="00CE6EE7">
                        <w:rPr>
                          <w:rFonts w:asciiTheme="majorHAnsi" w:hAnsiTheme="majorHAnsi"/>
                          <w:color w:val="595959" w:themeColor="text1" w:themeTint="A6"/>
                          <w:sz w:val="18"/>
                          <w:szCs w:val="18"/>
                          <w:lang w:val="es-ES_tradnl"/>
                        </w:rPr>
                        <w:t>68/15</w:t>
                      </w:r>
                      <w:r>
                        <w:rPr>
                          <w:rFonts w:asciiTheme="majorHAnsi" w:hAnsiTheme="majorHAnsi"/>
                          <w:color w:val="595959" w:themeColor="text1" w:themeTint="A6"/>
                          <w:sz w:val="18"/>
                          <w:szCs w:val="18"/>
                          <w:lang w:val="es-ES_tradnl"/>
                        </w:rPr>
                        <w:t xml:space="preserve">, Petición 882-03. </w:t>
                      </w:r>
                      <w:r w:rsidRPr="00890650">
                        <w:rPr>
                          <w:rFonts w:asciiTheme="majorHAnsi" w:hAnsiTheme="majorHAnsi"/>
                          <w:color w:val="595959" w:themeColor="text1" w:themeTint="A6"/>
                          <w:sz w:val="18"/>
                          <w:szCs w:val="18"/>
                          <w:lang w:val="es-ES_tradnl"/>
                        </w:rPr>
                        <w:t xml:space="preserve">Admisibilidad. </w:t>
                      </w:r>
                      <w:r w:rsidR="00CE6EE7">
                        <w:rPr>
                          <w:rFonts w:asciiTheme="majorHAnsi" w:hAnsiTheme="majorHAnsi"/>
                          <w:color w:val="595959" w:themeColor="text1" w:themeTint="A6"/>
                          <w:sz w:val="18"/>
                          <w:szCs w:val="18"/>
                          <w:lang w:val="es-ES_tradnl"/>
                        </w:rPr>
                        <w:t>V</w:t>
                      </w:r>
                      <w:r w:rsidRPr="00324292">
                        <w:rPr>
                          <w:rFonts w:asciiTheme="majorHAnsi" w:hAnsiTheme="majorHAnsi"/>
                          <w:color w:val="595959" w:themeColor="text1" w:themeTint="A6"/>
                          <w:sz w:val="18"/>
                          <w:szCs w:val="18"/>
                          <w:lang w:val="es-ES_tradnl"/>
                        </w:rPr>
                        <w:t>íctimas de la dictadura militar</w:t>
                      </w:r>
                      <w:r>
                        <w:rPr>
                          <w:rFonts w:asciiTheme="majorHAnsi" w:hAnsiTheme="majorHAnsi"/>
                          <w:color w:val="595959" w:themeColor="text1" w:themeTint="A6"/>
                          <w:sz w:val="18"/>
                          <w:szCs w:val="18"/>
                          <w:lang w:val="es-ES_tradnl"/>
                        </w:rPr>
                        <w:t xml:space="preserve">. </w:t>
                      </w:r>
                      <w:r w:rsidRPr="00324292">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CE6EE7">
                        <w:rPr>
                          <w:rFonts w:asciiTheme="majorHAnsi" w:hAnsiTheme="majorHAnsi"/>
                          <w:color w:val="595959" w:themeColor="text1" w:themeTint="A6"/>
                          <w:sz w:val="18"/>
                          <w:szCs w:val="18"/>
                          <w:lang w:val="es-ES"/>
                        </w:rPr>
                        <w:t>27 de octubre de 2015</w:t>
                      </w:r>
                      <w:r w:rsidRPr="00324292">
                        <w:rPr>
                          <w:rFonts w:asciiTheme="majorHAnsi" w:hAnsiTheme="majorHAnsi"/>
                          <w:color w:val="595959" w:themeColor="text1" w:themeTint="A6"/>
                          <w:sz w:val="18"/>
                          <w:szCs w:val="18"/>
                          <w:lang w:val="es-ES"/>
                        </w:rPr>
                        <w:t>.</w:t>
                      </w:r>
                    </w:p>
                  </w:txbxContent>
                </v:textbox>
              </v:shape>
            </w:pict>
          </mc:Fallback>
        </mc:AlternateContent>
      </w:r>
    </w:p>
    <w:p w:rsidR="00A50FCF" w:rsidRPr="00E348E1" w:rsidRDefault="00A50FCF" w:rsidP="00040C3A">
      <w:pPr>
        <w:tabs>
          <w:tab w:val="center" w:pos="5400"/>
        </w:tabs>
        <w:suppressAutoHyphens/>
        <w:jc w:val="center"/>
        <w:rPr>
          <w:rFonts w:asciiTheme="majorHAnsi" w:hAnsiTheme="majorHAnsi"/>
          <w:sz w:val="20"/>
          <w:szCs w:val="20"/>
          <w:lang w:val="es-ES_tradnl"/>
        </w:rPr>
      </w:pPr>
    </w:p>
    <w:p w:rsidR="0090270B" w:rsidRPr="00E348E1" w:rsidRDefault="00D306D1" w:rsidP="005516A1">
      <w:pPr>
        <w:tabs>
          <w:tab w:val="center" w:pos="5400"/>
        </w:tabs>
        <w:suppressAutoHyphens/>
        <w:jc w:val="center"/>
        <w:rPr>
          <w:rFonts w:asciiTheme="majorHAnsi" w:hAnsiTheme="majorHAnsi"/>
          <w:b/>
          <w:sz w:val="20"/>
          <w:szCs w:val="20"/>
          <w:lang w:val="es-ES_tradnl"/>
        </w:rPr>
      </w:pPr>
      <w:r w:rsidRPr="00E348E1">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94A43E6" wp14:editId="111BAB7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09BB" w:rsidRPr="00D72DC6" w:rsidRDefault="001F09B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B721B72" wp14:editId="6393E53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1F09BB" w:rsidRPr="00D72DC6" w:rsidRDefault="001F09B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B721B72" wp14:editId="6393E537">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348E1">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6D8DD70F" wp14:editId="75804AB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9BB" w:rsidRPr="004B7EB6" w:rsidRDefault="001F09B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1F09BB" w:rsidRPr="004B7EB6" w:rsidRDefault="001F09B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348E1" w:rsidRDefault="0070697F" w:rsidP="005516A1">
      <w:pPr>
        <w:tabs>
          <w:tab w:val="center" w:pos="5400"/>
        </w:tabs>
        <w:suppressAutoHyphens/>
        <w:jc w:val="center"/>
        <w:rPr>
          <w:rFonts w:asciiTheme="majorHAnsi" w:hAnsiTheme="majorHAnsi"/>
          <w:b/>
          <w:sz w:val="20"/>
          <w:szCs w:val="20"/>
          <w:lang w:val="es-ES_tradnl"/>
        </w:rPr>
        <w:sectPr w:rsidR="0070697F" w:rsidRPr="00E348E1"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4F671F" w:rsidRPr="00E348E1" w:rsidRDefault="00153CC4" w:rsidP="004F671F">
      <w:pPr>
        <w:tabs>
          <w:tab w:val="center" w:pos="5400"/>
        </w:tabs>
        <w:suppressAutoHyphens/>
        <w:spacing w:line="276" w:lineRule="auto"/>
        <w:jc w:val="center"/>
        <w:rPr>
          <w:rFonts w:asciiTheme="majorHAnsi" w:hAnsiTheme="majorHAnsi"/>
          <w:b/>
          <w:bCs/>
          <w:sz w:val="18"/>
          <w:szCs w:val="20"/>
          <w:lang w:val="es-AR"/>
        </w:rPr>
      </w:pPr>
      <w:r>
        <w:rPr>
          <w:rFonts w:asciiTheme="majorHAnsi" w:hAnsiTheme="majorHAnsi"/>
          <w:b/>
          <w:bCs/>
          <w:sz w:val="18"/>
          <w:szCs w:val="20"/>
          <w:lang w:val="es-ES"/>
        </w:rPr>
        <w:lastRenderedPageBreak/>
        <w:t>INFORME No.</w:t>
      </w:r>
      <w:r w:rsidR="00034F0E">
        <w:rPr>
          <w:rFonts w:asciiTheme="majorHAnsi" w:hAnsiTheme="majorHAnsi"/>
          <w:b/>
          <w:bCs/>
          <w:sz w:val="18"/>
          <w:szCs w:val="20"/>
          <w:lang w:val="es-ES"/>
        </w:rPr>
        <w:t xml:space="preserve"> 68</w:t>
      </w:r>
      <w:r w:rsidR="004F671F" w:rsidRPr="00E348E1">
        <w:rPr>
          <w:rFonts w:asciiTheme="majorHAnsi" w:hAnsiTheme="majorHAnsi"/>
          <w:b/>
          <w:bCs/>
          <w:sz w:val="18"/>
          <w:szCs w:val="20"/>
          <w:lang w:val="es-ES"/>
        </w:rPr>
        <w:t>/</w:t>
      </w:r>
      <w:r w:rsidR="003314DB">
        <w:rPr>
          <w:rFonts w:asciiTheme="majorHAnsi" w:hAnsiTheme="majorHAnsi"/>
          <w:b/>
          <w:bCs/>
          <w:sz w:val="18"/>
          <w:szCs w:val="20"/>
          <w:lang w:val="es-ES"/>
        </w:rPr>
        <w:t>15</w:t>
      </w:r>
    </w:p>
    <w:p w:rsidR="004F671F" w:rsidRPr="00E348E1" w:rsidRDefault="004F671F" w:rsidP="004F671F">
      <w:pPr>
        <w:tabs>
          <w:tab w:val="center" w:pos="5400"/>
        </w:tabs>
        <w:suppressAutoHyphens/>
        <w:spacing w:line="276" w:lineRule="auto"/>
        <w:jc w:val="center"/>
        <w:rPr>
          <w:rFonts w:asciiTheme="majorHAnsi" w:hAnsiTheme="majorHAnsi"/>
          <w:sz w:val="18"/>
          <w:szCs w:val="20"/>
          <w:lang w:val="es-AR"/>
        </w:rPr>
      </w:pPr>
      <w:r w:rsidRPr="00E348E1">
        <w:rPr>
          <w:rFonts w:asciiTheme="majorHAnsi" w:hAnsiTheme="majorHAnsi"/>
          <w:b/>
          <w:sz w:val="18"/>
          <w:szCs w:val="20"/>
          <w:lang w:val="es-ES"/>
        </w:rPr>
        <w:t>PETICIÓN 882-03</w:t>
      </w:r>
    </w:p>
    <w:p w:rsidR="004F671F" w:rsidRPr="00E348E1" w:rsidRDefault="004F671F" w:rsidP="004F671F">
      <w:pPr>
        <w:tabs>
          <w:tab w:val="center" w:pos="5400"/>
        </w:tabs>
        <w:suppressAutoHyphens/>
        <w:spacing w:line="276" w:lineRule="auto"/>
        <w:jc w:val="center"/>
        <w:rPr>
          <w:rFonts w:asciiTheme="majorHAnsi" w:hAnsiTheme="majorHAnsi"/>
          <w:sz w:val="18"/>
          <w:szCs w:val="20"/>
          <w:lang w:val="es-AR"/>
        </w:rPr>
      </w:pPr>
      <w:r w:rsidRPr="00E348E1">
        <w:rPr>
          <w:rFonts w:asciiTheme="majorHAnsi" w:hAnsiTheme="majorHAnsi"/>
          <w:sz w:val="18"/>
          <w:szCs w:val="20"/>
          <w:lang w:val="es-ES"/>
        </w:rPr>
        <w:t>ADMISIBILIDAD</w:t>
      </w:r>
    </w:p>
    <w:p w:rsidR="004F671F" w:rsidRPr="00E348E1" w:rsidRDefault="00324292" w:rsidP="004F671F">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
        </w:rPr>
        <w:t>VÍCTIMAS</w:t>
      </w:r>
      <w:r w:rsidR="004F671F" w:rsidRPr="00E348E1">
        <w:rPr>
          <w:rFonts w:asciiTheme="majorHAnsi" w:hAnsiTheme="majorHAnsi"/>
          <w:sz w:val="18"/>
          <w:szCs w:val="20"/>
          <w:lang w:val="es-ES"/>
        </w:rPr>
        <w:t xml:space="preserve"> DE LA DICTADURA MILITAR</w:t>
      </w:r>
    </w:p>
    <w:p w:rsidR="004F671F" w:rsidRPr="00E348E1" w:rsidRDefault="004F671F" w:rsidP="004F671F">
      <w:pPr>
        <w:tabs>
          <w:tab w:val="center" w:pos="5400"/>
        </w:tabs>
        <w:suppressAutoHyphens/>
        <w:spacing w:line="276" w:lineRule="auto"/>
        <w:jc w:val="center"/>
        <w:rPr>
          <w:rFonts w:asciiTheme="majorHAnsi" w:hAnsiTheme="majorHAnsi"/>
          <w:sz w:val="18"/>
          <w:szCs w:val="20"/>
          <w:lang w:val="es-AR"/>
        </w:rPr>
      </w:pPr>
      <w:r w:rsidRPr="00E348E1">
        <w:rPr>
          <w:rFonts w:asciiTheme="majorHAnsi" w:hAnsiTheme="majorHAnsi"/>
          <w:sz w:val="18"/>
          <w:szCs w:val="20"/>
          <w:lang w:val="es-ES"/>
        </w:rPr>
        <w:t>PANAMÁ</w:t>
      </w:r>
    </w:p>
    <w:p w:rsidR="004F671F" w:rsidRDefault="00CE6EE7" w:rsidP="004F671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27 DE OCTUBRE DE 2015</w:t>
      </w:r>
    </w:p>
    <w:p w:rsidR="00DF1EC4" w:rsidRDefault="00DF1EC4" w:rsidP="004F671F">
      <w:pPr>
        <w:rPr>
          <w:rFonts w:asciiTheme="majorHAnsi" w:hAnsiTheme="majorHAnsi" w:cs="Calibri"/>
          <w:sz w:val="20"/>
          <w:szCs w:val="20"/>
          <w:lang w:val="es-ES"/>
        </w:rPr>
      </w:pPr>
    </w:p>
    <w:p w:rsidR="003D136A" w:rsidRPr="00E348E1" w:rsidRDefault="003D136A" w:rsidP="004F671F">
      <w:pPr>
        <w:rPr>
          <w:rFonts w:asciiTheme="majorHAnsi" w:hAnsiTheme="majorHAnsi" w:cs="Calibri"/>
          <w:sz w:val="20"/>
          <w:szCs w:val="20"/>
          <w:lang w:val="es-ES"/>
        </w:rPr>
      </w:pPr>
    </w:p>
    <w:p w:rsidR="004F671F" w:rsidRPr="009A426D" w:rsidRDefault="00AC08C9" w:rsidP="009A426D">
      <w:pPr>
        <w:pStyle w:val="NoSpacing"/>
      </w:pPr>
      <w:r w:rsidRPr="009A426D">
        <w:t>RESUMEN</w:t>
      </w:r>
    </w:p>
    <w:p w:rsidR="004F671F" w:rsidRPr="00B82358"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rPr>
          <w:rFonts w:asciiTheme="majorHAnsi" w:eastAsia="Times New Roman" w:hAnsiTheme="majorHAnsi"/>
          <w:sz w:val="20"/>
          <w:szCs w:val="20"/>
          <w:bdr w:val="none" w:sz="0" w:space="0" w:color="auto"/>
          <w:lang w:val="es-AR"/>
        </w:rPr>
      </w:pPr>
      <w:r w:rsidRPr="00B82358">
        <w:rPr>
          <w:rFonts w:asciiTheme="majorHAnsi" w:eastAsia="Times New Roman" w:hAnsiTheme="majorHAnsi"/>
          <w:sz w:val="20"/>
          <w:szCs w:val="20"/>
          <w:bdr w:val="none" w:sz="0" w:space="0" w:color="auto"/>
          <w:lang w:val="es-ES"/>
        </w:rPr>
        <w:t>El 23 de octubre de 2003 la Comisión Interamericana de Derechos Humanos (en adelante "la Comisión Interamericana", "la Comisión" o "la CIDH") recibió una denuncia  presentada por Alberto Santiago Almaza Henríquez -Director General de la Oficina de Seguimiento de los Objetivos de la Comisión de la Verdad - y Jacinto González Rodríguez -miembro de Apoyo Legal de la Oficina de Seguimiento de los Objetivos de la Comisión de la Verdad- en representación del Comité de Familia</w:t>
      </w:r>
      <w:r w:rsidR="00FE593E">
        <w:rPr>
          <w:rFonts w:asciiTheme="majorHAnsi" w:eastAsia="Times New Roman" w:hAnsiTheme="majorHAnsi"/>
          <w:sz w:val="20"/>
          <w:szCs w:val="20"/>
          <w:bdr w:val="none" w:sz="0" w:space="0" w:color="auto"/>
          <w:lang w:val="es-ES"/>
        </w:rPr>
        <w:t>res Asesinados y Desaparecidos de Panamá - Héctor Gallego -COFADEPA-HG-</w:t>
      </w:r>
      <w:r w:rsidRPr="00B82358">
        <w:rPr>
          <w:rFonts w:asciiTheme="majorHAnsi" w:eastAsia="Times New Roman" w:hAnsiTheme="majorHAnsi"/>
          <w:sz w:val="20"/>
          <w:szCs w:val="20"/>
          <w:bdr w:val="none" w:sz="0" w:space="0" w:color="auto"/>
          <w:lang w:val="es-ES"/>
        </w:rPr>
        <w:t xml:space="preserve"> y del Comité de Familiare</w:t>
      </w:r>
      <w:r w:rsidR="00FE593E">
        <w:rPr>
          <w:rFonts w:asciiTheme="majorHAnsi" w:eastAsia="Times New Roman" w:hAnsiTheme="majorHAnsi"/>
          <w:sz w:val="20"/>
          <w:szCs w:val="20"/>
          <w:bdr w:val="none" w:sz="0" w:space="0" w:color="auto"/>
          <w:lang w:val="es-ES"/>
        </w:rPr>
        <w:t>s de Desaparecidos de Chiriquí -</w:t>
      </w:r>
      <w:r w:rsidRPr="00B82358">
        <w:rPr>
          <w:rFonts w:asciiTheme="majorHAnsi" w:eastAsia="Times New Roman" w:hAnsiTheme="majorHAnsi"/>
          <w:sz w:val="20"/>
          <w:szCs w:val="20"/>
          <w:bdr w:val="none" w:sz="0" w:space="0" w:color="auto"/>
          <w:lang w:val="es-ES"/>
        </w:rPr>
        <w:t>COFADECHI</w:t>
      </w:r>
      <w:r w:rsidR="00FE593E">
        <w:rPr>
          <w:rFonts w:asciiTheme="majorHAnsi" w:eastAsia="Times New Roman" w:hAnsiTheme="majorHAnsi"/>
          <w:sz w:val="20"/>
          <w:szCs w:val="20"/>
          <w:bdr w:val="none" w:sz="0" w:space="0" w:color="auto"/>
          <w:lang w:val="es-ES"/>
        </w:rPr>
        <w:t>-</w:t>
      </w:r>
      <w:r w:rsidRPr="00B82358">
        <w:rPr>
          <w:rFonts w:asciiTheme="majorHAnsi" w:eastAsia="Times New Roman" w:hAnsiTheme="majorHAnsi"/>
          <w:sz w:val="20"/>
          <w:szCs w:val="20"/>
          <w:bdr w:val="none" w:sz="0" w:space="0" w:color="auto"/>
          <w:lang w:val="es-ES"/>
        </w:rPr>
        <w:t xml:space="preserve"> (en </w:t>
      </w:r>
      <w:r w:rsidR="006C1D96">
        <w:rPr>
          <w:rFonts w:asciiTheme="majorHAnsi" w:eastAsia="Times New Roman" w:hAnsiTheme="majorHAnsi"/>
          <w:sz w:val="20"/>
          <w:szCs w:val="20"/>
          <w:bdr w:val="none" w:sz="0" w:space="0" w:color="auto"/>
          <w:lang w:val="es-ES"/>
        </w:rPr>
        <w:t xml:space="preserve">adelante "los peticionarios”) </w:t>
      </w:r>
      <w:r w:rsidRPr="00B82358">
        <w:rPr>
          <w:rFonts w:asciiTheme="majorHAnsi" w:eastAsia="Times New Roman" w:hAnsiTheme="majorHAnsi"/>
          <w:sz w:val="20"/>
          <w:szCs w:val="20"/>
          <w:bdr w:val="none" w:sz="0" w:space="0" w:color="auto"/>
          <w:lang w:val="es-ES"/>
        </w:rPr>
        <w:t>a favor de las víctimas de la dictadura militar ocurrida en Panamá entre los años 1968 y 1989, contra la República de Panamá (en adelante el “Estado panameño”, “Panamá” o el “Estado”). En la petición se alega que, en un contexto de violencia y abuso de poder que habría imperado durante la dictadura militar instaurada en Panamá desde el 11 de octubre de 1968 hasta el 20 de diciembre de 1989, 109 personas</w:t>
      </w:r>
      <w:r w:rsidR="00CF46A1">
        <w:rPr>
          <w:rStyle w:val="FootnoteReference"/>
          <w:rFonts w:asciiTheme="majorHAnsi" w:eastAsia="Times New Roman" w:hAnsiTheme="majorHAnsi"/>
          <w:sz w:val="20"/>
          <w:szCs w:val="20"/>
          <w:bdr w:val="none" w:sz="0" w:space="0" w:color="auto"/>
          <w:lang w:val="es-ES"/>
        </w:rPr>
        <w:footnoteReference w:id="2"/>
      </w:r>
      <w:r w:rsidRPr="00B82358">
        <w:rPr>
          <w:rFonts w:asciiTheme="majorHAnsi" w:eastAsia="Times New Roman" w:hAnsiTheme="majorHAnsi"/>
          <w:sz w:val="20"/>
          <w:szCs w:val="20"/>
          <w:bdr w:val="none" w:sz="0" w:space="0" w:color="auto"/>
          <w:lang w:val="es-ES"/>
        </w:rPr>
        <w:t xml:space="preserve"> (en adelante, “las presuntas víctimas”) habrían sido víctimas de ejecuciones extrajudiciales o desapariciones forzadas presuntamente atribuibles a elementos de las fuerzas de seguridad del Estado. </w:t>
      </w:r>
    </w:p>
    <w:p w:rsidR="004F671F" w:rsidRPr="00B82358"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eastAsia="Times New Roman" w:hAnsiTheme="majorHAnsi"/>
          <w:sz w:val="20"/>
          <w:szCs w:val="20"/>
          <w:bdr w:val="none" w:sz="0" w:space="0" w:color="auto"/>
          <w:lang w:val="es-AR"/>
        </w:rPr>
      </w:pPr>
      <w:r w:rsidRPr="00B82358">
        <w:rPr>
          <w:rFonts w:asciiTheme="majorHAnsi" w:eastAsia="Times New Roman" w:hAnsiTheme="majorHAnsi"/>
          <w:sz w:val="20"/>
          <w:szCs w:val="20"/>
          <w:bdr w:val="none" w:sz="0" w:space="0" w:color="auto"/>
          <w:lang w:val="es-AR"/>
        </w:rPr>
        <w:t xml:space="preserve"> </w:t>
      </w:r>
    </w:p>
    <w:p w:rsidR="004F671F" w:rsidRPr="00B82358"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rPr>
          <w:rFonts w:asciiTheme="majorHAnsi" w:eastAsia="Times New Roman" w:hAnsiTheme="majorHAnsi"/>
          <w:sz w:val="20"/>
          <w:szCs w:val="20"/>
          <w:bdr w:val="none" w:sz="0" w:space="0" w:color="auto"/>
          <w:lang w:val="es-ES"/>
        </w:rPr>
      </w:pPr>
      <w:r w:rsidRPr="00B82358">
        <w:rPr>
          <w:rFonts w:asciiTheme="majorHAnsi" w:eastAsia="Times New Roman" w:hAnsiTheme="majorHAnsi"/>
          <w:sz w:val="20"/>
          <w:szCs w:val="20"/>
          <w:bdr w:val="none" w:sz="0" w:space="0" w:color="auto"/>
          <w:lang w:val="es-ES"/>
        </w:rPr>
        <w:t>Los peticionarios alegan que el Estado de Panamá violó los artículos 4 (derecho a la vida), 5 (integridad personal) y 7 (derecho a la libertad personal) contemplados en la Convención Americana sobre D</w:t>
      </w:r>
      <w:r w:rsidR="00AC08C9" w:rsidRPr="00B82358">
        <w:rPr>
          <w:rFonts w:asciiTheme="majorHAnsi" w:eastAsia="Times New Roman" w:hAnsiTheme="majorHAnsi"/>
          <w:sz w:val="20"/>
          <w:szCs w:val="20"/>
          <w:bdr w:val="none" w:sz="0" w:space="0" w:color="auto"/>
          <w:lang w:val="es-ES"/>
        </w:rPr>
        <w:t>erechos Humanos (en adelante “</w:t>
      </w:r>
      <w:r w:rsidRPr="00B82358">
        <w:rPr>
          <w:rFonts w:asciiTheme="majorHAnsi" w:eastAsia="Times New Roman" w:hAnsiTheme="majorHAnsi"/>
          <w:sz w:val="20"/>
          <w:szCs w:val="20"/>
          <w:bdr w:val="none" w:sz="0" w:space="0" w:color="auto"/>
          <w:lang w:val="es-ES"/>
        </w:rPr>
        <w:t>Convención” o “Convención Americana”), en perjuicio de las presuntas víctimas. Además, afirman que el Estado es responsable</w:t>
      </w:r>
      <w:r w:rsidR="002A04CC" w:rsidRPr="00B82358">
        <w:rPr>
          <w:rFonts w:asciiTheme="majorHAnsi" w:eastAsia="Times New Roman" w:hAnsiTheme="majorHAnsi"/>
          <w:sz w:val="20"/>
          <w:szCs w:val="20"/>
          <w:bdr w:val="none" w:sz="0" w:space="0" w:color="auto"/>
          <w:lang w:val="es-ES"/>
        </w:rPr>
        <w:t xml:space="preserve"> por la violación del artículo I</w:t>
      </w:r>
      <w:r w:rsidRPr="00B82358">
        <w:rPr>
          <w:rFonts w:asciiTheme="majorHAnsi" w:eastAsia="Times New Roman" w:hAnsiTheme="majorHAnsi"/>
          <w:sz w:val="20"/>
          <w:szCs w:val="20"/>
          <w:bdr w:val="none" w:sz="0" w:space="0" w:color="auto"/>
          <w:lang w:val="es-ES"/>
        </w:rPr>
        <w:t xml:space="preserve"> (derecho a la vida, a la libertad, a la seguridad e integridad de la persona) de la Declaración Americana de los Derechos y Deberes del Hombre (en adelante, “la Declaración Americana”)</w:t>
      </w:r>
      <w:r w:rsidR="0097530C" w:rsidRPr="00B82358">
        <w:rPr>
          <w:rFonts w:asciiTheme="majorHAnsi" w:eastAsia="Times New Roman" w:hAnsiTheme="majorHAnsi"/>
          <w:sz w:val="20"/>
          <w:szCs w:val="20"/>
          <w:bdr w:val="none" w:sz="0" w:space="0" w:color="auto"/>
          <w:lang w:val="es-ES"/>
        </w:rPr>
        <w:t xml:space="preserve">; así como </w:t>
      </w:r>
      <w:r w:rsidR="002F6501">
        <w:rPr>
          <w:rFonts w:asciiTheme="majorHAnsi" w:eastAsia="Times New Roman" w:hAnsiTheme="majorHAnsi"/>
          <w:sz w:val="20"/>
          <w:szCs w:val="20"/>
          <w:bdr w:val="none" w:sz="0" w:space="0" w:color="auto"/>
          <w:lang w:val="es-ES"/>
        </w:rPr>
        <w:t xml:space="preserve">de </w:t>
      </w:r>
      <w:r w:rsidR="0097530C" w:rsidRPr="00B82358">
        <w:rPr>
          <w:rFonts w:asciiTheme="majorHAnsi" w:eastAsia="Times New Roman" w:hAnsiTheme="majorHAnsi"/>
          <w:sz w:val="20"/>
          <w:szCs w:val="20"/>
          <w:bdr w:val="none" w:sz="0" w:space="0" w:color="auto"/>
          <w:lang w:val="es-ES"/>
        </w:rPr>
        <w:t xml:space="preserve">los artículos I, III y XI de la Convención Interamericana sobre Desaparición Forzada de Personas. </w:t>
      </w:r>
      <w:r w:rsidRPr="00B82358">
        <w:rPr>
          <w:rFonts w:asciiTheme="majorHAnsi" w:eastAsia="Times New Roman" w:hAnsiTheme="majorHAnsi"/>
          <w:sz w:val="20"/>
          <w:szCs w:val="20"/>
          <w:bdr w:val="none" w:sz="0" w:space="0" w:color="auto"/>
          <w:lang w:val="es-ES"/>
        </w:rPr>
        <w:t>En relación con los requisitos de admisibilidad, argumentan que su petición es admisible por cuanto en aquellos casos en los cuales no se habrían agotado los recursos de jurisdicción interna, resultarían aplicables las excepciones consagradas en el artículo 31.2 del Reglamento de la Comisión Interamericana d</w:t>
      </w:r>
      <w:r w:rsidR="00585DC6">
        <w:rPr>
          <w:rFonts w:asciiTheme="majorHAnsi" w:eastAsia="Times New Roman" w:hAnsiTheme="majorHAnsi"/>
          <w:sz w:val="20"/>
          <w:szCs w:val="20"/>
          <w:bdr w:val="none" w:sz="0" w:space="0" w:color="auto"/>
          <w:lang w:val="es-ES"/>
        </w:rPr>
        <w:t>e Derechos Humanos (en adelante</w:t>
      </w:r>
      <w:r w:rsidR="0088465C">
        <w:rPr>
          <w:rFonts w:asciiTheme="majorHAnsi" w:eastAsia="Times New Roman" w:hAnsiTheme="majorHAnsi"/>
          <w:sz w:val="20"/>
          <w:szCs w:val="20"/>
          <w:bdr w:val="none" w:sz="0" w:space="0" w:color="auto"/>
          <w:lang w:val="es-ES"/>
        </w:rPr>
        <w:t>,</w:t>
      </w:r>
      <w:r w:rsidRPr="00B82358">
        <w:rPr>
          <w:rFonts w:asciiTheme="majorHAnsi" w:eastAsia="Times New Roman" w:hAnsiTheme="majorHAnsi"/>
          <w:sz w:val="20"/>
          <w:szCs w:val="20"/>
          <w:bdr w:val="none" w:sz="0" w:space="0" w:color="auto"/>
          <w:lang w:val="es-ES"/>
        </w:rPr>
        <w:t xml:space="preserve"> “el Reglamento”).</w:t>
      </w:r>
    </w:p>
    <w:p w:rsidR="004F671F" w:rsidRPr="00B82358" w:rsidRDefault="004F671F" w:rsidP="0020773A">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jc w:val="both"/>
        <w:rPr>
          <w:rFonts w:asciiTheme="majorHAnsi" w:eastAsia="Times New Roman" w:hAnsiTheme="majorHAnsi"/>
          <w:sz w:val="20"/>
          <w:szCs w:val="20"/>
          <w:bdr w:val="none" w:sz="0" w:space="0" w:color="auto"/>
          <w:lang w:val="es-AR"/>
        </w:rPr>
      </w:pPr>
    </w:p>
    <w:p w:rsidR="00AC08C9" w:rsidRPr="00B82358" w:rsidRDefault="00D64862"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rPr>
          <w:rFonts w:asciiTheme="majorHAnsi" w:eastAsia="Times New Roman" w:hAnsiTheme="majorHAnsi"/>
          <w:sz w:val="20"/>
          <w:szCs w:val="20"/>
          <w:bdr w:val="none" w:sz="0" w:space="0" w:color="auto"/>
          <w:lang w:val="es-ES"/>
        </w:rPr>
      </w:pPr>
      <w:r>
        <w:rPr>
          <w:rFonts w:asciiTheme="majorHAnsi" w:eastAsia="Times New Roman" w:hAnsiTheme="majorHAnsi"/>
          <w:sz w:val="20"/>
          <w:szCs w:val="20"/>
          <w:bdr w:val="none" w:sz="0" w:space="0" w:color="auto"/>
          <w:lang w:val="es-ES"/>
        </w:rPr>
        <w:t>E</w:t>
      </w:r>
      <w:r w:rsidR="004F671F" w:rsidRPr="00B82358">
        <w:rPr>
          <w:rFonts w:asciiTheme="majorHAnsi" w:eastAsia="Times New Roman" w:hAnsiTheme="majorHAnsi"/>
          <w:sz w:val="20"/>
          <w:szCs w:val="20"/>
          <w:bdr w:val="none" w:sz="0" w:space="0" w:color="auto"/>
          <w:lang w:val="es-ES"/>
        </w:rPr>
        <w:t>l Estado alega la inadmisibilidad de algunos casos en razón de que los recursos de jurisdicción interna no habrían sido agotados y que, respecto de ellos, esta carencia en el cumplimiento de los requisitos necesarios para la admisibilidad de una petición, no podría ser salvada a través de la aplicación de excepciones a la regla de agotamiento previo de recursos internos.</w:t>
      </w:r>
    </w:p>
    <w:p w:rsidR="00AC08C9" w:rsidRPr="0020773A" w:rsidRDefault="00AC08C9" w:rsidP="00B82358">
      <w:pPr>
        <w:jc w:val="both"/>
        <w:rPr>
          <w:rFonts w:asciiTheme="majorHAnsi" w:hAnsiTheme="majorHAnsi"/>
          <w:sz w:val="20"/>
          <w:szCs w:val="20"/>
          <w:lang w:val="es-UY"/>
        </w:rPr>
      </w:pPr>
    </w:p>
    <w:p w:rsidR="00265695" w:rsidRPr="006D4BF1" w:rsidRDefault="00265695"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rPr>
          <w:rFonts w:asciiTheme="majorHAnsi" w:eastAsia="Times New Roman" w:hAnsiTheme="majorHAnsi"/>
          <w:sz w:val="20"/>
          <w:szCs w:val="20"/>
          <w:bdr w:val="none" w:sz="0" w:space="0" w:color="auto"/>
          <w:lang w:val="es-ES"/>
        </w:rPr>
      </w:pPr>
      <w:r w:rsidRPr="00B82358">
        <w:rPr>
          <w:rFonts w:asciiTheme="majorHAnsi" w:hAnsiTheme="majorHAnsi"/>
          <w:sz w:val="20"/>
          <w:szCs w:val="20"/>
          <w:lang w:val="es-UY"/>
        </w:rPr>
        <w:t xml:space="preserve">Sin prejuzgar sobre el fondo de la denuncia, tras analizar las posiciones de las partes y en cumplimiento de los requisitos </w:t>
      </w:r>
      <w:r w:rsidRPr="006D4BF1">
        <w:rPr>
          <w:rFonts w:asciiTheme="majorHAnsi" w:hAnsiTheme="majorHAnsi"/>
          <w:sz w:val="20"/>
          <w:szCs w:val="20"/>
          <w:lang w:val="es-UY"/>
        </w:rPr>
        <w:t xml:space="preserve">previstos en los artículos 46 y 47 de la Convención Americana, la Comisión decide declarar el caso admisible a efectos del examen sobre la presunta violación de los derechos consagrados en los </w:t>
      </w:r>
      <w:r w:rsidR="0005075E" w:rsidRPr="006D4BF1">
        <w:rPr>
          <w:rFonts w:asciiTheme="majorHAnsi" w:hAnsiTheme="majorHAnsi"/>
          <w:sz w:val="20"/>
          <w:szCs w:val="20"/>
          <w:lang w:val="es-UY"/>
        </w:rPr>
        <w:t xml:space="preserve">siguientes </w:t>
      </w:r>
      <w:r w:rsidRPr="006D4BF1">
        <w:rPr>
          <w:rFonts w:asciiTheme="majorHAnsi" w:hAnsiTheme="majorHAnsi"/>
          <w:sz w:val="20"/>
          <w:szCs w:val="20"/>
          <w:lang w:val="es-UY"/>
        </w:rPr>
        <w:t>artículos</w:t>
      </w:r>
      <w:r w:rsidR="0005075E" w:rsidRPr="006D4BF1">
        <w:rPr>
          <w:rFonts w:asciiTheme="majorHAnsi" w:hAnsiTheme="majorHAnsi"/>
          <w:sz w:val="20"/>
          <w:szCs w:val="20"/>
          <w:lang w:val="es-UY"/>
        </w:rPr>
        <w:t xml:space="preserve">: </w:t>
      </w:r>
      <w:r w:rsidRPr="006D4BF1">
        <w:rPr>
          <w:rFonts w:asciiTheme="majorHAnsi" w:hAnsiTheme="majorHAnsi"/>
          <w:sz w:val="20"/>
          <w:szCs w:val="20"/>
          <w:lang w:val="es-UY"/>
        </w:rPr>
        <w:t xml:space="preserve"> </w:t>
      </w:r>
      <w:r w:rsidR="0005075E" w:rsidRPr="006D4BF1">
        <w:rPr>
          <w:rFonts w:asciiTheme="majorHAnsi" w:hAnsiTheme="majorHAnsi"/>
          <w:sz w:val="20"/>
          <w:szCs w:val="20"/>
          <w:lang w:val="es-ES"/>
        </w:rPr>
        <w:t xml:space="preserve">i) 3, 4, 5, 7, 8 y 25 de la Convención Americana, en relación con las obligaciones establecidas en los artículos 1.1 y 2 de dicho instrumento, en perjuicio de las 39 presuntas víctimas </w:t>
      </w:r>
      <w:r w:rsidR="00A60FA4">
        <w:rPr>
          <w:rFonts w:asciiTheme="majorHAnsi" w:hAnsiTheme="majorHAnsi"/>
          <w:sz w:val="20"/>
          <w:szCs w:val="20"/>
          <w:lang w:val="es-ES"/>
        </w:rPr>
        <w:t xml:space="preserve">presuntamente </w:t>
      </w:r>
      <w:r w:rsidR="0005075E" w:rsidRPr="006D4BF1">
        <w:rPr>
          <w:rFonts w:asciiTheme="majorHAnsi" w:hAnsiTheme="majorHAnsi"/>
          <w:sz w:val="20"/>
          <w:szCs w:val="20"/>
          <w:lang w:val="es-ES"/>
        </w:rPr>
        <w:t xml:space="preserve">desaparecidas; ii) I, III y XI de la Convención Interamericana sobre Desaparición Forzada de Personas, en perjuicio de las 39 presuntas víctimas </w:t>
      </w:r>
      <w:r w:rsidR="00A60FA4">
        <w:rPr>
          <w:rFonts w:asciiTheme="majorHAnsi" w:hAnsiTheme="majorHAnsi"/>
          <w:sz w:val="20"/>
          <w:szCs w:val="20"/>
          <w:lang w:val="es-ES"/>
        </w:rPr>
        <w:t xml:space="preserve">presuntamente </w:t>
      </w:r>
      <w:r w:rsidR="0005075E" w:rsidRPr="006D4BF1">
        <w:rPr>
          <w:rFonts w:asciiTheme="majorHAnsi" w:hAnsiTheme="majorHAnsi"/>
          <w:sz w:val="20"/>
          <w:szCs w:val="20"/>
          <w:lang w:val="es-ES"/>
        </w:rPr>
        <w:t xml:space="preserve">desaparecidas; iii) 19 de la Convención </w:t>
      </w:r>
      <w:r w:rsidR="007619C4">
        <w:rPr>
          <w:rFonts w:asciiTheme="majorHAnsi" w:hAnsiTheme="majorHAnsi"/>
          <w:sz w:val="20"/>
          <w:szCs w:val="20"/>
          <w:lang w:val="es-ES"/>
        </w:rPr>
        <w:t xml:space="preserve">Americana </w:t>
      </w:r>
      <w:r w:rsidR="0005075E" w:rsidRPr="006D4BF1">
        <w:rPr>
          <w:rFonts w:asciiTheme="majorHAnsi" w:hAnsiTheme="majorHAnsi"/>
          <w:sz w:val="20"/>
          <w:szCs w:val="20"/>
          <w:lang w:val="es-ES"/>
        </w:rPr>
        <w:t xml:space="preserve">en perjuicio de los dos </w:t>
      </w:r>
      <w:r w:rsidR="00C95BB7" w:rsidRPr="006D4BF1">
        <w:rPr>
          <w:rFonts w:asciiTheme="majorHAnsi" w:hAnsiTheme="majorHAnsi"/>
          <w:sz w:val="20"/>
          <w:szCs w:val="20"/>
          <w:lang w:val="es-ES"/>
        </w:rPr>
        <w:t>menores</w:t>
      </w:r>
      <w:r w:rsidR="0005075E" w:rsidRPr="006D4BF1">
        <w:rPr>
          <w:rFonts w:asciiTheme="majorHAnsi" w:hAnsiTheme="majorHAnsi"/>
          <w:sz w:val="20"/>
          <w:szCs w:val="20"/>
          <w:lang w:val="es-ES"/>
        </w:rPr>
        <w:t xml:space="preserve"> </w:t>
      </w:r>
      <w:r w:rsidR="004F5F12">
        <w:rPr>
          <w:rFonts w:asciiTheme="majorHAnsi" w:hAnsiTheme="majorHAnsi"/>
          <w:sz w:val="20"/>
          <w:szCs w:val="20"/>
          <w:lang w:val="es-ES"/>
        </w:rPr>
        <w:t xml:space="preserve">presuntamente </w:t>
      </w:r>
      <w:r w:rsidR="0005075E" w:rsidRPr="006D4BF1">
        <w:rPr>
          <w:rFonts w:asciiTheme="majorHAnsi" w:hAnsiTheme="majorHAnsi"/>
          <w:sz w:val="20"/>
          <w:szCs w:val="20"/>
          <w:lang w:val="es-ES"/>
        </w:rPr>
        <w:t xml:space="preserve">desaparecidos; iv) I, XXV y XXVI de la Declaración Americana, en perjuicio de las 28 presuntas víctimas </w:t>
      </w:r>
      <w:r w:rsidR="00A60FA4">
        <w:rPr>
          <w:rFonts w:asciiTheme="majorHAnsi" w:hAnsiTheme="majorHAnsi"/>
          <w:sz w:val="20"/>
          <w:szCs w:val="20"/>
          <w:lang w:val="es-ES"/>
        </w:rPr>
        <w:t xml:space="preserve">presuntamente </w:t>
      </w:r>
      <w:r w:rsidR="0005075E" w:rsidRPr="006D4BF1">
        <w:rPr>
          <w:rFonts w:asciiTheme="majorHAnsi" w:hAnsiTheme="majorHAnsi"/>
          <w:sz w:val="20"/>
          <w:szCs w:val="20"/>
          <w:lang w:val="es-ES"/>
        </w:rPr>
        <w:t xml:space="preserve">ejecutadas antes de junio de 1978; v) 4, 5, 7, 8 y 25 de la Convención en perjuicio de las 39 presuntas víctimas </w:t>
      </w:r>
      <w:r w:rsidR="00A60FA4">
        <w:rPr>
          <w:rFonts w:asciiTheme="majorHAnsi" w:hAnsiTheme="majorHAnsi"/>
          <w:sz w:val="20"/>
          <w:szCs w:val="20"/>
          <w:lang w:val="es-ES"/>
        </w:rPr>
        <w:t xml:space="preserve">presuntamente </w:t>
      </w:r>
      <w:r w:rsidR="0005075E" w:rsidRPr="006D4BF1">
        <w:rPr>
          <w:rFonts w:asciiTheme="majorHAnsi" w:hAnsiTheme="majorHAnsi"/>
          <w:sz w:val="20"/>
          <w:szCs w:val="20"/>
          <w:lang w:val="es-ES"/>
        </w:rPr>
        <w:t>ejecutadas después de junio</w:t>
      </w:r>
      <w:r w:rsidR="00C95BB7" w:rsidRPr="006D4BF1">
        <w:rPr>
          <w:rFonts w:asciiTheme="majorHAnsi" w:hAnsiTheme="majorHAnsi"/>
          <w:sz w:val="20"/>
          <w:szCs w:val="20"/>
          <w:lang w:val="es-ES"/>
        </w:rPr>
        <w:t xml:space="preserve"> de</w:t>
      </w:r>
      <w:r w:rsidR="0005075E" w:rsidRPr="006D4BF1">
        <w:rPr>
          <w:rFonts w:asciiTheme="majorHAnsi" w:hAnsiTheme="majorHAnsi"/>
          <w:sz w:val="20"/>
          <w:szCs w:val="20"/>
          <w:lang w:val="es-ES"/>
        </w:rPr>
        <w:t xml:space="preserve"> 1978; vi) 19 de la Convención</w:t>
      </w:r>
      <w:r w:rsidR="007619C4">
        <w:rPr>
          <w:rFonts w:asciiTheme="majorHAnsi" w:hAnsiTheme="majorHAnsi"/>
          <w:sz w:val="20"/>
          <w:szCs w:val="20"/>
          <w:lang w:val="es-ES"/>
        </w:rPr>
        <w:t xml:space="preserve"> Americana</w:t>
      </w:r>
      <w:r w:rsidR="0005075E" w:rsidRPr="006D4BF1">
        <w:rPr>
          <w:rFonts w:asciiTheme="majorHAnsi" w:hAnsiTheme="majorHAnsi"/>
          <w:sz w:val="20"/>
          <w:szCs w:val="20"/>
          <w:lang w:val="es-ES"/>
        </w:rPr>
        <w:t xml:space="preserve"> en perjuicio de la </w:t>
      </w:r>
      <w:r w:rsidR="00C95BB7" w:rsidRPr="006D4BF1">
        <w:rPr>
          <w:rFonts w:asciiTheme="majorHAnsi" w:hAnsiTheme="majorHAnsi"/>
          <w:sz w:val="20"/>
          <w:szCs w:val="20"/>
          <w:lang w:val="es-ES"/>
        </w:rPr>
        <w:t>menor de edad</w:t>
      </w:r>
      <w:r w:rsidR="0005075E" w:rsidRPr="006D4BF1">
        <w:rPr>
          <w:rFonts w:asciiTheme="majorHAnsi" w:hAnsiTheme="majorHAnsi"/>
          <w:sz w:val="20"/>
          <w:szCs w:val="20"/>
          <w:lang w:val="es-ES"/>
        </w:rPr>
        <w:t xml:space="preserve"> </w:t>
      </w:r>
      <w:r w:rsidR="004F5F12" w:rsidRPr="004F5F12">
        <w:rPr>
          <w:rFonts w:asciiTheme="majorHAnsi" w:hAnsiTheme="majorHAnsi"/>
          <w:sz w:val="20"/>
          <w:szCs w:val="20"/>
          <w:lang w:val="es-ES"/>
        </w:rPr>
        <w:t xml:space="preserve">presuntamente </w:t>
      </w:r>
      <w:r w:rsidR="0005075E" w:rsidRPr="006D4BF1">
        <w:rPr>
          <w:rFonts w:asciiTheme="majorHAnsi" w:hAnsiTheme="majorHAnsi"/>
          <w:sz w:val="20"/>
          <w:szCs w:val="20"/>
          <w:lang w:val="es-ES"/>
        </w:rPr>
        <w:t xml:space="preserve">ejecutada extrajudicialmente; vii) 5, 8 y 25 de la Convención Americana en relación con las </w:t>
      </w:r>
      <w:r w:rsidR="0005075E" w:rsidRPr="006D4BF1">
        <w:rPr>
          <w:rFonts w:asciiTheme="majorHAnsi" w:hAnsiTheme="majorHAnsi"/>
          <w:sz w:val="20"/>
          <w:szCs w:val="20"/>
          <w:lang w:val="es-ES"/>
        </w:rPr>
        <w:lastRenderedPageBreak/>
        <w:t>obligaciones establecidas en los artículos 1.1 y 2 de dicho instrumento</w:t>
      </w:r>
      <w:r w:rsidR="00C87A03">
        <w:rPr>
          <w:rFonts w:asciiTheme="majorHAnsi" w:hAnsiTheme="majorHAnsi"/>
          <w:sz w:val="20"/>
          <w:szCs w:val="20"/>
          <w:lang w:val="es-ES"/>
        </w:rPr>
        <w:t>;</w:t>
      </w:r>
      <w:r w:rsidR="0005075E" w:rsidRPr="006D4BF1">
        <w:rPr>
          <w:rFonts w:asciiTheme="majorHAnsi" w:hAnsiTheme="majorHAnsi"/>
          <w:sz w:val="20"/>
          <w:szCs w:val="20"/>
          <w:lang w:val="es-ES"/>
        </w:rPr>
        <w:t xml:space="preserve"> </w:t>
      </w:r>
      <w:r w:rsidR="0005075E" w:rsidRPr="006D4BF1">
        <w:rPr>
          <w:rFonts w:asciiTheme="majorHAnsi" w:hAnsiTheme="majorHAnsi"/>
          <w:sz w:val="20"/>
          <w:szCs w:val="20"/>
          <w:lang w:val="es-ES_tradnl"/>
        </w:rPr>
        <w:t xml:space="preserve">y </w:t>
      </w:r>
      <w:r w:rsidR="00FF1B94" w:rsidRPr="006D4BF1">
        <w:rPr>
          <w:rFonts w:asciiTheme="majorHAnsi" w:hAnsiTheme="majorHAnsi"/>
          <w:sz w:val="20"/>
          <w:szCs w:val="20"/>
          <w:lang w:val="es-ES_tradnl"/>
        </w:rPr>
        <w:t>viii)</w:t>
      </w:r>
      <w:r w:rsidR="0005075E" w:rsidRPr="006D4BF1">
        <w:rPr>
          <w:rFonts w:asciiTheme="majorHAnsi" w:hAnsiTheme="majorHAnsi"/>
          <w:sz w:val="20"/>
          <w:szCs w:val="20"/>
          <w:lang w:val="es-ES_tradnl"/>
        </w:rPr>
        <w:t xml:space="preserve"> XVIII de la Declaración Americana,</w:t>
      </w:r>
      <w:r w:rsidR="0005075E" w:rsidRPr="006D4BF1">
        <w:rPr>
          <w:rFonts w:asciiTheme="majorHAnsi" w:hAnsiTheme="majorHAnsi"/>
          <w:sz w:val="20"/>
          <w:szCs w:val="20"/>
          <w:lang w:val="es-ES"/>
        </w:rPr>
        <w:t xml:space="preserve"> en perjuicio de los familiares de las 106 presuntas víctimas</w:t>
      </w:r>
      <w:r w:rsidRPr="006D4BF1">
        <w:rPr>
          <w:rFonts w:asciiTheme="majorHAnsi" w:hAnsiTheme="majorHAnsi"/>
          <w:sz w:val="20"/>
          <w:szCs w:val="20"/>
          <w:lang w:val="es-UY"/>
        </w:rPr>
        <w:t>. L</w:t>
      </w:r>
      <w:r w:rsidRPr="006D4BF1">
        <w:rPr>
          <w:rFonts w:asciiTheme="majorHAnsi" w:hAnsiTheme="majorHAnsi"/>
          <w:sz w:val="20"/>
          <w:szCs w:val="20"/>
          <w:lang w:val="es-ES"/>
        </w:rPr>
        <w:t>a Comisión decide además notificar esta decisión a las partes, publicarla e incluirla en su Informe Anual para la Asamblea General de la OEA.</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eastAsia="Times New Roman" w:hAnsiTheme="majorHAnsi"/>
          <w:color w:val="FF0000"/>
          <w:sz w:val="20"/>
          <w:szCs w:val="20"/>
          <w:bdr w:val="none" w:sz="0" w:space="0" w:color="auto"/>
          <w:lang w:val="es-ES"/>
        </w:rPr>
      </w:pPr>
    </w:p>
    <w:p w:rsidR="00AC08C9" w:rsidRPr="006D4BF1" w:rsidRDefault="004F671F" w:rsidP="009A426D">
      <w:pPr>
        <w:pStyle w:val="NoSpacing"/>
        <w:rPr>
          <w:bdr w:val="none" w:sz="0" w:space="0" w:color="auto"/>
          <w:lang w:val="es-ES_tradnl"/>
        </w:rPr>
      </w:pPr>
      <w:r w:rsidRPr="006D4BF1">
        <w:rPr>
          <w:bdr w:val="none" w:sz="0" w:space="0" w:color="auto"/>
        </w:rPr>
        <w:t>TRÁMITE ANTE LA COMISIÓN</w:t>
      </w:r>
    </w:p>
    <w:p w:rsidR="00AC08C9" w:rsidRPr="006D4BF1" w:rsidRDefault="00AC08C9"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eastAsia="Times New Roman" w:hAnsiTheme="majorHAnsi"/>
          <w:sz w:val="20"/>
          <w:szCs w:val="20"/>
          <w:bdr w:val="none" w:sz="0" w:space="0" w:color="auto"/>
          <w:lang w:val="es-ES_tradnl"/>
        </w:rPr>
      </w:pPr>
      <w:r w:rsidRPr="006D4BF1">
        <w:rPr>
          <w:rFonts w:asciiTheme="majorHAnsi" w:eastAsia="Times New Roman" w:hAnsiTheme="majorHAnsi"/>
          <w:bCs/>
          <w:kern w:val="36"/>
          <w:sz w:val="20"/>
          <w:szCs w:val="20"/>
          <w:bdr w:val="none" w:sz="0" w:space="0" w:color="auto"/>
          <w:lang w:val="es-ES_tradnl"/>
        </w:rPr>
        <w:t xml:space="preserve">La petición fue recibida el </w:t>
      </w:r>
      <w:r w:rsidR="004F671F" w:rsidRPr="006D4BF1">
        <w:rPr>
          <w:rFonts w:asciiTheme="majorHAnsi" w:eastAsia="Times New Roman" w:hAnsiTheme="majorHAnsi"/>
          <w:bCs/>
          <w:kern w:val="36"/>
          <w:sz w:val="20"/>
          <w:szCs w:val="20"/>
          <w:bdr w:val="none" w:sz="0" w:space="0" w:color="auto"/>
          <w:lang w:val="es-ES_tradnl"/>
        </w:rPr>
        <w:t>2</w:t>
      </w:r>
      <w:r w:rsidRPr="006D4BF1">
        <w:rPr>
          <w:rFonts w:asciiTheme="majorHAnsi" w:eastAsia="Times New Roman" w:hAnsiTheme="majorHAnsi"/>
          <w:bCs/>
          <w:kern w:val="36"/>
          <w:sz w:val="20"/>
          <w:szCs w:val="20"/>
          <w:bdr w:val="none" w:sz="0" w:space="0" w:color="auto"/>
          <w:lang w:val="es-ES_tradnl"/>
        </w:rPr>
        <w:t>3</w:t>
      </w:r>
      <w:r w:rsidR="004F671F" w:rsidRPr="006D4BF1">
        <w:rPr>
          <w:rFonts w:asciiTheme="majorHAnsi" w:eastAsia="Times New Roman" w:hAnsiTheme="majorHAnsi"/>
          <w:bCs/>
          <w:kern w:val="36"/>
          <w:sz w:val="20"/>
          <w:szCs w:val="20"/>
          <w:bdr w:val="none" w:sz="0" w:space="0" w:color="auto"/>
          <w:lang w:val="es-ES_tradnl"/>
        </w:rPr>
        <w:t xml:space="preserve"> de </w:t>
      </w:r>
      <w:r w:rsidRPr="006D4BF1">
        <w:rPr>
          <w:rFonts w:asciiTheme="majorHAnsi" w:eastAsia="Times New Roman" w:hAnsiTheme="majorHAnsi"/>
          <w:bCs/>
          <w:kern w:val="36"/>
          <w:sz w:val="20"/>
          <w:szCs w:val="20"/>
          <w:bdr w:val="none" w:sz="0" w:space="0" w:color="auto"/>
          <w:lang w:val="es-ES_tradnl"/>
        </w:rPr>
        <w:t>octubre de</w:t>
      </w:r>
      <w:r w:rsidR="004F671F" w:rsidRPr="006D4BF1">
        <w:rPr>
          <w:rFonts w:asciiTheme="majorHAnsi" w:eastAsia="Times New Roman" w:hAnsiTheme="majorHAnsi"/>
          <w:bCs/>
          <w:kern w:val="36"/>
          <w:sz w:val="20"/>
          <w:szCs w:val="20"/>
          <w:bdr w:val="none" w:sz="0" w:space="0" w:color="auto"/>
          <w:lang w:val="es-ES_tradnl"/>
        </w:rPr>
        <w:t xml:space="preserve"> 2003 </w:t>
      </w:r>
      <w:r w:rsidRPr="006D4BF1">
        <w:rPr>
          <w:rFonts w:asciiTheme="majorHAnsi" w:eastAsia="Times New Roman" w:hAnsiTheme="majorHAnsi"/>
          <w:bCs/>
          <w:kern w:val="36"/>
          <w:sz w:val="20"/>
          <w:szCs w:val="20"/>
          <w:bdr w:val="none" w:sz="0" w:space="0" w:color="auto"/>
          <w:lang w:val="es-ES_tradnl"/>
        </w:rPr>
        <w:t>y</w:t>
      </w:r>
      <w:r w:rsidR="004F671F" w:rsidRPr="006D4BF1">
        <w:rPr>
          <w:rFonts w:asciiTheme="majorHAnsi" w:eastAsia="Times New Roman" w:hAnsiTheme="majorHAnsi"/>
          <w:bCs/>
          <w:kern w:val="36"/>
          <w:sz w:val="20"/>
          <w:szCs w:val="20"/>
          <w:bdr w:val="none" w:sz="0" w:space="0" w:color="auto"/>
          <w:lang w:val="es-ES_tradnl"/>
        </w:rPr>
        <w:t xml:space="preserve"> registrada como P-882-03. El 6 de octubre de 2004 fue trasladada al Estado, otorgándole un plazo de 2 meses para que presentara sus observaciones</w:t>
      </w:r>
      <w:r w:rsidR="006C1D96" w:rsidRPr="006D4BF1">
        <w:rPr>
          <w:rFonts w:asciiTheme="majorHAnsi" w:eastAsia="Times New Roman" w:hAnsiTheme="majorHAnsi"/>
          <w:bCs/>
          <w:kern w:val="36"/>
          <w:sz w:val="20"/>
          <w:szCs w:val="20"/>
          <w:bdr w:val="none" w:sz="0" w:space="0" w:color="auto"/>
          <w:lang w:val="es-ES_tradnl"/>
        </w:rPr>
        <w:t>, de acuerdo al Reglamento entonces en vigor</w:t>
      </w:r>
      <w:r w:rsidR="004F671F" w:rsidRPr="006D4BF1">
        <w:rPr>
          <w:rFonts w:asciiTheme="majorHAnsi" w:eastAsia="Times New Roman" w:hAnsiTheme="majorHAnsi"/>
          <w:bCs/>
          <w:kern w:val="36"/>
          <w:sz w:val="20"/>
          <w:szCs w:val="20"/>
          <w:bdr w:val="none" w:sz="0" w:space="0" w:color="auto"/>
          <w:lang w:val="es-ES_tradnl"/>
        </w:rPr>
        <w:t xml:space="preserve">. </w:t>
      </w:r>
      <w:r w:rsidR="006C1D96" w:rsidRPr="006D4BF1">
        <w:rPr>
          <w:rFonts w:asciiTheme="majorHAnsi" w:eastAsia="Times New Roman" w:hAnsiTheme="majorHAnsi"/>
          <w:bCs/>
          <w:kern w:val="36"/>
          <w:sz w:val="20"/>
          <w:szCs w:val="20"/>
          <w:bdr w:val="none" w:sz="0" w:space="0" w:color="auto"/>
          <w:lang w:val="es-ES_tradnl"/>
        </w:rPr>
        <w:t>El E</w:t>
      </w:r>
      <w:r w:rsidR="004A3443" w:rsidRPr="006D4BF1">
        <w:rPr>
          <w:rFonts w:asciiTheme="majorHAnsi" w:eastAsia="Times New Roman" w:hAnsiTheme="majorHAnsi"/>
          <w:bCs/>
          <w:kern w:val="36"/>
          <w:sz w:val="20"/>
          <w:szCs w:val="20"/>
          <w:bdr w:val="none" w:sz="0" w:space="0" w:color="auto"/>
          <w:lang w:val="es-ES_tradnl"/>
        </w:rPr>
        <w:t>stado present</w:t>
      </w:r>
      <w:r w:rsidR="006B63E3" w:rsidRPr="006D4BF1">
        <w:rPr>
          <w:rFonts w:asciiTheme="majorHAnsi" w:eastAsia="Times New Roman" w:hAnsiTheme="majorHAnsi"/>
          <w:bCs/>
          <w:kern w:val="36"/>
          <w:sz w:val="20"/>
          <w:szCs w:val="20"/>
          <w:bdr w:val="none" w:sz="0" w:space="0" w:color="auto"/>
          <w:lang w:val="es-ES_tradnl"/>
        </w:rPr>
        <w:t>ó</w:t>
      </w:r>
      <w:r w:rsidR="004A3443" w:rsidRPr="006D4BF1">
        <w:rPr>
          <w:rFonts w:asciiTheme="majorHAnsi" w:eastAsia="Times New Roman" w:hAnsiTheme="majorHAnsi"/>
          <w:bCs/>
          <w:kern w:val="36"/>
          <w:sz w:val="20"/>
          <w:szCs w:val="20"/>
          <w:bdr w:val="none" w:sz="0" w:space="0" w:color="auto"/>
          <w:lang w:val="es-ES_tradnl"/>
        </w:rPr>
        <w:t xml:space="preserve"> sus escritos de observaciones el </w:t>
      </w:r>
      <w:r w:rsidR="00FF64FE" w:rsidRPr="006D4BF1">
        <w:rPr>
          <w:rFonts w:asciiTheme="majorHAnsi" w:eastAsia="Times New Roman" w:hAnsiTheme="majorHAnsi"/>
          <w:bCs/>
          <w:kern w:val="36"/>
          <w:sz w:val="20"/>
          <w:szCs w:val="20"/>
          <w:bdr w:val="none" w:sz="0" w:space="0" w:color="auto"/>
          <w:lang w:val="es-ES_tradnl"/>
        </w:rPr>
        <w:t>6 octubre de 200</w:t>
      </w:r>
      <w:r w:rsidR="004A3443" w:rsidRPr="006D4BF1">
        <w:rPr>
          <w:rFonts w:asciiTheme="majorHAnsi" w:eastAsia="Times New Roman" w:hAnsiTheme="majorHAnsi"/>
          <w:bCs/>
          <w:kern w:val="36"/>
          <w:sz w:val="20"/>
          <w:szCs w:val="20"/>
          <w:bdr w:val="none" w:sz="0" w:space="0" w:color="auto"/>
          <w:lang w:val="es-ES_tradnl"/>
        </w:rPr>
        <w:t>4, 20 de enero d</w:t>
      </w:r>
      <w:r w:rsidR="002A3365" w:rsidRPr="006D4BF1">
        <w:rPr>
          <w:rFonts w:asciiTheme="majorHAnsi" w:eastAsia="Times New Roman" w:hAnsiTheme="majorHAnsi"/>
          <w:bCs/>
          <w:kern w:val="36"/>
          <w:sz w:val="20"/>
          <w:szCs w:val="20"/>
          <w:bdr w:val="none" w:sz="0" w:space="0" w:color="auto"/>
          <w:lang w:val="es-ES_tradnl"/>
        </w:rPr>
        <w:t xml:space="preserve">e 2005, 1 de junio de 2005 y </w:t>
      </w:r>
      <w:r w:rsidR="004A3443" w:rsidRPr="006D4BF1">
        <w:rPr>
          <w:rFonts w:asciiTheme="majorHAnsi" w:eastAsia="Times New Roman" w:hAnsiTheme="majorHAnsi"/>
          <w:bCs/>
          <w:kern w:val="36"/>
          <w:sz w:val="20"/>
          <w:szCs w:val="20"/>
          <w:bdr w:val="none" w:sz="0" w:space="0" w:color="auto"/>
          <w:lang w:val="es-ES_tradnl"/>
        </w:rPr>
        <w:t xml:space="preserve">3 de octubre de 2005, </w:t>
      </w:r>
      <w:r w:rsidR="00720DAE" w:rsidRPr="006D4BF1">
        <w:rPr>
          <w:rFonts w:asciiTheme="majorHAnsi" w:eastAsia="Times New Roman" w:hAnsiTheme="majorHAnsi"/>
          <w:bCs/>
          <w:kern w:val="36"/>
          <w:sz w:val="20"/>
          <w:szCs w:val="20"/>
          <w:bdr w:val="none" w:sz="0" w:space="0" w:color="auto"/>
          <w:lang w:val="es-ES_tradnl"/>
        </w:rPr>
        <w:t xml:space="preserve">notas </w:t>
      </w:r>
      <w:r w:rsidR="004A3443" w:rsidRPr="006D4BF1">
        <w:rPr>
          <w:rFonts w:asciiTheme="majorHAnsi" w:eastAsia="Times New Roman" w:hAnsiTheme="majorHAnsi"/>
          <w:bCs/>
          <w:kern w:val="36"/>
          <w:sz w:val="20"/>
          <w:szCs w:val="20"/>
          <w:bdr w:val="none" w:sz="0" w:space="0" w:color="auto"/>
          <w:lang w:val="es-ES_tradnl"/>
        </w:rPr>
        <w:t>que fueron debidamente trasladadas a los peticionarios.</w:t>
      </w:r>
    </w:p>
    <w:p w:rsidR="004A3443" w:rsidRPr="006D4BF1" w:rsidRDefault="004A3443" w:rsidP="00720D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rsidR="004F671F" w:rsidRPr="006D4BF1" w:rsidRDefault="004F671F"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eastAsia="Times New Roman" w:hAnsiTheme="majorHAnsi"/>
          <w:sz w:val="20"/>
          <w:szCs w:val="20"/>
          <w:bdr w:val="none" w:sz="0" w:space="0" w:color="auto"/>
          <w:lang w:val="es-ES_tradnl"/>
        </w:rPr>
      </w:pPr>
      <w:r w:rsidRPr="006D4BF1">
        <w:rPr>
          <w:rFonts w:asciiTheme="majorHAnsi" w:eastAsia="Times New Roman" w:hAnsiTheme="majorHAnsi"/>
          <w:bCs/>
          <w:kern w:val="36"/>
          <w:sz w:val="20"/>
          <w:szCs w:val="20"/>
          <w:bdr w:val="none" w:sz="0" w:space="0" w:color="auto"/>
          <w:lang w:val="es-ES_tradnl"/>
        </w:rPr>
        <w:t xml:space="preserve">Además, la Comisión recibió información de los peticionarios en las siguientes fechas: </w:t>
      </w:r>
      <w:r w:rsidR="00110EC2" w:rsidRPr="006D4BF1">
        <w:rPr>
          <w:rFonts w:asciiTheme="majorHAnsi" w:eastAsia="Times New Roman" w:hAnsiTheme="majorHAnsi"/>
          <w:bCs/>
          <w:kern w:val="36"/>
          <w:sz w:val="20"/>
          <w:szCs w:val="20"/>
          <w:bdr w:val="none" w:sz="0" w:space="0" w:color="auto"/>
          <w:lang w:val="es-ES_tradnl"/>
        </w:rPr>
        <w:t xml:space="preserve">21 de enero de 2005, </w:t>
      </w:r>
      <w:r w:rsidRPr="006D4BF1">
        <w:rPr>
          <w:rFonts w:asciiTheme="majorHAnsi" w:eastAsia="Times New Roman" w:hAnsiTheme="majorHAnsi"/>
          <w:bCs/>
          <w:kern w:val="36"/>
          <w:sz w:val="20"/>
          <w:szCs w:val="20"/>
          <w:bdr w:val="none" w:sz="0" w:space="0" w:color="auto"/>
          <w:lang w:val="es-ES_tradnl"/>
        </w:rPr>
        <w:t>4 de febrero de 2005, 26 de febrero de 2005, 27 de no</w:t>
      </w:r>
      <w:r w:rsidRPr="006D4BF1">
        <w:rPr>
          <w:rFonts w:asciiTheme="majorHAnsi" w:eastAsia="Times New Roman" w:hAnsiTheme="majorHAnsi"/>
          <w:bCs/>
          <w:color w:val="auto"/>
          <w:kern w:val="36"/>
          <w:sz w:val="20"/>
          <w:szCs w:val="20"/>
          <w:bdr w:val="none" w:sz="0" w:space="0" w:color="auto"/>
          <w:lang w:val="es-ES_tradnl"/>
        </w:rPr>
        <w:t xml:space="preserve">viembre de 2006 y </w:t>
      </w:r>
      <w:r w:rsidR="00CB6FB1" w:rsidRPr="006D4BF1">
        <w:rPr>
          <w:rFonts w:asciiTheme="majorHAnsi" w:eastAsia="Times New Roman" w:hAnsiTheme="majorHAnsi"/>
          <w:bCs/>
          <w:color w:val="auto"/>
          <w:kern w:val="36"/>
          <w:sz w:val="20"/>
          <w:szCs w:val="20"/>
          <w:bdr w:val="none" w:sz="0" w:space="0" w:color="auto"/>
          <w:lang w:val="es-ES_tradnl"/>
        </w:rPr>
        <w:t>19 de mayo de 2015</w:t>
      </w:r>
      <w:r w:rsidR="005A6012" w:rsidRPr="006D4BF1">
        <w:rPr>
          <w:rStyle w:val="FootnoteReference"/>
          <w:rFonts w:asciiTheme="majorHAnsi" w:eastAsia="Times New Roman" w:hAnsiTheme="majorHAnsi"/>
          <w:bCs/>
          <w:color w:val="auto"/>
          <w:kern w:val="36"/>
          <w:sz w:val="20"/>
          <w:szCs w:val="20"/>
          <w:bdr w:val="none" w:sz="0" w:space="0" w:color="auto"/>
          <w:lang w:val="es-ES_tradnl"/>
        </w:rPr>
        <w:footnoteReference w:id="3"/>
      </w:r>
      <w:r w:rsidR="00CB6FB1" w:rsidRPr="006D4BF1">
        <w:rPr>
          <w:rFonts w:asciiTheme="majorHAnsi" w:eastAsia="Times New Roman" w:hAnsiTheme="majorHAnsi"/>
          <w:bCs/>
          <w:color w:val="auto"/>
          <w:kern w:val="36"/>
          <w:sz w:val="20"/>
          <w:szCs w:val="20"/>
          <w:bdr w:val="none" w:sz="0" w:space="0" w:color="auto"/>
          <w:lang w:val="es-ES_tradnl"/>
        </w:rPr>
        <w:t xml:space="preserve">. </w:t>
      </w:r>
      <w:r w:rsidRPr="006D4BF1">
        <w:rPr>
          <w:rFonts w:asciiTheme="majorHAnsi" w:eastAsia="Times New Roman" w:hAnsiTheme="majorHAnsi"/>
          <w:bCs/>
          <w:color w:val="auto"/>
          <w:kern w:val="36"/>
          <w:sz w:val="20"/>
          <w:szCs w:val="20"/>
          <w:bdr w:val="none" w:sz="0" w:space="0" w:color="auto"/>
          <w:lang w:val="es-ES_tradnl"/>
        </w:rPr>
        <w:t>Dichas comunicaciones fueron debidamente trasladadas al Estado.</w:t>
      </w:r>
    </w:p>
    <w:p w:rsidR="004F671F" w:rsidRPr="006D4BF1" w:rsidRDefault="004F671F" w:rsidP="00720DAE">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color w:val="FF0000"/>
          <w:kern w:val="36"/>
          <w:sz w:val="20"/>
          <w:szCs w:val="20"/>
          <w:bdr w:val="none" w:sz="0" w:space="0" w:color="auto"/>
          <w:lang w:val="es-AR"/>
        </w:rPr>
      </w:pPr>
    </w:p>
    <w:p w:rsidR="00720DAE" w:rsidRPr="006D4BF1" w:rsidRDefault="00720DAE"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 xml:space="preserve">El 6 de abril de 2004, la organización “Servicios Interamericanos de Abogados en Derechos Humanos” de Costa Rica, presentó un documento de </w:t>
      </w:r>
      <w:r w:rsidRPr="006D4BF1">
        <w:rPr>
          <w:rFonts w:asciiTheme="majorHAnsi" w:eastAsia="Times New Roman" w:hAnsiTheme="majorHAnsi"/>
          <w:bCs/>
          <w:i/>
          <w:kern w:val="36"/>
          <w:sz w:val="20"/>
          <w:szCs w:val="20"/>
          <w:bdr w:val="none" w:sz="0" w:space="0" w:color="auto"/>
          <w:lang w:val="es-AR"/>
        </w:rPr>
        <w:t>Amicus Curiae</w:t>
      </w:r>
      <w:r w:rsidRPr="006D4BF1">
        <w:rPr>
          <w:rFonts w:asciiTheme="majorHAnsi" w:eastAsia="Times New Roman" w:hAnsiTheme="majorHAnsi"/>
          <w:bCs/>
          <w:kern w:val="36"/>
          <w:sz w:val="20"/>
          <w:szCs w:val="20"/>
          <w:bdr w:val="none" w:sz="0" w:space="0" w:color="auto"/>
          <w:lang w:val="es-AR"/>
        </w:rPr>
        <w:t xml:space="preserve"> en el cual expuso el alcance y valor jurídico de la Comisión de la Verdad de Panamá. El documento fue debidamente trasladado a</w:t>
      </w:r>
      <w:r w:rsidR="006C1D96" w:rsidRPr="006D4BF1">
        <w:rPr>
          <w:rFonts w:asciiTheme="majorHAnsi" w:eastAsia="Times New Roman" w:hAnsiTheme="majorHAnsi"/>
          <w:bCs/>
          <w:kern w:val="36"/>
          <w:sz w:val="20"/>
          <w:szCs w:val="20"/>
          <w:bdr w:val="none" w:sz="0" w:space="0" w:color="auto"/>
          <w:lang w:val="es-AR"/>
        </w:rPr>
        <w:t xml:space="preserve"> las partes</w:t>
      </w:r>
      <w:r w:rsidRPr="006D4BF1">
        <w:rPr>
          <w:rFonts w:asciiTheme="majorHAnsi" w:eastAsia="Times New Roman" w:hAnsiTheme="majorHAnsi"/>
          <w:bCs/>
          <w:kern w:val="36"/>
          <w:sz w:val="20"/>
          <w:szCs w:val="20"/>
          <w:bdr w:val="none" w:sz="0" w:space="0" w:color="auto"/>
          <w:lang w:val="es-AR"/>
        </w:rPr>
        <w:t>.</w:t>
      </w:r>
    </w:p>
    <w:p w:rsidR="00720DAE" w:rsidRPr="006D4BF1" w:rsidRDefault="00720DAE" w:rsidP="00720DAE">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4F671F" w:rsidRPr="006D4BF1" w:rsidRDefault="002A3365"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El 2 de marzo de 2005, e</w:t>
      </w:r>
      <w:r w:rsidR="004A3443" w:rsidRPr="006D4BF1">
        <w:rPr>
          <w:rFonts w:asciiTheme="majorHAnsi" w:eastAsia="Times New Roman" w:hAnsiTheme="majorHAnsi"/>
          <w:bCs/>
          <w:kern w:val="36"/>
          <w:sz w:val="20"/>
          <w:szCs w:val="20"/>
          <w:bdr w:val="none" w:sz="0" w:space="0" w:color="auto"/>
          <w:lang w:val="es-AR"/>
        </w:rPr>
        <w:t xml:space="preserve">n el marco del 122° período ordinario de sesiones,  se celebró ante la CIDH </w:t>
      </w:r>
      <w:r w:rsidR="004F671F" w:rsidRPr="006D4BF1">
        <w:rPr>
          <w:rFonts w:asciiTheme="majorHAnsi" w:eastAsia="Times New Roman" w:hAnsiTheme="majorHAnsi"/>
          <w:bCs/>
          <w:kern w:val="36"/>
          <w:sz w:val="20"/>
          <w:szCs w:val="20"/>
          <w:bdr w:val="none" w:sz="0" w:space="0" w:color="auto"/>
          <w:lang w:val="es-AR"/>
        </w:rPr>
        <w:t>una reunión de trabajo entre</w:t>
      </w:r>
      <w:r w:rsidR="004A3443" w:rsidRPr="006D4BF1">
        <w:rPr>
          <w:rFonts w:asciiTheme="majorHAnsi" w:eastAsia="Times New Roman" w:hAnsiTheme="majorHAnsi"/>
          <w:bCs/>
          <w:kern w:val="36"/>
          <w:sz w:val="20"/>
          <w:szCs w:val="20"/>
          <w:bdr w:val="none" w:sz="0" w:space="0" w:color="auto"/>
          <w:lang w:val="es-AR"/>
        </w:rPr>
        <w:t xml:space="preserve"> las partes </w:t>
      </w:r>
      <w:r w:rsidR="00A25175" w:rsidRPr="006D4BF1">
        <w:rPr>
          <w:rFonts w:asciiTheme="majorHAnsi" w:eastAsia="Times New Roman" w:hAnsiTheme="majorHAnsi"/>
          <w:bCs/>
          <w:kern w:val="36"/>
          <w:sz w:val="20"/>
          <w:szCs w:val="20"/>
          <w:bdr w:val="none" w:sz="0" w:space="0" w:color="auto"/>
          <w:lang w:val="es-AR"/>
        </w:rPr>
        <w:t xml:space="preserve">para explorar la posibilidad de llegar a un acuerdo de solución amistosa, </w:t>
      </w:r>
      <w:r w:rsidR="00CB6FB1" w:rsidRPr="006D4BF1">
        <w:rPr>
          <w:rFonts w:asciiTheme="majorHAnsi" w:eastAsia="Times New Roman" w:hAnsiTheme="majorHAnsi"/>
          <w:bCs/>
          <w:kern w:val="36"/>
          <w:sz w:val="20"/>
          <w:szCs w:val="20"/>
          <w:bdr w:val="none" w:sz="0" w:space="0" w:color="auto"/>
          <w:lang w:val="es-AR"/>
        </w:rPr>
        <w:t xml:space="preserve">acuerdo </w:t>
      </w:r>
      <w:r w:rsidR="00A25175" w:rsidRPr="006D4BF1">
        <w:rPr>
          <w:rFonts w:asciiTheme="majorHAnsi" w:eastAsia="Times New Roman" w:hAnsiTheme="majorHAnsi"/>
          <w:bCs/>
          <w:kern w:val="36"/>
          <w:sz w:val="20"/>
          <w:szCs w:val="20"/>
          <w:bdr w:val="none" w:sz="0" w:space="0" w:color="auto"/>
          <w:lang w:val="es-AR"/>
        </w:rPr>
        <w:t>que finalmente n</w:t>
      </w:r>
      <w:r w:rsidR="004A3443" w:rsidRPr="006D4BF1">
        <w:rPr>
          <w:rFonts w:asciiTheme="majorHAnsi" w:eastAsia="Times New Roman" w:hAnsiTheme="majorHAnsi"/>
          <w:bCs/>
          <w:kern w:val="36"/>
          <w:sz w:val="20"/>
          <w:szCs w:val="20"/>
          <w:bdr w:val="none" w:sz="0" w:space="0" w:color="auto"/>
          <w:lang w:val="es-AR"/>
        </w:rPr>
        <w:t>o</w:t>
      </w:r>
      <w:r w:rsidR="00A25175" w:rsidRPr="006D4BF1">
        <w:rPr>
          <w:rFonts w:asciiTheme="majorHAnsi" w:eastAsia="Times New Roman" w:hAnsiTheme="majorHAnsi"/>
          <w:bCs/>
          <w:kern w:val="36"/>
          <w:sz w:val="20"/>
          <w:szCs w:val="20"/>
          <w:bdr w:val="none" w:sz="0" w:space="0" w:color="auto"/>
          <w:lang w:val="es-AR"/>
        </w:rPr>
        <w:t xml:space="preserve"> se concretiz</w:t>
      </w:r>
      <w:r w:rsidR="00CB6FB1" w:rsidRPr="006D4BF1">
        <w:rPr>
          <w:rFonts w:asciiTheme="majorHAnsi" w:eastAsia="Times New Roman" w:hAnsiTheme="majorHAnsi"/>
          <w:bCs/>
          <w:kern w:val="36"/>
          <w:sz w:val="20"/>
          <w:szCs w:val="20"/>
          <w:bdr w:val="none" w:sz="0" w:space="0" w:color="auto"/>
          <w:lang w:val="es-AR"/>
        </w:rPr>
        <w:t>ó</w:t>
      </w:r>
      <w:r w:rsidR="00A25175" w:rsidRPr="006D4BF1">
        <w:rPr>
          <w:rFonts w:asciiTheme="majorHAnsi" w:eastAsia="Times New Roman" w:hAnsiTheme="majorHAnsi"/>
          <w:bCs/>
          <w:kern w:val="36"/>
          <w:sz w:val="20"/>
          <w:szCs w:val="20"/>
          <w:bdr w:val="none" w:sz="0" w:space="0" w:color="auto"/>
          <w:lang w:val="es-AR"/>
        </w:rPr>
        <w:t>.</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4F671F" w:rsidRPr="006D4BF1" w:rsidRDefault="006375D9" w:rsidP="009A426D">
      <w:pPr>
        <w:pStyle w:val="NoSpacing"/>
      </w:pPr>
      <w:r w:rsidRPr="006D4BF1">
        <w:t>POSICIÓN DE LAS PARTES</w:t>
      </w:r>
    </w:p>
    <w:p w:rsidR="004F671F" w:rsidRPr="006D4BF1" w:rsidRDefault="004F671F" w:rsidP="008F471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b/>
          <w:bCs/>
          <w:sz w:val="20"/>
          <w:szCs w:val="20"/>
          <w:bdr w:val="none" w:sz="0" w:space="0" w:color="auto"/>
          <w:lang w:val="es-ES"/>
        </w:rPr>
        <w:t>Posición de los peticionarios</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4F671F"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Los peticionarios denuncian la desaparición forzada y ejecución extrajudicial de 1</w:t>
      </w:r>
      <w:r w:rsidR="005D19F4" w:rsidRPr="006D4BF1">
        <w:rPr>
          <w:rFonts w:asciiTheme="majorHAnsi" w:eastAsia="Times New Roman" w:hAnsiTheme="majorHAnsi"/>
          <w:bCs/>
          <w:kern w:val="36"/>
          <w:sz w:val="20"/>
          <w:szCs w:val="20"/>
          <w:bdr w:val="none" w:sz="0" w:space="0" w:color="auto"/>
          <w:lang w:val="es-AR"/>
        </w:rPr>
        <w:t>09</w:t>
      </w:r>
      <w:r w:rsidRPr="006D4BF1">
        <w:rPr>
          <w:rFonts w:asciiTheme="majorHAnsi" w:eastAsia="Times New Roman" w:hAnsiTheme="majorHAnsi"/>
          <w:bCs/>
          <w:kern w:val="36"/>
          <w:sz w:val="20"/>
          <w:szCs w:val="20"/>
          <w:bdr w:val="none" w:sz="0" w:space="0" w:color="auto"/>
          <w:lang w:val="es-AR"/>
        </w:rPr>
        <w:t xml:space="preserve"> personas entre octubre de</w:t>
      </w:r>
      <w:r w:rsidR="00EF3EA6" w:rsidRPr="006D4BF1">
        <w:rPr>
          <w:rFonts w:asciiTheme="majorHAnsi" w:eastAsia="Times New Roman" w:hAnsiTheme="majorHAnsi"/>
          <w:bCs/>
          <w:kern w:val="36"/>
          <w:sz w:val="20"/>
          <w:szCs w:val="20"/>
          <w:bdr w:val="none" w:sz="0" w:space="0" w:color="auto"/>
          <w:lang w:val="es-AR"/>
        </w:rPr>
        <w:t xml:space="preserve"> </w:t>
      </w:r>
      <w:r w:rsidRPr="006D4BF1">
        <w:rPr>
          <w:rFonts w:asciiTheme="majorHAnsi" w:eastAsia="Times New Roman" w:hAnsiTheme="majorHAnsi"/>
          <w:bCs/>
          <w:kern w:val="36"/>
          <w:sz w:val="20"/>
          <w:szCs w:val="20"/>
          <w:bdr w:val="none" w:sz="0" w:space="0" w:color="auto"/>
          <w:lang w:val="es-AR"/>
        </w:rPr>
        <w:t>1968 y diciembre de 1989</w:t>
      </w:r>
      <w:r w:rsidR="00A055AE" w:rsidRPr="006D4BF1">
        <w:rPr>
          <w:rFonts w:asciiTheme="majorHAnsi" w:eastAsia="Times New Roman" w:hAnsiTheme="majorHAnsi"/>
          <w:bCs/>
          <w:kern w:val="36"/>
          <w:sz w:val="20"/>
          <w:szCs w:val="20"/>
          <w:bdr w:val="none" w:sz="0" w:space="0" w:color="auto"/>
          <w:lang w:val="es-AR"/>
        </w:rPr>
        <w:t xml:space="preserve"> en Panamá</w:t>
      </w:r>
      <w:r w:rsidRPr="006D4BF1">
        <w:rPr>
          <w:rFonts w:asciiTheme="majorHAnsi" w:eastAsia="Times New Roman" w:hAnsiTheme="majorHAnsi"/>
          <w:bCs/>
          <w:kern w:val="36"/>
          <w:sz w:val="20"/>
          <w:szCs w:val="20"/>
          <w:bdr w:val="none" w:sz="0" w:space="0" w:color="auto"/>
          <w:lang w:val="es-AR"/>
        </w:rPr>
        <w:t xml:space="preserve">. </w:t>
      </w:r>
      <w:r w:rsidR="004F5F12">
        <w:rPr>
          <w:rFonts w:asciiTheme="majorHAnsi" w:eastAsia="Times New Roman" w:hAnsiTheme="majorHAnsi"/>
          <w:bCs/>
          <w:kern w:val="36"/>
          <w:sz w:val="20"/>
          <w:szCs w:val="20"/>
          <w:bdr w:val="none" w:sz="0" w:space="0" w:color="auto"/>
          <w:lang w:val="es-AR"/>
        </w:rPr>
        <w:t>Según lo alegado, estas</w:t>
      </w:r>
      <w:r w:rsidR="006375D9" w:rsidRPr="006D4BF1">
        <w:rPr>
          <w:rFonts w:asciiTheme="majorHAnsi" w:eastAsia="Times New Roman" w:hAnsiTheme="majorHAnsi"/>
          <w:bCs/>
          <w:kern w:val="36"/>
          <w:sz w:val="20"/>
          <w:szCs w:val="20"/>
          <w:bdr w:val="none" w:sz="0" w:space="0" w:color="auto"/>
          <w:lang w:val="es-ES"/>
        </w:rPr>
        <w:t xml:space="preserve"> violaciones</w:t>
      </w:r>
      <w:r w:rsidRPr="006D4BF1">
        <w:rPr>
          <w:rFonts w:asciiTheme="majorHAnsi" w:eastAsia="Times New Roman" w:hAnsiTheme="majorHAnsi"/>
          <w:bCs/>
          <w:kern w:val="36"/>
          <w:sz w:val="20"/>
          <w:szCs w:val="20"/>
          <w:bdr w:val="none" w:sz="0" w:space="0" w:color="auto"/>
          <w:lang w:val="es-ES"/>
        </w:rPr>
        <w:t xml:space="preserve"> habría</w:t>
      </w:r>
      <w:r w:rsidR="006375D9" w:rsidRPr="006D4BF1">
        <w:rPr>
          <w:rFonts w:asciiTheme="majorHAnsi" w:eastAsia="Times New Roman" w:hAnsiTheme="majorHAnsi"/>
          <w:bCs/>
          <w:kern w:val="36"/>
          <w:sz w:val="20"/>
          <w:szCs w:val="20"/>
          <w:bdr w:val="none" w:sz="0" w:space="0" w:color="auto"/>
          <w:lang w:val="es-ES"/>
        </w:rPr>
        <w:t>n</w:t>
      </w:r>
      <w:r w:rsidRPr="006D4BF1">
        <w:rPr>
          <w:rFonts w:asciiTheme="majorHAnsi" w:eastAsia="Times New Roman" w:hAnsiTheme="majorHAnsi"/>
          <w:bCs/>
          <w:kern w:val="36"/>
          <w:sz w:val="20"/>
          <w:szCs w:val="20"/>
          <w:bdr w:val="none" w:sz="0" w:space="0" w:color="auto"/>
          <w:lang w:val="es-ES"/>
        </w:rPr>
        <w:t xml:space="preserve"> sido </w:t>
      </w:r>
      <w:r w:rsidR="006375D9" w:rsidRPr="006D4BF1">
        <w:rPr>
          <w:rFonts w:asciiTheme="majorHAnsi" w:eastAsia="Times New Roman" w:hAnsiTheme="majorHAnsi"/>
          <w:bCs/>
          <w:kern w:val="36"/>
          <w:sz w:val="20"/>
          <w:szCs w:val="20"/>
          <w:bdr w:val="none" w:sz="0" w:space="0" w:color="auto"/>
          <w:lang w:val="es-ES"/>
        </w:rPr>
        <w:t>cometidas</w:t>
      </w:r>
      <w:r w:rsidRPr="006D4BF1">
        <w:rPr>
          <w:rFonts w:asciiTheme="majorHAnsi" w:eastAsia="Times New Roman" w:hAnsiTheme="majorHAnsi"/>
          <w:bCs/>
          <w:kern w:val="36"/>
          <w:sz w:val="20"/>
          <w:szCs w:val="20"/>
          <w:bdr w:val="none" w:sz="0" w:space="0" w:color="auto"/>
          <w:lang w:val="es-ES"/>
        </w:rPr>
        <w:t xml:space="preserve"> por funcionarios del régimen militar</w:t>
      </w:r>
      <w:r w:rsidRPr="006D4BF1">
        <w:rPr>
          <w:rFonts w:asciiTheme="majorHAnsi" w:eastAsia="Times New Roman" w:hAnsiTheme="majorHAnsi"/>
          <w:bCs/>
          <w:kern w:val="36"/>
          <w:sz w:val="20"/>
          <w:szCs w:val="20"/>
          <w:bdr w:val="none" w:sz="0" w:space="0" w:color="auto"/>
          <w:lang w:val="es-AR"/>
        </w:rPr>
        <w:t>, en conformidad con la política general de eliminación de opositores que habría sido insta</w:t>
      </w:r>
      <w:r w:rsidR="00A055AE" w:rsidRPr="006D4BF1">
        <w:rPr>
          <w:rFonts w:asciiTheme="majorHAnsi" w:eastAsia="Times New Roman" w:hAnsiTheme="majorHAnsi"/>
          <w:bCs/>
          <w:kern w:val="36"/>
          <w:sz w:val="20"/>
          <w:szCs w:val="20"/>
          <w:bdr w:val="none" w:sz="0" w:space="0" w:color="auto"/>
          <w:lang w:val="es-AR"/>
        </w:rPr>
        <w:t xml:space="preserve">urada por el gobierno militar. </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4F671F"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Se alega en la petición que a partir del 11 de octub</w:t>
      </w:r>
      <w:r w:rsidR="004F5F12">
        <w:rPr>
          <w:rFonts w:asciiTheme="majorHAnsi" w:eastAsia="Times New Roman" w:hAnsiTheme="majorHAnsi"/>
          <w:bCs/>
          <w:kern w:val="36"/>
          <w:sz w:val="20"/>
          <w:szCs w:val="20"/>
          <w:bdr w:val="none" w:sz="0" w:space="0" w:color="auto"/>
          <w:lang w:val="es-AR"/>
        </w:rPr>
        <w:t>re de 1968, fecha del golpe de e</w:t>
      </w:r>
      <w:r w:rsidRPr="006D4BF1">
        <w:rPr>
          <w:rFonts w:asciiTheme="majorHAnsi" w:eastAsia="Times New Roman" w:hAnsiTheme="majorHAnsi"/>
          <w:bCs/>
          <w:kern w:val="36"/>
          <w:sz w:val="20"/>
          <w:szCs w:val="20"/>
          <w:bdr w:val="none" w:sz="0" w:space="0" w:color="auto"/>
          <w:lang w:val="es-AR"/>
        </w:rPr>
        <w:t>stado militar del General Omar Torrijos, y hasta la invasión</w:t>
      </w:r>
      <w:r w:rsidR="006C1D96" w:rsidRPr="006D4BF1">
        <w:rPr>
          <w:rFonts w:asciiTheme="majorHAnsi" w:eastAsia="Times New Roman" w:hAnsiTheme="majorHAnsi"/>
          <w:bCs/>
          <w:kern w:val="36"/>
          <w:sz w:val="20"/>
          <w:szCs w:val="20"/>
          <w:bdr w:val="none" w:sz="0" w:space="0" w:color="auto"/>
          <w:lang w:val="es-AR"/>
        </w:rPr>
        <w:t xml:space="preserve"> de las tropas estadounidenses </w:t>
      </w:r>
      <w:r w:rsidRPr="006D4BF1">
        <w:rPr>
          <w:rFonts w:asciiTheme="majorHAnsi" w:eastAsia="Times New Roman" w:hAnsiTheme="majorHAnsi"/>
          <w:bCs/>
          <w:kern w:val="36"/>
          <w:sz w:val="20"/>
          <w:szCs w:val="20"/>
          <w:bdr w:val="none" w:sz="0" w:space="0" w:color="auto"/>
          <w:lang w:val="es-AR"/>
        </w:rPr>
        <w:t>el 20 de diciembre de 1989, Panamá vivió bajo un régimen dictatorial militar, durante el cual se cometieron múltiples y graves violaciones a los derechos humanos. Durante esa dictadura</w:t>
      </w:r>
      <w:r w:rsidR="00A055AE" w:rsidRPr="006D4BF1">
        <w:rPr>
          <w:rFonts w:asciiTheme="majorHAnsi" w:eastAsia="Times New Roman" w:hAnsiTheme="majorHAnsi"/>
          <w:bCs/>
          <w:kern w:val="36"/>
          <w:sz w:val="20"/>
          <w:szCs w:val="20"/>
          <w:bdr w:val="none" w:sz="0" w:space="0" w:color="auto"/>
          <w:lang w:val="es-AR"/>
        </w:rPr>
        <w:t>,</w:t>
      </w:r>
      <w:r w:rsidRPr="006D4BF1">
        <w:rPr>
          <w:rFonts w:asciiTheme="majorHAnsi" w:eastAsia="Times New Roman" w:hAnsiTheme="majorHAnsi"/>
          <w:bCs/>
          <w:kern w:val="36"/>
          <w:sz w:val="20"/>
          <w:szCs w:val="20"/>
          <w:bdr w:val="none" w:sz="0" w:space="0" w:color="auto"/>
          <w:lang w:val="es-AR"/>
        </w:rPr>
        <w:t xml:space="preserve"> la oficialidad de la Guardia Nacional disolvió la Asamblea Nacional y nombró una Junta Provisional de Gobierno presidida por militares.</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4F671F" w:rsidRPr="006D4BF1" w:rsidRDefault="00E6648D"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L</w:t>
      </w:r>
      <w:r w:rsidR="004F671F" w:rsidRPr="006D4BF1">
        <w:rPr>
          <w:rFonts w:asciiTheme="majorHAnsi" w:eastAsia="Times New Roman" w:hAnsiTheme="majorHAnsi"/>
          <w:bCs/>
          <w:kern w:val="36"/>
          <w:sz w:val="20"/>
          <w:szCs w:val="20"/>
          <w:bdr w:val="none" w:sz="0" w:space="0" w:color="auto"/>
          <w:lang w:val="es-AR"/>
        </w:rPr>
        <w:t xml:space="preserve">os peticionarios </w:t>
      </w:r>
      <w:r w:rsidRPr="006D4BF1">
        <w:rPr>
          <w:rFonts w:asciiTheme="majorHAnsi" w:eastAsia="Times New Roman" w:hAnsiTheme="majorHAnsi"/>
          <w:bCs/>
          <w:kern w:val="36"/>
          <w:sz w:val="20"/>
          <w:szCs w:val="20"/>
          <w:bdr w:val="none" w:sz="0" w:space="0" w:color="auto"/>
          <w:lang w:val="es-AR"/>
        </w:rPr>
        <w:t xml:space="preserve">refieren que </w:t>
      </w:r>
      <w:r w:rsidR="004F671F" w:rsidRPr="006D4BF1">
        <w:rPr>
          <w:rFonts w:asciiTheme="majorHAnsi" w:eastAsia="Times New Roman" w:hAnsiTheme="majorHAnsi"/>
          <w:bCs/>
          <w:kern w:val="36"/>
          <w:sz w:val="20"/>
          <w:szCs w:val="20"/>
          <w:bdr w:val="none" w:sz="0" w:space="0" w:color="auto"/>
          <w:lang w:val="es-AR"/>
        </w:rPr>
        <w:t>en este período la actividad política fue prácticamente suprimida por un duro régimen militar que se dedicó a la persecución y detención arbitraria y sistemática de opositores al gobierno dictatorial. En particular, afirman que se habría ejecutado un plan de represión en contra de dirigentes comunales, movimientos estudiantiles y partidarios del Frente Cívico</w:t>
      </w:r>
      <w:r w:rsidR="004F671F" w:rsidRPr="006D4BF1">
        <w:rPr>
          <w:rFonts w:asciiTheme="majorHAnsi" w:eastAsia="Times New Roman" w:hAnsiTheme="majorHAnsi"/>
          <w:bCs/>
          <w:kern w:val="36"/>
          <w:sz w:val="20"/>
          <w:szCs w:val="20"/>
          <w:bdr w:val="none" w:sz="0" w:space="0" w:color="auto"/>
          <w:vertAlign w:val="superscript"/>
        </w:rPr>
        <w:footnoteReference w:id="4"/>
      </w:r>
      <w:r w:rsidR="004F671F" w:rsidRPr="006D4BF1">
        <w:rPr>
          <w:rFonts w:asciiTheme="majorHAnsi" w:eastAsia="Times New Roman" w:hAnsiTheme="majorHAnsi"/>
          <w:bCs/>
          <w:kern w:val="36"/>
          <w:sz w:val="20"/>
          <w:szCs w:val="20"/>
          <w:bdr w:val="none" w:sz="0" w:space="0" w:color="auto"/>
          <w:lang w:val="es-AR"/>
        </w:rPr>
        <w:t xml:space="preserve"> que no apoyaban al gobierno militar, que se habría manifestado a través de la ejecución de múltiples actos de violencia y que, presuntamente, sería la causa del incremento en el número de enfrentamientos armados, encarcelamientos y muertes en circunstancias </w:t>
      </w:r>
      <w:r w:rsidR="00C87A03">
        <w:rPr>
          <w:rFonts w:asciiTheme="majorHAnsi" w:eastAsia="Times New Roman" w:hAnsiTheme="majorHAnsi"/>
          <w:bCs/>
          <w:kern w:val="36"/>
          <w:sz w:val="20"/>
          <w:szCs w:val="20"/>
          <w:bdr w:val="none" w:sz="0" w:space="0" w:color="auto"/>
          <w:lang w:val="es-AR"/>
        </w:rPr>
        <w:t>irregulares</w:t>
      </w:r>
      <w:r w:rsidR="004F671F" w:rsidRPr="006D4BF1">
        <w:rPr>
          <w:rFonts w:asciiTheme="majorHAnsi" w:eastAsia="Times New Roman" w:hAnsiTheme="majorHAnsi"/>
          <w:bCs/>
          <w:kern w:val="36"/>
          <w:sz w:val="20"/>
          <w:szCs w:val="20"/>
          <w:bdr w:val="none" w:sz="0" w:space="0" w:color="auto"/>
          <w:lang w:val="es-AR"/>
        </w:rPr>
        <w:t xml:space="preserve"> que se experiment</w:t>
      </w:r>
      <w:r w:rsidR="00A055AE" w:rsidRPr="006D4BF1">
        <w:rPr>
          <w:rFonts w:asciiTheme="majorHAnsi" w:eastAsia="Times New Roman" w:hAnsiTheme="majorHAnsi"/>
          <w:bCs/>
          <w:kern w:val="36"/>
          <w:sz w:val="20"/>
          <w:szCs w:val="20"/>
          <w:bdr w:val="none" w:sz="0" w:space="0" w:color="auto"/>
          <w:lang w:val="es-AR"/>
        </w:rPr>
        <w:t>aron</w:t>
      </w:r>
      <w:r w:rsidR="004F671F" w:rsidRPr="006D4BF1">
        <w:rPr>
          <w:rFonts w:asciiTheme="majorHAnsi" w:eastAsia="Times New Roman" w:hAnsiTheme="majorHAnsi"/>
          <w:bCs/>
          <w:kern w:val="36"/>
          <w:sz w:val="20"/>
          <w:szCs w:val="20"/>
          <w:bdr w:val="none" w:sz="0" w:space="0" w:color="auto"/>
          <w:lang w:val="es-AR"/>
        </w:rPr>
        <w:t xml:space="preserve"> durante este período.</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4F671F"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lastRenderedPageBreak/>
        <w:t xml:space="preserve">En el marco de este contexto de violencia y abuso de poder, los peticionarios </w:t>
      </w:r>
      <w:r w:rsidR="00235F84">
        <w:rPr>
          <w:rFonts w:asciiTheme="majorHAnsi" w:eastAsia="Times New Roman" w:hAnsiTheme="majorHAnsi"/>
          <w:bCs/>
          <w:kern w:val="36"/>
          <w:sz w:val="20"/>
          <w:szCs w:val="20"/>
          <w:bdr w:val="none" w:sz="0" w:space="0" w:color="auto"/>
          <w:lang w:val="es-AR"/>
        </w:rPr>
        <w:t>presen</w:t>
      </w:r>
      <w:r w:rsidR="00FF1A31" w:rsidRPr="006D4BF1">
        <w:rPr>
          <w:rFonts w:asciiTheme="majorHAnsi" w:eastAsia="Times New Roman" w:hAnsiTheme="majorHAnsi"/>
          <w:bCs/>
          <w:kern w:val="36"/>
          <w:sz w:val="20"/>
          <w:szCs w:val="20"/>
          <w:bdr w:val="none" w:sz="0" w:space="0" w:color="auto"/>
          <w:lang w:val="es-AR"/>
        </w:rPr>
        <w:t>tan</w:t>
      </w:r>
      <w:r w:rsidRPr="006D4BF1">
        <w:rPr>
          <w:rFonts w:asciiTheme="majorHAnsi" w:eastAsia="Times New Roman" w:hAnsiTheme="majorHAnsi"/>
          <w:bCs/>
          <w:kern w:val="36"/>
          <w:sz w:val="20"/>
          <w:szCs w:val="20"/>
          <w:bdr w:val="none" w:sz="0" w:space="0" w:color="auto"/>
          <w:lang w:val="es-AR"/>
        </w:rPr>
        <w:t xml:space="preserve"> presuntas violaciones a derechos fundamentales</w:t>
      </w:r>
      <w:r w:rsidR="006C1D96" w:rsidRPr="006D4BF1">
        <w:rPr>
          <w:rFonts w:asciiTheme="majorHAnsi" w:eastAsia="Times New Roman" w:hAnsiTheme="majorHAnsi"/>
          <w:bCs/>
          <w:kern w:val="36"/>
          <w:sz w:val="20"/>
          <w:szCs w:val="20"/>
          <w:bdr w:val="none" w:sz="0" w:space="0" w:color="auto"/>
          <w:lang w:val="es-AR"/>
        </w:rPr>
        <w:t xml:space="preserve"> respecto de 109 personas</w:t>
      </w:r>
      <w:r w:rsidR="00FF1A31" w:rsidRPr="006D4BF1">
        <w:rPr>
          <w:rFonts w:asciiTheme="majorHAnsi" w:eastAsia="Times New Roman" w:hAnsiTheme="majorHAnsi"/>
          <w:bCs/>
          <w:kern w:val="36"/>
          <w:sz w:val="20"/>
          <w:szCs w:val="20"/>
          <w:bdr w:val="none" w:sz="0" w:space="0" w:color="auto"/>
          <w:lang w:val="es-AR"/>
        </w:rPr>
        <w:t xml:space="preserve">. </w:t>
      </w:r>
      <w:r w:rsidR="000902CC" w:rsidRPr="006D4BF1">
        <w:rPr>
          <w:rFonts w:asciiTheme="majorHAnsi" w:eastAsia="Times New Roman" w:hAnsiTheme="majorHAnsi"/>
          <w:bCs/>
          <w:kern w:val="36"/>
          <w:sz w:val="20"/>
          <w:szCs w:val="20"/>
          <w:bdr w:val="none" w:sz="0" w:space="0" w:color="auto"/>
          <w:lang w:val="es-AR"/>
        </w:rPr>
        <w:t xml:space="preserve">Por cada presunta víctima los peticionarios hacen un recuento de la identificación de la víctima, los hechos particulares de las violaciones que se documentaron ante la Comisión de la Verdad y la actividad judicial que surtió por los hechos. </w:t>
      </w:r>
      <w:r w:rsidR="00FF1A31" w:rsidRPr="006D4BF1">
        <w:rPr>
          <w:rFonts w:asciiTheme="majorHAnsi" w:eastAsia="Times New Roman" w:hAnsiTheme="majorHAnsi"/>
          <w:bCs/>
          <w:kern w:val="36"/>
          <w:sz w:val="20"/>
          <w:szCs w:val="20"/>
          <w:bdr w:val="none" w:sz="0" w:space="0" w:color="auto"/>
          <w:lang w:val="es-AR"/>
        </w:rPr>
        <w:t>Además, establecen el perfil de las víctimas como personas jóvenes al momento de su muerte o desaparición y que, en su mayoría, pertenecían a sectores sociales de bajo ingreso económico.</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6375D9"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 xml:space="preserve">En particular, denuncian que se habrían perpetrado </w:t>
      </w:r>
      <w:r w:rsidR="005D19F4" w:rsidRPr="006D4BF1">
        <w:rPr>
          <w:rFonts w:asciiTheme="majorHAnsi" w:eastAsia="Times New Roman" w:hAnsiTheme="majorHAnsi"/>
          <w:bCs/>
          <w:kern w:val="36"/>
          <w:sz w:val="20"/>
          <w:szCs w:val="20"/>
          <w:bdr w:val="none" w:sz="0" w:space="0" w:color="auto"/>
          <w:lang w:val="es-AR"/>
        </w:rPr>
        <w:t>39</w:t>
      </w:r>
      <w:r w:rsidRPr="006D4BF1">
        <w:rPr>
          <w:rFonts w:asciiTheme="majorHAnsi" w:eastAsia="Times New Roman" w:hAnsiTheme="majorHAnsi"/>
          <w:bCs/>
          <w:kern w:val="36"/>
          <w:sz w:val="20"/>
          <w:szCs w:val="20"/>
          <w:bdr w:val="none" w:sz="0" w:space="0" w:color="auto"/>
          <w:lang w:val="es-AR"/>
        </w:rPr>
        <w:t xml:space="preserve"> desapariciones forzadas presuntamente atribuibles a agentes del Ejército panameño, de las cuales 2 se habrían consumado en perjuicio de niños</w:t>
      </w:r>
      <w:r w:rsidR="006375D9" w:rsidRPr="006D4BF1">
        <w:rPr>
          <w:rFonts w:asciiTheme="majorHAnsi" w:eastAsia="Times New Roman" w:hAnsiTheme="majorHAnsi"/>
          <w:bCs/>
          <w:kern w:val="36"/>
          <w:sz w:val="20"/>
          <w:szCs w:val="20"/>
          <w:bdr w:val="none" w:sz="0" w:space="0" w:color="auto"/>
          <w:lang w:val="es-AR"/>
        </w:rPr>
        <w:t>.</w:t>
      </w:r>
      <w:r w:rsidR="00A055AE" w:rsidRPr="006D4BF1">
        <w:rPr>
          <w:rFonts w:asciiTheme="majorHAnsi" w:eastAsia="Times New Roman" w:hAnsiTheme="majorHAnsi"/>
          <w:bCs/>
          <w:kern w:val="36"/>
          <w:sz w:val="20"/>
          <w:szCs w:val="20"/>
          <w:bdr w:val="none" w:sz="0" w:space="0" w:color="auto"/>
          <w:lang w:val="es-AR"/>
        </w:rPr>
        <w:t xml:space="preserve"> </w:t>
      </w:r>
      <w:r w:rsidR="006375D9" w:rsidRPr="006D4BF1">
        <w:rPr>
          <w:rFonts w:asciiTheme="majorHAnsi" w:hAnsiTheme="majorHAnsi"/>
          <w:sz w:val="20"/>
          <w:szCs w:val="20"/>
          <w:lang w:val="es-AR"/>
        </w:rPr>
        <w:t xml:space="preserve">Los peticionarios identifican como presuntas víctimas de desaparición forzada a: </w:t>
      </w:r>
      <w:r w:rsidR="00A01D5D" w:rsidRPr="006D4BF1">
        <w:rPr>
          <w:rFonts w:asciiTheme="majorHAnsi" w:hAnsiTheme="majorHAnsi"/>
          <w:sz w:val="20"/>
          <w:szCs w:val="20"/>
          <w:lang w:val="es-AR"/>
        </w:rPr>
        <w:t xml:space="preserve">1) </w:t>
      </w:r>
      <w:r w:rsidR="006375D9" w:rsidRPr="006D4BF1">
        <w:rPr>
          <w:rFonts w:asciiTheme="majorHAnsi" w:hAnsiTheme="majorHAnsi"/>
          <w:sz w:val="20"/>
          <w:szCs w:val="20"/>
          <w:lang w:val="es-AR"/>
        </w:rPr>
        <w:t xml:space="preserve">Marco Aurelio Rosas Martínez, </w:t>
      </w:r>
      <w:r w:rsidR="00A01D5D" w:rsidRPr="006D4BF1">
        <w:rPr>
          <w:rFonts w:asciiTheme="majorHAnsi" w:hAnsiTheme="majorHAnsi"/>
          <w:sz w:val="20"/>
          <w:szCs w:val="20"/>
          <w:lang w:val="es-AR"/>
        </w:rPr>
        <w:t xml:space="preserve">2) </w:t>
      </w:r>
      <w:r w:rsidR="006375D9" w:rsidRPr="006D4BF1">
        <w:rPr>
          <w:rFonts w:asciiTheme="majorHAnsi" w:hAnsiTheme="majorHAnsi"/>
          <w:sz w:val="20"/>
          <w:szCs w:val="20"/>
          <w:lang w:val="es-AR"/>
        </w:rPr>
        <w:t xml:space="preserve">Everett Clayton Kimble Guerra, </w:t>
      </w:r>
      <w:r w:rsidR="00A01D5D" w:rsidRPr="006D4BF1">
        <w:rPr>
          <w:rFonts w:asciiTheme="majorHAnsi" w:hAnsiTheme="majorHAnsi"/>
          <w:sz w:val="20"/>
          <w:szCs w:val="20"/>
          <w:lang w:val="es-AR"/>
        </w:rPr>
        <w:t xml:space="preserve">3) </w:t>
      </w:r>
      <w:r w:rsidR="006375D9" w:rsidRPr="006D4BF1">
        <w:rPr>
          <w:rFonts w:asciiTheme="majorHAnsi" w:hAnsiTheme="majorHAnsi"/>
          <w:sz w:val="20"/>
          <w:szCs w:val="20"/>
          <w:lang w:val="es-AR"/>
        </w:rPr>
        <w:t xml:space="preserve">Luis Castro Quintero, </w:t>
      </w:r>
      <w:r w:rsidR="00A01D5D" w:rsidRPr="006D4BF1">
        <w:rPr>
          <w:rFonts w:asciiTheme="majorHAnsi" w:hAnsiTheme="majorHAnsi"/>
          <w:sz w:val="20"/>
          <w:szCs w:val="20"/>
          <w:lang w:val="es-AR"/>
        </w:rPr>
        <w:t xml:space="preserve">4) </w:t>
      </w:r>
      <w:r w:rsidR="006375D9" w:rsidRPr="006D4BF1">
        <w:rPr>
          <w:rFonts w:asciiTheme="majorHAnsi" w:hAnsiTheme="majorHAnsi"/>
          <w:sz w:val="20"/>
          <w:szCs w:val="20"/>
          <w:lang w:val="es-AR"/>
        </w:rPr>
        <w:t xml:space="preserve">Javier Sánchez, </w:t>
      </w:r>
      <w:r w:rsidR="00A01D5D" w:rsidRPr="006D4BF1">
        <w:rPr>
          <w:rFonts w:asciiTheme="majorHAnsi" w:hAnsiTheme="majorHAnsi"/>
          <w:sz w:val="20"/>
          <w:szCs w:val="20"/>
          <w:lang w:val="es-AR"/>
        </w:rPr>
        <w:t xml:space="preserve">5) </w:t>
      </w:r>
      <w:r w:rsidR="006375D9" w:rsidRPr="006D4BF1">
        <w:rPr>
          <w:rFonts w:asciiTheme="majorHAnsi" w:hAnsiTheme="majorHAnsi"/>
          <w:sz w:val="20"/>
          <w:szCs w:val="20"/>
          <w:lang w:val="es-AR"/>
        </w:rPr>
        <w:t xml:space="preserve">Luis Antonio Quiroz Morales, </w:t>
      </w:r>
      <w:r w:rsidR="00A01D5D" w:rsidRPr="006D4BF1">
        <w:rPr>
          <w:rFonts w:asciiTheme="majorHAnsi" w:hAnsiTheme="majorHAnsi"/>
          <w:sz w:val="20"/>
          <w:szCs w:val="20"/>
          <w:lang w:val="es-AR"/>
        </w:rPr>
        <w:t xml:space="preserve">6) </w:t>
      </w:r>
      <w:r w:rsidR="006375D9" w:rsidRPr="006D4BF1">
        <w:rPr>
          <w:rFonts w:asciiTheme="majorHAnsi" w:hAnsiTheme="majorHAnsi"/>
          <w:sz w:val="20"/>
          <w:szCs w:val="20"/>
          <w:lang w:val="es-AR"/>
        </w:rPr>
        <w:t xml:space="preserve">Carlos Milar González Caballero, </w:t>
      </w:r>
      <w:r w:rsidR="00A01D5D" w:rsidRPr="006D4BF1">
        <w:rPr>
          <w:rFonts w:asciiTheme="majorHAnsi" w:hAnsiTheme="majorHAnsi"/>
          <w:sz w:val="20"/>
          <w:szCs w:val="20"/>
          <w:lang w:val="es-AR"/>
        </w:rPr>
        <w:t xml:space="preserve">7) </w:t>
      </w:r>
      <w:r w:rsidR="006375D9" w:rsidRPr="006D4BF1">
        <w:rPr>
          <w:rFonts w:asciiTheme="majorHAnsi" w:hAnsiTheme="majorHAnsi"/>
          <w:sz w:val="20"/>
          <w:szCs w:val="20"/>
          <w:lang w:val="es-AR"/>
        </w:rPr>
        <w:t xml:space="preserve">Benjamín Miranda Castillo, </w:t>
      </w:r>
      <w:r w:rsidR="00A01D5D" w:rsidRPr="006D4BF1">
        <w:rPr>
          <w:rFonts w:asciiTheme="majorHAnsi" w:hAnsiTheme="majorHAnsi"/>
          <w:sz w:val="20"/>
          <w:szCs w:val="20"/>
          <w:lang w:val="es-AR"/>
        </w:rPr>
        <w:t xml:space="preserve">8) </w:t>
      </w:r>
      <w:r w:rsidR="006375D9" w:rsidRPr="006D4BF1">
        <w:rPr>
          <w:rFonts w:asciiTheme="majorHAnsi" w:hAnsiTheme="majorHAnsi"/>
          <w:sz w:val="20"/>
          <w:szCs w:val="20"/>
          <w:lang w:val="es-AR"/>
        </w:rPr>
        <w:t xml:space="preserve">Eulogio Rivera Delgado, </w:t>
      </w:r>
      <w:r w:rsidR="00A01D5D" w:rsidRPr="006D4BF1">
        <w:rPr>
          <w:rFonts w:asciiTheme="majorHAnsi" w:hAnsiTheme="majorHAnsi"/>
          <w:sz w:val="20"/>
          <w:szCs w:val="20"/>
          <w:lang w:val="es-AR"/>
        </w:rPr>
        <w:t xml:space="preserve">9) </w:t>
      </w:r>
      <w:r w:rsidR="006375D9" w:rsidRPr="006D4BF1">
        <w:rPr>
          <w:rFonts w:asciiTheme="majorHAnsi" w:hAnsiTheme="majorHAnsi"/>
          <w:sz w:val="20"/>
          <w:szCs w:val="20"/>
          <w:lang w:val="es-AR"/>
        </w:rPr>
        <w:t xml:space="preserve">Alfredo Aguilar Fonseca, </w:t>
      </w:r>
      <w:r w:rsidR="00A01D5D" w:rsidRPr="006D4BF1">
        <w:rPr>
          <w:rFonts w:asciiTheme="majorHAnsi" w:hAnsiTheme="majorHAnsi"/>
          <w:sz w:val="20"/>
          <w:szCs w:val="20"/>
          <w:lang w:val="es-AR"/>
        </w:rPr>
        <w:t xml:space="preserve">10) </w:t>
      </w:r>
      <w:r w:rsidR="006375D9" w:rsidRPr="006D4BF1">
        <w:rPr>
          <w:rFonts w:asciiTheme="majorHAnsi" w:hAnsiTheme="majorHAnsi"/>
          <w:sz w:val="20"/>
          <w:szCs w:val="20"/>
          <w:lang w:val="es-AR"/>
        </w:rPr>
        <w:t xml:space="preserve">Carlos Alberto Araya Bernal, </w:t>
      </w:r>
      <w:r w:rsidR="00A01D5D" w:rsidRPr="006D4BF1">
        <w:rPr>
          <w:rFonts w:asciiTheme="majorHAnsi" w:hAnsiTheme="majorHAnsi"/>
          <w:sz w:val="20"/>
          <w:szCs w:val="20"/>
          <w:lang w:val="es-AR"/>
        </w:rPr>
        <w:t xml:space="preserve">11) </w:t>
      </w:r>
      <w:r w:rsidR="006375D9" w:rsidRPr="006D4BF1">
        <w:rPr>
          <w:rFonts w:asciiTheme="majorHAnsi" w:hAnsiTheme="majorHAnsi"/>
          <w:sz w:val="20"/>
          <w:szCs w:val="20"/>
          <w:lang w:val="es-AR"/>
        </w:rPr>
        <w:t xml:space="preserve">Teodoro Palacios Hurtado, </w:t>
      </w:r>
      <w:r w:rsidR="00A01D5D" w:rsidRPr="006D4BF1">
        <w:rPr>
          <w:rFonts w:asciiTheme="majorHAnsi" w:hAnsiTheme="majorHAnsi"/>
          <w:sz w:val="20"/>
          <w:szCs w:val="20"/>
          <w:lang w:val="es-AR"/>
        </w:rPr>
        <w:t xml:space="preserve">12) </w:t>
      </w:r>
      <w:r w:rsidR="006375D9" w:rsidRPr="006D4BF1">
        <w:rPr>
          <w:rFonts w:asciiTheme="majorHAnsi" w:hAnsiTheme="majorHAnsi"/>
          <w:sz w:val="20"/>
          <w:szCs w:val="20"/>
          <w:lang w:val="es-AR"/>
        </w:rPr>
        <w:t xml:space="preserve">Juan Lekas, </w:t>
      </w:r>
      <w:r w:rsidR="00A01D5D" w:rsidRPr="006D4BF1">
        <w:rPr>
          <w:rFonts w:asciiTheme="majorHAnsi" w:hAnsiTheme="majorHAnsi"/>
          <w:sz w:val="20"/>
          <w:szCs w:val="20"/>
          <w:lang w:val="es-AR"/>
        </w:rPr>
        <w:t xml:space="preserve">13) </w:t>
      </w:r>
      <w:r w:rsidR="006375D9" w:rsidRPr="006D4BF1">
        <w:rPr>
          <w:rFonts w:asciiTheme="majorHAnsi" w:hAnsiTheme="majorHAnsi"/>
          <w:sz w:val="20"/>
          <w:szCs w:val="20"/>
          <w:lang w:val="es-AR"/>
        </w:rPr>
        <w:t xml:space="preserve">Berardo Castillo González, </w:t>
      </w:r>
      <w:r w:rsidR="00A01D5D" w:rsidRPr="006D4BF1">
        <w:rPr>
          <w:rFonts w:asciiTheme="majorHAnsi" w:hAnsiTheme="majorHAnsi"/>
          <w:sz w:val="20"/>
          <w:szCs w:val="20"/>
          <w:lang w:val="es-AR"/>
        </w:rPr>
        <w:t>1</w:t>
      </w:r>
      <w:r w:rsidR="005D19F4" w:rsidRPr="006D4BF1">
        <w:rPr>
          <w:rFonts w:asciiTheme="majorHAnsi" w:hAnsiTheme="majorHAnsi"/>
          <w:sz w:val="20"/>
          <w:szCs w:val="20"/>
          <w:lang w:val="es-AR"/>
        </w:rPr>
        <w:t>4</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Héctor Manuel Candanedo Valenzuela, </w:t>
      </w:r>
      <w:r w:rsidR="00A01D5D" w:rsidRPr="006D4BF1">
        <w:rPr>
          <w:rFonts w:asciiTheme="majorHAnsi" w:hAnsiTheme="majorHAnsi"/>
          <w:sz w:val="20"/>
          <w:szCs w:val="20"/>
          <w:lang w:val="es-AR"/>
        </w:rPr>
        <w:t>1</w:t>
      </w:r>
      <w:r w:rsidR="005D19F4" w:rsidRPr="006D4BF1">
        <w:rPr>
          <w:rFonts w:asciiTheme="majorHAnsi" w:hAnsiTheme="majorHAnsi"/>
          <w:sz w:val="20"/>
          <w:szCs w:val="20"/>
          <w:lang w:val="es-AR"/>
        </w:rPr>
        <w:t>5</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Jorge Galván, </w:t>
      </w:r>
      <w:r w:rsidR="00A01D5D" w:rsidRPr="006D4BF1">
        <w:rPr>
          <w:rFonts w:asciiTheme="majorHAnsi" w:hAnsiTheme="majorHAnsi"/>
          <w:sz w:val="20"/>
          <w:szCs w:val="20"/>
          <w:lang w:val="es-AR"/>
        </w:rPr>
        <w:t>1</w:t>
      </w:r>
      <w:r w:rsidR="005D19F4" w:rsidRPr="006D4BF1">
        <w:rPr>
          <w:rFonts w:asciiTheme="majorHAnsi" w:hAnsiTheme="majorHAnsi"/>
          <w:sz w:val="20"/>
          <w:szCs w:val="20"/>
          <w:lang w:val="es-AR"/>
        </w:rPr>
        <w:t>6</w:t>
      </w:r>
      <w:r w:rsidR="00A01D5D" w:rsidRPr="006D4BF1">
        <w:rPr>
          <w:rFonts w:asciiTheme="majorHAnsi" w:hAnsiTheme="majorHAnsi"/>
          <w:sz w:val="20"/>
          <w:szCs w:val="20"/>
          <w:lang w:val="es-AR"/>
        </w:rPr>
        <w:t xml:space="preserve">) </w:t>
      </w:r>
      <w:r w:rsidR="001211B9" w:rsidRPr="006D4BF1">
        <w:rPr>
          <w:rFonts w:asciiTheme="majorHAnsi" w:hAnsiTheme="majorHAnsi"/>
          <w:sz w:val="20"/>
          <w:szCs w:val="20"/>
          <w:lang w:val="es-AR"/>
        </w:rPr>
        <w:t>Al</w:t>
      </w:r>
      <w:r w:rsidR="006375D9" w:rsidRPr="006D4BF1">
        <w:rPr>
          <w:rFonts w:asciiTheme="majorHAnsi" w:hAnsiTheme="majorHAnsi"/>
          <w:sz w:val="20"/>
          <w:szCs w:val="20"/>
          <w:lang w:val="es-AR"/>
        </w:rPr>
        <w:t xml:space="preserve">onso Sabín Castillo, </w:t>
      </w:r>
      <w:r w:rsidR="00A01D5D" w:rsidRPr="006D4BF1">
        <w:rPr>
          <w:rFonts w:asciiTheme="majorHAnsi" w:hAnsiTheme="majorHAnsi"/>
          <w:sz w:val="20"/>
          <w:szCs w:val="20"/>
          <w:lang w:val="es-AR"/>
        </w:rPr>
        <w:t>1</w:t>
      </w:r>
      <w:r w:rsidR="005D19F4" w:rsidRPr="006D4BF1">
        <w:rPr>
          <w:rFonts w:asciiTheme="majorHAnsi" w:hAnsiTheme="majorHAnsi"/>
          <w:sz w:val="20"/>
          <w:szCs w:val="20"/>
          <w:lang w:val="es-AR"/>
        </w:rPr>
        <w:t>7</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José Manuel Morantes Madrid, </w:t>
      </w:r>
      <w:r w:rsidR="00A01D5D" w:rsidRPr="006D4BF1">
        <w:rPr>
          <w:rFonts w:asciiTheme="majorHAnsi" w:hAnsiTheme="majorHAnsi"/>
          <w:sz w:val="20"/>
          <w:szCs w:val="20"/>
          <w:lang w:val="es-AR"/>
        </w:rPr>
        <w:t>1</w:t>
      </w:r>
      <w:r w:rsidR="005D19F4" w:rsidRPr="006D4BF1">
        <w:rPr>
          <w:rFonts w:asciiTheme="majorHAnsi" w:hAnsiTheme="majorHAnsi"/>
          <w:sz w:val="20"/>
          <w:szCs w:val="20"/>
          <w:lang w:val="es-AR"/>
        </w:rPr>
        <w:t>8</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Julio Mario Villarreal de las Casas, </w:t>
      </w:r>
      <w:r w:rsidR="005D19F4" w:rsidRPr="006D4BF1">
        <w:rPr>
          <w:rFonts w:asciiTheme="majorHAnsi" w:hAnsiTheme="majorHAnsi"/>
          <w:sz w:val="20"/>
          <w:szCs w:val="20"/>
          <w:lang w:val="es-AR"/>
        </w:rPr>
        <w:t>19</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Anel Saldaña Araúz, </w:t>
      </w:r>
      <w:r w:rsidR="00A01D5D" w:rsidRPr="006D4BF1">
        <w:rPr>
          <w:rFonts w:asciiTheme="majorHAnsi" w:hAnsiTheme="majorHAnsi"/>
          <w:sz w:val="20"/>
          <w:szCs w:val="20"/>
          <w:lang w:val="es-AR"/>
        </w:rPr>
        <w:t>2</w:t>
      </w:r>
      <w:r w:rsidR="005D19F4" w:rsidRPr="006D4BF1">
        <w:rPr>
          <w:rFonts w:asciiTheme="majorHAnsi" w:hAnsiTheme="majorHAnsi"/>
          <w:sz w:val="20"/>
          <w:szCs w:val="20"/>
          <w:lang w:val="es-AR"/>
        </w:rPr>
        <w:t>0</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Julio Alberto Samudio Silvera, </w:t>
      </w:r>
      <w:r w:rsidR="005D19F4" w:rsidRPr="006D4BF1">
        <w:rPr>
          <w:rFonts w:asciiTheme="majorHAnsi" w:hAnsiTheme="majorHAnsi"/>
          <w:sz w:val="20"/>
          <w:szCs w:val="20"/>
          <w:lang w:val="es-AR"/>
        </w:rPr>
        <w:t>21</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Cecilio Serracín Fuentes, </w:t>
      </w:r>
      <w:r w:rsidR="00A01D5D" w:rsidRPr="006D4BF1">
        <w:rPr>
          <w:rFonts w:asciiTheme="majorHAnsi" w:hAnsiTheme="majorHAnsi"/>
          <w:sz w:val="20"/>
          <w:szCs w:val="20"/>
          <w:lang w:val="es-AR"/>
        </w:rPr>
        <w:t>2</w:t>
      </w:r>
      <w:r w:rsidR="005D19F4" w:rsidRPr="006D4BF1">
        <w:rPr>
          <w:rFonts w:asciiTheme="majorHAnsi" w:hAnsiTheme="majorHAnsi"/>
          <w:sz w:val="20"/>
          <w:szCs w:val="20"/>
          <w:lang w:val="es-AR"/>
        </w:rPr>
        <w:t>2</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Javier Enrique Guerra González, </w:t>
      </w:r>
      <w:r w:rsidR="00A01D5D" w:rsidRPr="006D4BF1">
        <w:rPr>
          <w:rFonts w:asciiTheme="majorHAnsi" w:hAnsiTheme="majorHAnsi"/>
          <w:sz w:val="20"/>
          <w:szCs w:val="20"/>
          <w:lang w:val="es-AR"/>
        </w:rPr>
        <w:t>2</w:t>
      </w:r>
      <w:r w:rsidR="005D19F4" w:rsidRPr="006D4BF1">
        <w:rPr>
          <w:rFonts w:asciiTheme="majorHAnsi" w:hAnsiTheme="majorHAnsi"/>
          <w:sz w:val="20"/>
          <w:szCs w:val="20"/>
          <w:lang w:val="es-AR"/>
        </w:rPr>
        <w:t>3</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Daniel Emilio Heart Pérez, </w:t>
      </w:r>
      <w:r w:rsidR="00A01D5D" w:rsidRPr="006D4BF1">
        <w:rPr>
          <w:rFonts w:asciiTheme="majorHAnsi" w:hAnsiTheme="majorHAnsi"/>
          <w:sz w:val="20"/>
          <w:szCs w:val="20"/>
          <w:lang w:val="es-AR"/>
        </w:rPr>
        <w:t>2</w:t>
      </w:r>
      <w:r w:rsidR="005D19F4" w:rsidRPr="006D4BF1">
        <w:rPr>
          <w:rFonts w:asciiTheme="majorHAnsi" w:hAnsiTheme="majorHAnsi"/>
          <w:sz w:val="20"/>
          <w:szCs w:val="20"/>
          <w:lang w:val="es-AR"/>
        </w:rPr>
        <w:t>4</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José Enrique Pimentel, </w:t>
      </w:r>
      <w:r w:rsidR="00A01D5D" w:rsidRPr="006D4BF1">
        <w:rPr>
          <w:rFonts w:asciiTheme="majorHAnsi" w:hAnsiTheme="majorHAnsi"/>
          <w:sz w:val="20"/>
          <w:szCs w:val="20"/>
          <w:lang w:val="es-AR"/>
        </w:rPr>
        <w:t>2</w:t>
      </w:r>
      <w:r w:rsidR="005D19F4" w:rsidRPr="006D4BF1">
        <w:rPr>
          <w:rFonts w:asciiTheme="majorHAnsi" w:hAnsiTheme="majorHAnsi"/>
          <w:sz w:val="20"/>
          <w:szCs w:val="20"/>
          <w:lang w:val="es-AR"/>
        </w:rPr>
        <w:t>5</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Tomás Palacios Salinas, </w:t>
      </w:r>
      <w:r w:rsidR="00A01D5D" w:rsidRPr="006D4BF1">
        <w:rPr>
          <w:rFonts w:asciiTheme="majorHAnsi" w:hAnsiTheme="majorHAnsi"/>
          <w:sz w:val="20"/>
          <w:szCs w:val="20"/>
          <w:lang w:val="es-AR"/>
        </w:rPr>
        <w:t>2</w:t>
      </w:r>
      <w:r w:rsidR="005D19F4" w:rsidRPr="006D4BF1">
        <w:rPr>
          <w:rFonts w:asciiTheme="majorHAnsi" w:hAnsiTheme="majorHAnsi"/>
          <w:sz w:val="20"/>
          <w:szCs w:val="20"/>
          <w:lang w:val="es-AR"/>
        </w:rPr>
        <w:t>6</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Ignacio Salinas, </w:t>
      </w:r>
      <w:r w:rsidR="00A01D5D" w:rsidRPr="006D4BF1">
        <w:rPr>
          <w:rFonts w:asciiTheme="majorHAnsi" w:hAnsiTheme="majorHAnsi"/>
          <w:sz w:val="20"/>
          <w:szCs w:val="20"/>
          <w:lang w:val="es-AR"/>
        </w:rPr>
        <w:t>2</w:t>
      </w:r>
      <w:r w:rsidR="005D19F4" w:rsidRPr="006D4BF1">
        <w:rPr>
          <w:rFonts w:asciiTheme="majorHAnsi" w:hAnsiTheme="majorHAnsi"/>
          <w:sz w:val="20"/>
          <w:szCs w:val="20"/>
          <w:lang w:val="es-AR"/>
        </w:rPr>
        <w:t>7</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Rubén Morales, </w:t>
      </w:r>
      <w:r w:rsidR="005D19F4" w:rsidRPr="006D4BF1">
        <w:rPr>
          <w:rFonts w:asciiTheme="majorHAnsi" w:hAnsiTheme="majorHAnsi"/>
          <w:sz w:val="20"/>
          <w:szCs w:val="20"/>
          <w:lang w:val="es-AR"/>
        </w:rPr>
        <w:t>28</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Alberto Morales, </w:t>
      </w:r>
      <w:r w:rsidR="005D19F4" w:rsidRPr="006D4BF1">
        <w:rPr>
          <w:rFonts w:asciiTheme="majorHAnsi" w:hAnsiTheme="majorHAnsi"/>
          <w:sz w:val="20"/>
          <w:szCs w:val="20"/>
          <w:lang w:val="es-AR"/>
        </w:rPr>
        <w:t>29</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Encarnación González, </w:t>
      </w:r>
      <w:r w:rsidR="00A01D5D" w:rsidRPr="006D4BF1">
        <w:rPr>
          <w:rFonts w:asciiTheme="majorHAnsi" w:hAnsiTheme="majorHAnsi"/>
          <w:sz w:val="20"/>
          <w:szCs w:val="20"/>
          <w:lang w:val="es-AR"/>
        </w:rPr>
        <w:t>3</w:t>
      </w:r>
      <w:r w:rsidR="005D19F4" w:rsidRPr="006D4BF1">
        <w:rPr>
          <w:rFonts w:asciiTheme="majorHAnsi" w:hAnsiTheme="majorHAnsi"/>
          <w:sz w:val="20"/>
          <w:szCs w:val="20"/>
          <w:lang w:val="es-AR"/>
        </w:rPr>
        <w:t>0</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Alcibiades Bethancourt Aparicio, </w:t>
      </w:r>
      <w:r w:rsidR="00A01D5D" w:rsidRPr="006D4BF1">
        <w:rPr>
          <w:rFonts w:asciiTheme="majorHAnsi" w:hAnsiTheme="majorHAnsi"/>
          <w:sz w:val="20"/>
          <w:szCs w:val="20"/>
          <w:lang w:val="es-AR"/>
        </w:rPr>
        <w:t>3</w:t>
      </w:r>
      <w:r w:rsidR="005D19F4" w:rsidRPr="006D4BF1">
        <w:rPr>
          <w:rFonts w:asciiTheme="majorHAnsi" w:hAnsiTheme="majorHAnsi"/>
          <w:sz w:val="20"/>
          <w:szCs w:val="20"/>
          <w:lang w:val="es-AR"/>
        </w:rPr>
        <w:t>1</w:t>
      </w:r>
      <w:r w:rsidR="00A01D5D"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Jesús Héctor Gallego Herrera, </w:t>
      </w:r>
      <w:r w:rsidR="003217F3" w:rsidRPr="006D4BF1">
        <w:rPr>
          <w:rFonts w:asciiTheme="majorHAnsi" w:hAnsiTheme="majorHAnsi"/>
          <w:sz w:val="20"/>
          <w:szCs w:val="20"/>
          <w:lang w:val="es-AR"/>
        </w:rPr>
        <w:t>3</w:t>
      </w:r>
      <w:r w:rsidR="005D19F4" w:rsidRPr="006D4BF1">
        <w:rPr>
          <w:rFonts w:asciiTheme="majorHAnsi" w:hAnsiTheme="majorHAnsi"/>
          <w:sz w:val="20"/>
          <w:szCs w:val="20"/>
          <w:lang w:val="es-AR"/>
        </w:rPr>
        <w:t>2</w:t>
      </w:r>
      <w:r w:rsidR="003217F3"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Andrés Emilio Fistonich Herrera, </w:t>
      </w:r>
      <w:r w:rsidR="003217F3" w:rsidRPr="006D4BF1">
        <w:rPr>
          <w:rFonts w:asciiTheme="majorHAnsi" w:hAnsiTheme="majorHAnsi"/>
          <w:sz w:val="20"/>
          <w:szCs w:val="20"/>
          <w:lang w:val="es-AR"/>
        </w:rPr>
        <w:t>3</w:t>
      </w:r>
      <w:r w:rsidR="005D19F4" w:rsidRPr="006D4BF1">
        <w:rPr>
          <w:rFonts w:asciiTheme="majorHAnsi" w:hAnsiTheme="majorHAnsi"/>
          <w:sz w:val="20"/>
          <w:szCs w:val="20"/>
          <w:lang w:val="es-AR"/>
        </w:rPr>
        <w:t>3</w:t>
      </w:r>
      <w:r w:rsidR="003217F3"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Reinaldo Sánchez Tenas, </w:t>
      </w:r>
      <w:r w:rsidR="003217F3" w:rsidRPr="006D4BF1">
        <w:rPr>
          <w:rFonts w:asciiTheme="majorHAnsi" w:hAnsiTheme="majorHAnsi"/>
          <w:sz w:val="20"/>
          <w:szCs w:val="20"/>
          <w:lang w:val="es-AR"/>
        </w:rPr>
        <w:t>3</w:t>
      </w:r>
      <w:r w:rsidR="005D19F4" w:rsidRPr="006D4BF1">
        <w:rPr>
          <w:rFonts w:asciiTheme="majorHAnsi" w:hAnsiTheme="majorHAnsi"/>
          <w:sz w:val="20"/>
          <w:szCs w:val="20"/>
          <w:lang w:val="es-AR"/>
        </w:rPr>
        <w:t>4</w:t>
      </w:r>
      <w:r w:rsidR="003217F3"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Jorge Enrique Falconett González, </w:t>
      </w:r>
      <w:r w:rsidR="003217F3" w:rsidRPr="006D4BF1">
        <w:rPr>
          <w:rFonts w:asciiTheme="majorHAnsi" w:hAnsiTheme="majorHAnsi"/>
          <w:sz w:val="20"/>
          <w:szCs w:val="20"/>
          <w:lang w:val="es-AR"/>
        </w:rPr>
        <w:t>3</w:t>
      </w:r>
      <w:r w:rsidR="005D19F4" w:rsidRPr="006D4BF1">
        <w:rPr>
          <w:rFonts w:asciiTheme="majorHAnsi" w:hAnsiTheme="majorHAnsi"/>
          <w:sz w:val="20"/>
          <w:szCs w:val="20"/>
          <w:lang w:val="es-AR"/>
        </w:rPr>
        <w:t>5</w:t>
      </w:r>
      <w:r w:rsidR="003217F3"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 xml:space="preserve">Edwin Heredio Amaya Amaya, </w:t>
      </w:r>
      <w:r w:rsidR="003217F3" w:rsidRPr="006D4BF1">
        <w:rPr>
          <w:rFonts w:asciiTheme="majorHAnsi" w:hAnsiTheme="majorHAnsi"/>
          <w:sz w:val="20"/>
          <w:szCs w:val="20"/>
          <w:lang w:val="es-AR"/>
        </w:rPr>
        <w:t>3</w:t>
      </w:r>
      <w:r w:rsidR="005D19F4" w:rsidRPr="006D4BF1">
        <w:rPr>
          <w:rFonts w:asciiTheme="majorHAnsi" w:hAnsiTheme="majorHAnsi"/>
          <w:sz w:val="20"/>
          <w:szCs w:val="20"/>
          <w:lang w:val="es-AR"/>
        </w:rPr>
        <w:t>6</w:t>
      </w:r>
      <w:r w:rsidR="003217F3" w:rsidRPr="006D4BF1">
        <w:rPr>
          <w:rFonts w:asciiTheme="majorHAnsi" w:hAnsiTheme="majorHAnsi"/>
          <w:sz w:val="20"/>
          <w:szCs w:val="20"/>
          <w:lang w:val="es-AR"/>
        </w:rPr>
        <w:t xml:space="preserve">) </w:t>
      </w:r>
      <w:r w:rsidR="006375D9" w:rsidRPr="006D4BF1">
        <w:rPr>
          <w:rFonts w:asciiTheme="majorHAnsi" w:hAnsiTheme="majorHAnsi"/>
          <w:sz w:val="20"/>
          <w:szCs w:val="20"/>
          <w:lang w:val="es-AR"/>
        </w:rPr>
        <w:t>Ne</w:t>
      </w:r>
      <w:r w:rsidR="003217F3" w:rsidRPr="006D4BF1">
        <w:rPr>
          <w:rFonts w:asciiTheme="majorHAnsi" w:hAnsiTheme="majorHAnsi"/>
          <w:sz w:val="20"/>
          <w:szCs w:val="20"/>
          <w:lang w:val="es-AR"/>
        </w:rPr>
        <w:t>lson Eddie Martínez Cubilla, 3</w:t>
      </w:r>
      <w:r w:rsidR="005D19F4" w:rsidRPr="006D4BF1">
        <w:rPr>
          <w:rFonts w:asciiTheme="majorHAnsi" w:hAnsiTheme="majorHAnsi"/>
          <w:sz w:val="20"/>
          <w:szCs w:val="20"/>
          <w:lang w:val="es-AR"/>
        </w:rPr>
        <w:t>7</w:t>
      </w:r>
      <w:r w:rsidR="003217F3" w:rsidRPr="006D4BF1">
        <w:rPr>
          <w:rFonts w:asciiTheme="majorHAnsi" w:hAnsiTheme="majorHAnsi"/>
          <w:sz w:val="20"/>
          <w:szCs w:val="20"/>
          <w:lang w:val="es-AR"/>
        </w:rPr>
        <w:t>) Martha Morán Jiménez; y los dos menores de edad</w:t>
      </w:r>
      <w:r w:rsidR="003217F3" w:rsidRPr="006D4BF1">
        <w:rPr>
          <w:rFonts w:asciiTheme="majorHAnsi" w:hAnsiTheme="majorHAnsi"/>
          <w:sz w:val="20"/>
          <w:szCs w:val="20"/>
          <w:lang w:val="es-ES"/>
        </w:rPr>
        <w:t xml:space="preserve"> </w:t>
      </w:r>
      <w:r w:rsidR="005D19F4" w:rsidRPr="006D4BF1">
        <w:rPr>
          <w:rFonts w:asciiTheme="majorHAnsi" w:hAnsiTheme="majorHAnsi"/>
          <w:sz w:val="20"/>
          <w:szCs w:val="20"/>
          <w:lang w:val="es-ES"/>
        </w:rPr>
        <w:t>38</w:t>
      </w:r>
      <w:r w:rsidR="003217F3" w:rsidRPr="006D4BF1">
        <w:rPr>
          <w:rFonts w:asciiTheme="majorHAnsi" w:hAnsiTheme="majorHAnsi"/>
          <w:sz w:val="20"/>
          <w:szCs w:val="20"/>
          <w:lang w:val="es-ES"/>
        </w:rPr>
        <w:t>)</w:t>
      </w:r>
      <w:r w:rsidR="006375D9" w:rsidRPr="006D4BF1">
        <w:rPr>
          <w:rFonts w:asciiTheme="majorHAnsi" w:hAnsiTheme="majorHAnsi"/>
          <w:sz w:val="20"/>
          <w:szCs w:val="20"/>
          <w:lang w:val="es-ES"/>
        </w:rPr>
        <w:t xml:space="preserve"> Ever Quintanar Guzmán</w:t>
      </w:r>
      <w:r w:rsidR="00F6257F" w:rsidRPr="006D4BF1">
        <w:rPr>
          <w:rFonts w:asciiTheme="majorHAnsi" w:hAnsiTheme="majorHAnsi"/>
          <w:sz w:val="20"/>
          <w:szCs w:val="20"/>
          <w:lang w:val="es-ES"/>
        </w:rPr>
        <w:t>,</w:t>
      </w:r>
      <w:r w:rsidR="006375D9" w:rsidRPr="006D4BF1">
        <w:rPr>
          <w:rFonts w:asciiTheme="majorHAnsi" w:hAnsiTheme="majorHAnsi"/>
          <w:sz w:val="20"/>
          <w:szCs w:val="20"/>
          <w:lang w:val="es-ES"/>
        </w:rPr>
        <w:t xml:space="preserve"> </w:t>
      </w:r>
      <w:r w:rsidR="003217F3" w:rsidRPr="006D4BF1">
        <w:rPr>
          <w:rFonts w:asciiTheme="majorHAnsi" w:hAnsiTheme="majorHAnsi"/>
          <w:sz w:val="20"/>
          <w:szCs w:val="20"/>
          <w:lang w:val="es-ES"/>
        </w:rPr>
        <w:t xml:space="preserve">de 17 años, y </w:t>
      </w:r>
      <w:r w:rsidR="005D19F4" w:rsidRPr="006D4BF1">
        <w:rPr>
          <w:rFonts w:asciiTheme="majorHAnsi" w:hAnsiTheme="majorHAnsi"/>
          <w:sz w:val="20"/>
          <w:szCs w:val="20"/>
          <w:lang w:val="es-ES"/>
        </w:rPr>
        <w:t>39</w:t>
      </w:r>
      <w:r w:rsidR="003217F3" w:rsidRPr="006D4BF1">
        <w:rPr>
          <w:rFonts w:asciiTheme="majorHAnsi" w:hAnsiTheme="majorHAnsi"/>
          <w:sz w:val="20"/>
          <w:szCs w:val="20"/>
          <w:lang w:val="es-ES"/>
        </w:rPr>
        <w:t>)</w:t>
      </w:r>
      <w:r w:rsidR="006375D9" w:rsidRPr="006D4BF1">
        <w:rPr>
          <w:rFonts w:asciiTheme="majorHAnsi" w:hAnsiTheme="majorHAnsi"/>
          <w:sz w:val="20"/>
          <w:szCs w:val="20"/>
          <w:lang w:val="es-ES"/>
        </w:rPr>
        <w:t xml:space="preserve"> Juan Demóstenes Araúz Miranda</w:t>
      </w:r>
      <w:r w:rsidR="003217F3" w:rsidRPr="006D4BF1">
        <w:rPr>
          <w:rFonts w:asciiTheme="majorHAnsi" w:hAnsiTheme="majorHAnsi"/>
          <w:sz w:val="20"/>
          <w:szCs w:val="20"/>
          <w:lang w:val="es-ES"/>
        </w:rPr>
        <w:t>, de</w:t>
      </w:r>
      <w:r w:rsidR="006375D9" w:rsidRPr="006D4BF1">
        <w:rPr>
          <w:rFonts w:asciiTheme="majorHAnsi" w:hAnsiTheme="majorHAnsi"/>
          <w:sz w:val="20"/>
          <w:szCs w:val="20"/>
          <w:lang w:val="es-ES"/>
        </w:rPr>
        <w:t xml:space="preserve"> 16 años.</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4455D9"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 xml:space="preserve">Asimismo, señalan que durante el mencionado período, se habrían consumado 70 ejecuciones extrajudiciales presuntamente imputables a miembros del ejército panameño, </w:t>
      </w:r>
      <w:r w:rsidR="00A055AE" w:rsidRPr="006D4BF1">
        <w:rPr>
          <w:rFonts w:asciiTheme="majorHAnsi" w:eastAsia="Times New Roman" w:hAnsiTheme="majorHAnsi"/>
          <w:bCs/>
          <w:kern w:val="36"/>
          <w:sz w:val="20"/>
          <w:szCs w:val="20"/>
          <w:bdr w:val="none" w:sz="0" w:space="0" w:color="auto"/>
          <w:lang w:val="es-AR"/>
        </w:rPr>
        <w:t xml:space="preserve">y </w:t>
      </w:r>
      <w:r w:rsidRPr="006D4BF1">
        <w:rPr>
          <w:rFonts w:asciiTheme="majorHAnsi" w:eastAsia="Times New Roman" w:hAnsiTheme="majorHAnsi"/>
          <w:bCs/>
          <w:kern w:val="36"/>
          <w:sz w:val="20"/>
          <w:szCs w:val="20"/>
          <w:bdr w:val="none" w:sz="0" w:space="0" w:color="auto"/>
          <w:lang w:val="es-AR"/>
        </w:rPr>
        <w:t>en una de las cuales se habría atentado contra la vida de una niña.</w:t>
      </w:r>
      <w:r w:rsidR="003763EB" w:rsidRPr="006D4BF1">
        <w:rPr>
          <w:rFonts w:asciiTheme="majorHAnsi" w:eastAsia="Times New Roman" w:hAnsiTheme="majorHAnsi"/>
          <w:bCs/>
          <w:kern w:val="36"/>
          <w:sz w:val="20"/>
          <w:szCs w:val="20"/>
          <w:bdr w:val="none" w:sz="0" w:space="0" w:color="auto"/>
          <w:lang w:val="es-AR"/>
        </w:rPr>
        <w:t xml:space="preserve"> En este sentido,</w:t>
      </w:r>
      <w:r w:rsidR="00E348E1" w:rsidRPr="006D4BF1">
        <w:rPr>
          <w:rFonts w:asciiTheme="majorHAnsi" w:hAnsiTheme="majorHAnsi"/>
          <w:sz w:val="20"/>
          <w:szCs w:val="20"/>
          <w:lang w:val="es-ES"/>
        </w:rPr>
        <w:t xml:space="preserve"> </w:t>
      </w:r>
      <w:r w:rsidR="003763EB" w:rsidRPr="006D4BF1">
        <w:rPr>
          <w:rFonts w:asciiTheme="majorHAnsi" w:hAnsiTheme="majorHAnsi"/>
          <w:sz w:val="20"/>
          <w:szCs w:val="20"/>
          <w:lang w:val="es-ES"/>
        </w:rPr>
        <w:t>individualizan</w:t>
      </w:r>
      <w:r w:rsidR="00E348E1" w:rsidRPr="006D4BF1">
        <w:rPr>
          <w:rFonts w:asciiTheme="majorHAnsi" w:hAnsiTheme="majorHAnsi"/>
          <w:sz w:val="20"/>
          <w:szCs w:val="20"/>
          <w:lang w:val="es-ES"/>
        </w:rPr>
        <w:t xml:space="preserve"> </w:t>
      </w:r>
      <w:r w:rsidR="003763EB" w:rsidRPr="006D4BF1">
        <w:rPr>
          <w:rFonts w:asciiTheme="majorHAnsi" w:hAnsiTheme="majorHAnsi"/>
          <w:sz w:val="20"/>
          <w:szCs w:val="20"/>
          <w:lang w:val="es-ES"/>
        </w:rPr>
        <w:t>a las siguientes presuntas víctimas</w:t>
      </w:r>
      <w:r w:rsidR="00E348E1" w:rsidRPr="006D4BF1">
        <w:rPr>
          <w:rFonts w:asciiTheme="majorHAnsi" w:hAnsiTheme="majorHAnsi"/>
          <w:sz w:val="20"/>
          <w:szCs w:val="20"/>
          <w:lang w:val="es-ES"/>
        </w:rPr>
        <w:t xml:space="preserve">: </w:t>
      </w:r>
      <w:r w:rsidR="003763EB" w:rsidRPr="006D4BF1">
        <w:rPr>
          <w:rFonts w:asciiTheme="majorHAnsi" w:hAnsiTheme="majorHAnsi"/>
          <w:sz w:val="20"/>
          <w:szCs w:val="20"/>
          <w:lang w:val="es-ES"/>
        </w:rPr>
        <w:t xml:space="preserve">1) </w:t>
      </w:r>
      <w:r w:rsidR="00E348E1" w:rsidRPr="006D4BF1">
        <w:rPr>
          <w:rFonts w:asciiTheme="majorHAnsi" w:hAnsiTheme="majorHAnsi"/>
          <w:sz w:val="20"/>
          <w:szCs w:val="20"/>
          <w:lang w:val="es-ES"/>
        </w:rPr>
        <w:t xml:space="preserve">Lindbergh Augusto Gante, </w:t>
      </w:r>
      <w:r w:rsidR="003763EB" w:rsidRPr="006D4BF1">
        <w:rPr>
          <w:rFonts w:asciiTheme="majorHAnsi" w:hAnsiTheme="majorHAnsi"/>
          <w:sz w:val="20"/>
          <w:szCs w:val="20"/>
          <w:lang w:val="es-ES"/>
        </w:rPr>
        <w:t xml:space="preserve">2) </w:t>
      </w:r>
      <w:r w:rsidR="00E348E1" w:rsidRPr="006D4BF1">
        <w:rPr>
          <w:rFonts w:asciiTheme="majorHAnsi" w:hAnsiTheme="majorHAnsi"/>
          <w:sz w:val="20"/>
          <w:szCs w:val="20"/>
          <w:lang w:val="es-ES"/>
        </w:rPr>
        <w:t xml:space="preserve">Cruz Mojica Flórez, </w:t>
      </w:r>
      <w:r w:rsidR="003763EB" w:rsidRPr="006D4BF1">
        <w:rPr>
          <w:rFonts w:asciiTheme="majorHAnsi" w:hAnsiTheme="majorHAnsi"/>
          <w:sz w:val="20"/>
          <w:szCs w:val="20"/>
          <w:lang w:val="es-ES"/>
        </w:rPr>
        <w:t xml:space="preserve">3) </w:t>
      </w:r>
      <w:r w:rsidR="00E348E1" w:rsidRPr="006D4BF1">
        <w:rPr>
          <w:rFonts w:asciiTheme="majorHAnsi" w:hAnsiTheme="majorHAnsi"/>
          <w:sz w:val="20"/>
          <w:szCs w:val="20"/>
          <w:lang w:val="es-ES"/>
        </w:rPr>
        <w:t xml:space="preserve">Daniel Quirós Espinosa, </w:t>
      </w:r>
      <w:r w:rsidR="003763EB" w:rsidRPr="006D4BF1">
        <w:rPr>
          <w:rFonts w:asciiTheme="majorHAnsi" w:hAnsiTheme="majorHAnsi"/>
          <w:sz w:val="20"/>
          <w:szCs w:val="20"/>
          <w:lang w:val="es-ES"/>
        </w:rPr>
        <w:t xml:space="preserve">4) </w:t>
      </w:r>
      <w:r w:rsidR="00E348E1" w:rsidRPr="006D4BF1">
        <w:rPr>
          <w:rFonts w:asciiTheme="majorHAnsi" w:hAnsiTheme="majorHAnsi"/>
          <w:sz w:val="20"/>
          <w:szCs w:val="20"/>
          <w:lang w:val="es-ES"/>
        </w:rPr>
        <w:t xml:space="preserve">Ramón Mojica, </w:t>
      </w:r>
      <w:r w:rsidR="003763EB" w:rsidRPr="006D4BF1">
        <w:rPr>
          <w:rFonts w:asciiTheme="majorHAnsi" w:hAnsiTheme="majorHAnsi"/>
          <w:sz w:val="20"/>
          <w:szCs w:val="20"/>
          <w:lang w:val="es-ES"/>
        </w:rPr>
        <w:t xml:space="preserve">5) </w:t>
      </w:r>
      <w:r w:rsidR="00E348E1" w:rsidRPr="006D4BF1">
        <w:rPr>
          <w:rFonts w:asciiTheme="majorHAnsi" w:hAnsiTheme="majorHAnsi"/>
          <w:sz w:val="20"/>
          <w:szCs w:val="20"/>
          <w:lang w:val="es-ES"/>
        </w:rPr>
        <w:t xml:space="preserve">Ariosto González, </w:t>
      </w:r>
      <w:r w:rsidR="003763EB" w:rsidRPr="006D4BF1">
        <w:rPr>
          <w:rFonts w:asciiTheme="majorHAnsi" w:hAnsiTheme="majorHAnsi"/>
          <w:sz w:val="20"/>
          <w:szCs w:val="20"/>
          <w:lang w:val="es-ES"/>
        </w:rPr>
        <w:t xml:space="preserve">6) </w:t>
      </w:r>
      <w:r w:rsidR="00E348E1" w:rsidRPr="006D4BF1">
        <w:rPr>
          <w:rFonts w:asciiTheme="majorHAnsi" w:hAnsiTheme="majorHAnsi"/>
          <w:sz w:val="20"/>
          <w:szCs w:val="20"/>
          <w:lang w:val="es-ES"/>
        </w:rPr>
        <w:t xml:space="preserve">Candelario Torres Sánchez, </w:t>
      </w:r>
      <w:r w:rsidR="003763EB" w:rsidRPr="006D4BF1">
        <w:rPr>
          <w:rFonts w:asciiTheme="majorHAnsi" w:hAnsiTheme="majorHAnsi"/>
          <w:sz w:val="20"/>
          <w:szCs w:val="20"/>
          <w:lang w:val="es-ES"/>
        </w:rPr>
        <w:t xml:space="preserve">7) </w:t>
      </w:r>
      <w:r w:rsidR="00E348E1" w:rsidRPr="006D4BF1">
        <w:rPr>
          <w:rFonts w:asciiTheme="majorHAnsi" w:hAnsiTheme="majorHAnsi"/>
          <w:sz w:val="20"/>
          <w:szCs w:val="20"/>
          <w:lang w:val="es-ES"/>
        </w:rPr>
        <w:t xml:space="preserve">Manuel Alberto Díaz Adames, </w:t>
      </w:r>
      <w:r w:rsidR="003763EB" w:rsidRPr="006D4BF1">
        <w:rPr>
          <w:rFonts w:asciiTheme="majorHAnsi" w:hAnsiTheme="majorHAnsi"/>
          <w:sz w:val="20"/>
          <w:szCs w:val="20"/>
          <w:lang w:val="es-ES"/>
        </w:rPr>
        <w:t xml:space="preserve">8) </w:t>
      </w:r>
      <w:r w:rsidR="00E348E1" w:rsidRPr="006D4BF1">
        <w:rPr>
          <w:rFonts w:asciiTheme="majorHAnsi" w:hAnsiTheme="majorHAnsi"/>
          <w:sz w:val="20"/>
          <w:szCs w:val="20"/>
          <w:lang w:val="es-ES"/>
        </w:rPr>
        <w:t xml:space="preserve">Leopoldo Rafael Allen Serracín, </w:t>
      </w:r>
      <w:r w:rsidR="003763EB" w:rsidRPr="006D4BF1">
        <w:rPr>
          <w:rFonts w:asciiTheme="majorHAnsi" w:hAnsiTheme="majorHAnsi"/>
          <w:sz w:val="20"/>
          <w:szCs w:val="20"/>
          <w:lang w:val="es-ES"/>
        </w:rPr>
        <w:t xml:space="preserve">9) </w:t>
      </w:r>
      <w:r w:rsidR="00E348E1" w:rsidRPr="006D4BF1">
        <w:rPr>
          <w:rFonts w:asciiTheme="majorHAnsi" w:hAnsiTheme="majorHAnsi"/>
          <w:sz w:val="20"/>
          <w:szCs w:val="20"/>
          <w:lang w:val="es-ES"/>
        </w:rPr>
        <w:t xml:space="preserve">Walter Sandiñas Iguini, </w:t>
      </w:r>
      <w:r w:rsidR="003763EB" w:rsidRPr="006D4BF1">
        <w:rPr>
          <w:rFonts w:asciiTheme="majorHAnsi" w:hAnsiTheme="majorHAnsi"/>
          <w:sz w:val="20"/>
          <w:szCs w:val="20"/>
          <w:lang w:val="es-ES"/>
        </w:rPr>
        <w:t xml:space="preserve">10) </w:t>
      </w:r>
      <w:r w:rsidR="00E348E1" w:rsidRPr="006D4BF1">
        <w:rPr>
          <w:rFonts w:asciiTheme="majorHAnsi" w:hAnsiTheme="majorHAnsi"/>
          <w:sz w:val="20"/>
          <w:szCs w:val="20"/>
          <w:lang w:val="es-ES"/>
        </w:rPr>
        <w:t xml:space="preserve">Gerardo Olivares Velázquez, </w:t>
      </w:r>
      <w:r w:rsidR="003763EB" w:rsidRPr="006D4BF1">
        <w:rPr>
          <w:rFonts w:asciiTheme="majorHAnsi" w:hAnsiTheme="majorHAnsi"/>
          <w:sz w:val="20"/>
          <w:szCs w:val="20"/>
          <w:lang w:val="es-ES"/>
        </w:rPr>
        <w:t xml:space="preserve">11) </w:t>
      </w:r>
      <w:r w:rsidR="00E348E1" w:rsidRPr="006D4BF1">
        <w:rPr>
          <w:rFonts w:asciiTheme="majorHAnsi" w:hAnsiTheme="majorHAnsi"/>
          <w:sz w:val="20"/>
          <w:szCs w:val="20"/>
          <w:lang w:val="es-ES"/>
        </w:rPr>
        <w:t xml:space="preserve">Hipólito Quintero Delgado, </w:t>
      </w:r>
      <w:r w:rsidR="003763EB" w:rsidRPr="006D4BF1">
        <w:rPr>
          <w:rFonts w:asciiTheme="majorHAnsi" w:hAnsiTheme="majorHAnsi"/>
          <w:sz w:val="20"/>
          <w:szCs w:val="20"/>
          <w:lang w:val="es-ES"/>
        </w:rPr>
        <w:t xml:space="preserve">12) </w:t>
      </w:r>
      <w:r w:rsidR="00E348E1" w:rsidRPr="006D4BF1">
        <w:rPr>
          <w:rFonts w:asciiTheme="majorHAnsi" w:hAnsiTheme="majorHAnsi"/>
          <w:sz w:val="20"/>
          <w:szCs w:val="20"/>
          <w:lang w:val="es-ES"/>
        </w:rPr>
        <w:t xml:space="preserve">Belisario Gantes Batista, </w:t>
      </w:r>
      <w:r w:rsidR="003763EB" w:rsidRPr="006D4BF1">
        <w:rPr>
          <w:rFonts w:asciiTheme="majorHAnsi" w:hAnsiTheme="majorHAnsi"/>
          <w:sz w:val="20"/>
          <w:szCs w:val="20"/>
          <w:lang w:val="es-ES"/>
        </w:rPr>
        <w:t xml:space="preserve">13) </w:t>
      </w:r>
      <w:r w:rsidR="00E348E1" w:rsidRPr="006D4BF1">
        <w:rPr>
          <w:rFonts w:asciiTheme="majorHAnsi" w:hAnsiTheme="majorHAnsi"/>
          <w:sz w:val="20"/>
          <w:szCs w:val="20"/>
          <w:lang w:val="es-ES"/>
        </w:rPr>
        <w:t xml:space="preserve">Féliz González Santizo, </w:t>
      </w:r>
      <w:r w:rsidR="003763EB" w:rsidRPr="006D4BF1">
        <w:rPr>
          <w:rFonts w:asciiTheme="majorHAnsi" w:hAnsiTheme="majorHAnsi"/>
          <w:sz w:val="20"/>
          <w:szCs w:val="20"/>
          <w:lang w:val="es-ES"/>
        </w:rPr>
        <w:t xml:space="preserve">14) </w:t>
      </w:r>
      <w:r w:rsidR="00E348E1" w:rsidRPr="006D4BF1">
        <w:rPr>
          <w:rFonts w:asciiTheme="majorHAnsi" w:hAnsiTheme="majorHAnsi"/>
          <w:sz w:val="20"/>
          <w:szCs w:val="20"/>
          <w:lang w:val="es-ES"/>
        </w:rPr>
        <w:t xml:space="preserve">Elías González Santizo, </w:t>
      </w:r>
      <w:r w:rsidR="003763EB" w:rsidRPr="006D4BF1">
        <w:rPr>
          <w:rFonts w:asciiTheme="majorHAnsi" w:hAnsiTheme="majorHAnsi"/>
          <w:sz w:val="20"/>
          <w:szCs w:val="20"/>
          <w:lang w:val="es-ES"/>
        </w:rPr>
        <w:t xml:space="preserve">15) </w:t>
      </w:r>
      <w:r w:rsidR="00E348E1" w:rsidRPr="006D4BF1">
        <w:rPr>
          <w:rFonts w:asciiTheme="majorHAnsi" w:hAnsiTheme="majorHAnsi"/>
          <w:sz w:val="20"/>
          <w:szCs w:val="20"/>
          <w:lang w:val="es-ES"/>
        </w:rPr>
        <w:t xml:space="preserve">Narciso Cubas Pérez, </w:t>
      </w:r>
      <w:r w:rsidR="003763EB" w:rsidRPr="006D4BF1">
        <w:rPr>
          <w:rFonts w:asciiTheme="majorHAnsi" w:hAnsiTheme="majorHAnsi"/>
          <w:sz w:val="20"/>
          <w:szCs w:val="20"/>
          <w:lang w:val="es-ES"/>
        </w:rPr>
        <w:t xml:space="preserve">16) </w:t>
      </w:r>
      <w:r w:rsidR="00E348E1" w:rsidRPr="006D4BF1">
        <w:rPr>
          <w:rFonts w:asciiTheme="majorHAnsi" w:hAnsiTheme="majorHAnsi"/>
          <w:sz w:val="20"/>
          <w:szCs w:val="20"/>
          <w:lang w:val="es-ES"/>
        </w:rPr>
        <w:t xml:space="preserve">Genaro César Sarmiento Vega, </w:t>
      </w:r>
      <w:r w:rsidR="003763EB" w:rsidRPr="006D4BF1">
        <w:rPr>
          <w:rFonts w:asciiTheme="majorHAnsi" w:hAnsiTheme="majorHAnsi"/>
          <w:sz w:val="20"/>
          <w:szCs w:val="20"/>
          <w:lang w:val="es-ES"/>
        </w:rPr>
        <w:t xml:space="preserve">17) </w:t>
      </w:r>
      <w:r w:rsidR="00E348E1" w:rsidRPr="006D4BF1">
        <w:rPr>
          <w:rFonts w:asciiTheme="majorHAnsi" w:hAnsiTheme="majorHAnsi"/>
          <w:sz w:val="20"/>
          <w:szCs w:val="20"/>
          <w:lang w:val="es-ES"/>
        </w:rPr>
        <w:t xml:space="preserve">Waldemaro Osorio, </w:t>
      </w:r>
      <w:r w:rsidR="003763EB" w:rsidRPr="006D4BF1">
        <w:rPr>
          <w:rFonts w:asciiTheme="majorHAnsi" w:hAnsiTheme="majorHAnsi"/>
          <w:sz w:val="20"/>
          <w:szCs w:val="20"/>
          <w:lang w:val="es-ES"/>
        </w:rPr>
        <w:t xml:space="preserve">18) </w:t>
      </w:r>
      <w:r w:rsidR="00E348E1" w:rsidRPr="006D4BF1">
        <w:rPr>
          <w:rFonts w:asciiTheme="majorHAnsi" w:hAnsiTheme="majorHAnsi"/>
          <w:sz w:val="20"/>
          <w:szCs w:val="20"/>
          <w:lang w:val="es-ES"/>
        </w:rPr>
        <w:t xml:space="preserve">Diómedes González Santamaría, </w:t>
      </w:r>
      <w:r w:rsidR="003763EB" w:rsidRPr="006D4BF1">
        <w:rPr>
          <w:rFonts w:asciiTheme="majorHAnsi" w:hAnsiTheme="majorHAnsi"/>
          <w:sz w:val="20"/>
          <w:szCs w:val="20"/>
          <w:lang w:val="es-ES"/>
        </w:rPr>
        <w:t xml:space="preserve">19) </w:t>
      </w:r>
      <w:r w:rsidR="00E348E1" w:rsidRPr="006D4BF1">
        <w:rPr>
          <w:rFonts w:asciiTheme="majorHAnsi" w:hAnsiTheme="majorHAnsi"/>
          <w:sz w:val="20"/>
          <w:szCs w:val="20"/>
          <w:lang w:val="es-ES"/>
        </w:rPr>
        <w:t xml:space="preserve">Tomás Rojas Hinestroza, </w:t>
      </w:r>
      <w:r w:rsidR="003763EB" w:rsidRPr="006D4BF1">
        <w:rPr>
          <w:rFonts w:asciiTheme="majorHAnsi" w:hAnsiTheme="majorHAnsi"/>
          <w:sz w:val="20"/>
          <w:szCs w:val="20"/>
          <w:lang w:val="es-ES"/>
        </w:rPr>
        <w:t xml:space="preserve">20) </w:t>
      </w:r>
      <w:r w:rsidR="00E348E1" w:rsidRPr="006D4BF1">
        <w:rPr>
          <w:rFonts w:asciiTheme="majorHAnsi" w:hAnsiTheme="majorHAnsi"/>
          <w:sz w:val="20"/>
          <w:szCs w:val="20"/>
          <w:lang w:val="es-ES"/>
        </w:rPr>
        <w:t xml:space="preserve">Macario Blanquicet Valencia, </w:t>
      </w:r>
      <w:r w:rsidR="003763EB" w:rsidRPr="006D4BF1">
        <w:rPr>
          <w:rFonts w:asciiTheme="majorHAnsi" w:hAnsiTheme="majorHAnsi"/>
          <w:sz w:val="20"/>
          <w:szCs w:val="20"/>
          <w:lang w:val="es-ES"/>
        </w:rPr>
        <w:t xml:space="preserve">21) </w:t>
      </w:r>
      <w:r w:rsidR="00E348E1" w:rsidRPr="006D4BF1">
        <w:rPr>
          <w:rFonts w:asciiTheme="majorHAnsi" w:hAnsiTheme="majorHAnsi"/>
          <w:sz w:val="20"/>
          <w:szCs w:val="20"/>
          <w:lang w:val="es-ES"/>
        </w:rPr>
        <w:t xml:space="preserve">Delia Perry Rose, </w:t>
      </w:r>
      <w:r w:rsidR="003763EB" w:rsidRPr="006D4BF1">
        <w:rPr>
          <w:rFonts w:asciiTheme="majorHAnsi" w:hAnsiTheme="majorHAnsi"/>
          <w:sz w:val="20"/>
          <w:szCs w:val="20"/>
          <w:lang w:val="es-ES"/>
        </w:rPr>
        <w:t xml:space="preserve">22) </w:t>
      </w:r>
      <w:r w:rsidR="00E348E1" w:rsidRPr="006D4BF1">
        <w:rPr>
          <w:rFonts w:asciiTheme="majorHAnsi" w:hAnsiTheme="majorHAnsi"/>
          <w:sz w:val="20"/>
          <w:szCs w:val="20"/>
          <w:lang w:val="es-ES"/>
        </w:rPr>
        <w:t xml:space="preserve">Alcibiades Vázquez Ojo, </w:t>
      </w:r>
      <w:r w:rsidR="003763EB" w:rsidRPr="006D4BF1">
        <w:rPr>
          <w:rFonts w:asciiTheme="majorHAnsi" w:hAnsiTheme="majorHAnsi"/>
          <w:sz w:val="20"/>
          <w:szCs w:val="20"/>
          <w:lang w:val="es-ES"/>
        </w:rPr>
        <w:t xml:space="preserve">23) </w:t>
      </w:r>
      <w:r w:rsidR="00E348E1" w:rsidRPr="006D4BF1">
        <w:rPr>
          <w:rFonts w:asciiTheme="majorHAnsi" w:hAnsiTheme="majorHAnsi"/>
          <w:sz w:val="20"/>
          <w:szCs w:val="20"/>
          <w:lang w:val="es-ES"/>
        </w:rPr>
        <w:t xml:space="preserve">José del Carmen Tuñón Bethancourt, </w:t>
      </w:r>
      <w:r w:rsidR="00E30DFC" w:rsidRPr="006D4BF1">
        <w:rPr>
          <w:rFonts w:asciiTheme="majorHAnsi" w:hAnsiTheme="majorHAnsi"/>
          <w:sz w:val="20"/>
          <w:szCs w:val="20"/>
          <w:lang w:val="es-ES"/>
        </w:rPr>
        <w:t xml:space="preserve">24) </w:t>
      </w:r>
      <w:r w:rsidR="00E348E1" w:rsidRPr="006D4BF1">
        <w:rPr>
          <w:rFonts w:asciiTheme="majorHAnsi" w:hAnsiTheme="majorHAnsi"/>
          <w:sz w:val="20"/>
          <w:szCs w:val="20"/>
          <w:lang w:val="es-ES"/>
        </w:rPr>
        <w:t xml:space="preserve">Ernesto Castillo Cubilla, </w:t>
      </w:r>
      <w:r w:rsidR="00E30DFC" w:rsidRPr="006D4BF1">
        <w:rPr>
          <w:rFonts w:asciiTheme="majorHAnsi" w:hAnsiTheme="majorHAnsi"/>
          <w:sz w:val="20"/>
          <w:szCs w:val="20"/>
          <w:lang w:val="es-ES"/>
        </w:rPr>
        <w:t xml:space="preserve">25) </w:t>
      </w:r>
      <w:r w:rsidR="00E348E1" w:rsidRPr="006D4BF1">
        <w:rPr>
          <w:rFonts w:asciiTheme="majorHAnsi" w:hAnsiTheme="majorHAnsi"/>
          <w:sz w:val="20"/>
          <w:szCs w:val="20"/>
          <w:lang w:val="es-ES"/>
        </w:rPr>
        <w:t xml:space="preserve">Alfredo Serracín Garzón, </w:t>
      </w:r>
      <w:r w:rsidR="00E30DFC" w:rsidRPr="006D4BF1">
        <w:rPr>
          <w:rFonts w:asciiTheme="majorHAnsi" w:hAnsiTheme="majorHAnsi"/>
          <w:sz w:val="20"/>
          <w:szCs w:val="20"/>
          <w:lang w:val="es-ES"/>
        </w:rPr>
        <w:t xml:space="preserve">26) </w:t>
      </w:r>
      <w:r w:rsidR="00E348E1" w:rsidRPr="006D4BF1">
        <w:rPr>
          <w:rFonts w:asciiTheme="majorHAnsi" w:hAnsiTheme="majorHAnsi"/>
          <w:sz w:val="20"/>
          <w:szCs w:val="20"/>
          <w:lang w:val="es-ES"/>
        </w:rPr>
        <w:t xml:space="preserve">Heriberto Antonio Manzzo Quintero, </w:t>
      </w:r>
      <w:r w:rsidR="00E30DFC" w:rsidRPr="006D4BF1">
        <w:rPr>
          <w:rFonts w:asciiTheme="majorHAnsi" w:hAnsiTheme="majorHAnsi"/>
          <w:sz w:val="20"/>
          <w:szCs w:val="20"/>
          <w:lang w:val="es-ES"/>
        </w:rPr>
        <w:t xml:space="preserve">27) </w:t>
      </w:r>
      <w:r w:rsidR="00E348E1" w:rsidRPr="006D4BF1">
        <w:rPr>
          <w:rFonts w:asciiTheme="majorHAnsi" w:hAnsiTheme="majorHAnsi"/>
          <w:sz w:val="20"/>
          <w:szCs w:val="20"/>
          <w:lang w:val="es-ES"/>
        </w:rPr>
        <w:t xml:space="preserve">Dora Ceferina Moreno Jaén, </w:t>
      </w:r>
      <w:r w:rsidR="00E30DFC" w:rsidRPr="006D4BF1">
        <w:rPr>
          <w:rFonts w:asciiTheme="majorHAnsi" w:hAnsiTheme="majorHAnsi"/>
          <w:sz w:val="20"/>
          <w:szCs w:val="20"/>
          <w:lang w:val="es-ES"/>
        </w:rPr>
        <w:t xml:space="preserve">28) </w:t>
      </w:r>
      <w:r w:rsidR="00E348E1" w:rsidRPr="006D4BF1">
        <w:rPr>
          <w:rFonts w:asciiTheme="majorHAnsi" w:hAnsiTheme="majorHAnsi"/>
          <w:sz w:val="20"/>
          <w:szCs w:val="20"/>
          <w:lang w:val="es-ES"/>
        </w:rPr>
        <w:t xml:space="preserve">Cesáreo Eligio Tejada Núñez, </w:t>
      </w:r>
      <w:r w:rsidR="00E30DFC" w:rsidRPr="006D4BF1">
        <w:rPr>
          <w:rFonts w:asciiTheme="majorHAnsi" w:hAnsiTheme="majorHAnsi"/>
          <w:sz w:val="20"/>
          <w:szCs w:val="20"/>
          <w:lang w:val="es-ES"/>
        </w:rPr>
        <w:t xml:space="preserve">29) </w:t>
      </w:r>
      <w:r w:rsidR="00E348E1" w:rsidRPr="006D4BF1">
        <w:rPr>
          <w:rFonts w:asciiTheme="majorHAnsi" w:hAnsiTheme="majorHAnsi"/>
          <w:sz w:val="20"/>
          <w:szCs w:val="20"/>
          <w:lang w:val="es-ES"/>
        </w:rPr>
        <w:t xml:space="preserve">Floyd Wendell Britton Morrison, </w:t>
      </w:r>
      <w:r w:rsidR="00E30DFC" w:rsidRPr="006D4BF1">
        <w:rPr>
          <w:rFonts w:asciiTheme="majorHAnsi" w:hAnsiTheme="majorHAnsi"/>
          <w:sz w:val="20"/>
          <w:szCs w:val="20"/>
          <w:lang w:val="es-ES"/>
        </w:rPr>
        <w:t xml:space="preserve">30) </w:t>
      </w:r>
      <w:r w:rsidR="00E348E1" w:rsidRPr="006D4BF1">
        <w:rPr>
          <w:rFonts w:asciiTheme="majorHAnsi" w:hAnsiTheme="majorHAnsi"/>
          <w:sz w:val="20"/>
          <w:szCs w:val="20"/>
          <w:lang w:val="es-ES"/>
        </w:rPr>
        <w:t xml:space="preserve">Rubén Oscar Miró Guardia, </w:t>
      </w:r>
      <w:r w:rsidR="00E30DFC" w:rsidRPr="006D4BF1">
        <w:rPr>
          <w:rFonts w:asciiTheme="majorHAnsi" w:hAnsiTheme="majorHAnsi"/>
          <w:sz w:val="20"/>
          <w:szCs w:val="20"/>
          <w:lang w:val="es-ES"/>
        </w:rPr>
        <w:t xml:space="preserve">31) </w:t>
      </w:r>
      <w:r w:rsidR="00E348E1" w:rsidRPr="006D4BF1">
        <w:rPr>
          <w:rFonts w:asciiTheme="majorHAnsi" w:hAnsiTheme="majorHAnsi"/>
          <w:sz w:val="20"/>
          <w:szCs w:val="20"/>
          <w:lang w:val="es-ES"/>
        </w:rPr>
        <w:t xml:space="preserve">Jorge Tulio Medrano Caballero, </w:t>
      </w:r>
      <w:r w:rsidR="00E30DFC" w:rsidRPr="006D4BF1">
        <w:rPr>
          <w:rFonts w:asciiTheme="majorHAnsi" w:hAnsiTheme="majorHAnsi"/>
          <w:sz w:val="20"/>
          <w:szCs w:val="20"/>
          <w:lang w:val="es-ES"/>
        </w:rPr>
        <w:t xml:space="preserve">32) </w:t>
      </w:r>
      <w:r w:rsidR="00E348E1" w:rsidRPr="006D4BF1">
        <w:rPr>
          <w:rFonts w:asciiTheme="majorHAnsi" w:hAnsiTheme="majorHAnsi"/>
          <w:sz w:val="20"/>
          <w:szCs w:val="20"/>
          <w:lang w:val="es-ES"/>
        </w:rPr>
        <w:t xml:space="preserve">Jorge Antonio Camacho Castro, </w:t>
      </w:r>
      <w:r w:rsidR="00E30DFC" w:rsidRPr="006D4BF1">
        <w:rPr>
          <w:rFonts w:asciiTheme="majorHAnsi" w:hAnsiTheme="majorHAnsi"/>
          <w:sz w:val="20"/>
          <w:szCs w:val="20"/>
          <w:lang w:val="es-ES"/>
        </w:rPr>
        <w:t xml:space="preserve">33) </w:t>
      </w:r>
      <w:r w:rsidR="00E348E1" w:rsidRPr="006D4BF1">
        <w:rPr>
          <w:rFonts w:asciiTheme="majorHAnsi" w:hAnsiTheme="majorHAnsi"/>
          <w:sz w:val="20"/>
          <w:szCs w:val="20"/>
          <w:lang w:val="es-ES"/>
        </w:rPr>
        <w:t xml:space="preserve">Demóstenes Rodríguez Álvarez, </w:t>
      </w:r>
      <w:r w:rsidR="00E30DFC" w:rsidRPr="006D4BF1">
        <w:rPr>
          <w:rFonts w:asciiTheme="majorHAnsi" w:hAnsiTheme="majorHAnsi"/>
          <w:sz w:val="20"/>
          <w:szCs w:val="20"/>
          <w:lang w:val="es-ES"/>
        </w:rPr>
        <w:t xml:space="preserve">34) </w:t>
      </w:r>
      <w:r w:rsidR="00E348E1" w:rsidRPr="006D4BF1">
        <w:rPr>
          <w:rFonts w:asciiTheme="majorHAnsi" w:hAnsiTheme="majorHAnsi"/>
          <w:sz w:val="20"/>
          <w:szCs w:val="20"/>
          <w:lang w:val="es-ES"/>
        </w:rPr>
        <w:t xml:space="preserve">Román Rivera Montenegro, </w:t>
      </w:r>
      <w:r w:rsidR="00E30DFC" w:rsidRPr="006D4BF1">
        <w:rPr>
          <w:rFonts w:asciiTheme="majorHAnsi" w:hAnsiTheme="majorHAnsi"/>
          <w:sz w:val="20"/>
          <w:szCs w:val="20"/>
          <w:lang w:val="es-ES"/>
        </w:rPr>
        <w:t xml:space="preserve">35) </w:t>
      </w:r>
      <w:r w:rsidR="00E348E1" w:rsidRPr="006D4BF1">
        <w:rPr>
          <w:rFonts w:asciiTheme="majorHAnsi" w:hAnsiTheme="majorHAnsi"/>
          <w:sz w:val="20"/>
          <w:szCs w:val="20"/>
          <w:lang w:val="es-ES"/>
        </w:rPr>
        <w:t xml:space="preserve">Jaime Alberto Fredericks Muñoz, </w:t>
      </w:r>
      <w:r w:rsidR="00E30DFC" w:rsidRPr="006D4BF1">
        <w:rPr>
          <w:rFonts w:asciiTheme="majorHAnsi" w:hAnsiTheme="majorHAnsi"/>
          <w:sz w:val="20"/>
          <w:szCs w:val="20"/>
          <w:lang w:val="es-ES"/>
        </w:rPr>
        <w:t xml:space="preserve">36) </w:t>
      </w:r>
      <w:r w:rsidR="00E348E1" w:rsidRPr="006D4BF1">
        <w:rPr>
          <w:rFonts w:asciiTheme="majorHAnsi" w:hAnsiTheme="majorHAnsi"/>
          <w:sz w:val="20"/>
          <w:szCs w:val="20"/>
          <w:lang w:val="es-ES"/>
        </w:rPr>
        <w:t xml:space="preserve">Cecilio Hazlewood Mitchell, </w:t>
      </w:r>
      <w:r w:rsidR="00E30DFC" w:rsidRPr="006D4BF1">
        <w:rPr>
          <w:rFonts w:asciiTheme="majorHAnsi" w:hAnsiTheme="majorHAnsi"/>
          <w:sz w:val="20"/>
          <w:szCs w:val="20"/>
          <w:lang w:val="es-ES"/>
        </w:rPr>
        <w:t xml:space="preserve">37) </w:t>
      </w:r>
      <w:r w:rsidR="00E348E1" w:rsidRPr="006D4BF1">
        <w:rPr>
          <w:rFonts w:asciiTheme="majorHAnsi" w:hAnsiTheme="majorHAnsi"/>
          <w:sz w:val="20"/>
          <w:szCs w:val="20"/>
          <w:lang w:val="es-ES"/>
        </w:rPr>
        <w:t xml:space="preserve">Daniel Simoné Hernández, </w:t>
      </w:r>
      <w:r w:rsidR="00E30DFC" w:rsidRPr="006D4BF1">
        <w:rPr>
          <w:rFonts w:asciiTheme="majorHAnsi" w:hAnsiTheme="majorHAnsi"/>
          <w:sz w:val="20"/>
          <w:szCs w:val="20"/>
          <w:lang w:val="es-ES"/>
        </w:rPr>
        <w:t xml:space="preserve">38) </w:t>
      </w:r>
      <w:r w:rsidR="00E348E1" w:rsidRPr="006D4BF1">
        <w:rPr>
          <w:rFonts w:asciiTheme="majorHAnsi" w:hAnsiTheme="majorHAnsi"/>
          <w:sz w:val="20"/>
          <w:szCs w:val="20"/>
          <w:lang w:val="es-ES"/>
        </w:rPr>
        <w:t xml:space="preserve">Betsy Marlena Mendizábal, </w:t>
      </w:r>
      <w:r w:rsidR="00E30DFC" w:rsidRPr="006D4BF1">
        <w:rPr>
          <w:rFonts w:asciiTheme="majorHAnsi" w:hAnsiTheme="majorHAnsi"/>
          <w:sz w:val="20"/>
          <w:szCs w:val="20"/>
          <w:lang w:val="es-ES"/>
        </w:rPr>
        <w:t>39)</w:t>
      </w:r>
      <w:r w:rsidR="00E348E1" w:rsidRPr="006D4BF1">
        <w:rPr>
          <w:rFonts w:asciiTheme="majorHAnsi" w:hAnsiTheme="majorHAnsi"/>
          <w:sz w:val="20"/>
          <w:szCs w:val="20"/>
          <w:lang w:val="es-ES"/>
        </w:rPr>
        <w:t xml:space="preserve"> José de la Rosa Chávez Peralta, </w:t>
      </w:r>
      <w:r w:rsidR="00E30DFC" w:rsidRPr="006D4BF1">
        <w:rPr>
          <w:rFonts w:asciiTheme="majorHAnsi" w:hAnsiTheme="majorHAnsi"/>
          <w:sz w:val="20"/>
          <w:szCs w:val="20"/>
          <w:lang w:val="es-ES"/>
        </w:rPr>
        <w:t>4</w:t>
      </w:r>
      <w:r w:rsidR="0070240F" w:rsidRPr="006D4BF1">
        <w:rPr>
          <w:rFonts w:asciiTheme="majorHAnsi" w:hAnsiTheme="majorHAnsi"/>
          <w:sz w:val="20"/>
          <w:szCs w:val="20"/>
          <w:lang w:val="es-ES"/>
        </w:rPr>
        <w:t>0</w:t>
      </w:r>
      <w:r w:rsidR="00E30DFC" w:rsidRPr="006D4BF1">
        <w:rPr>
          <w:rFonts w:asciiTheme="majorHAnsi" w:hAnsiTheme="majorHAnsi"/>
          <w:sz w:val="20"/>
          <w:szCs w:val="20"/>
          <w:lang w:val="es-ES"/>
        </w:rPr>
        <w:t>)</w:t>
      </w:r>
      <w:r w:rsidR="0070240F"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Nicolás Moreno Nieto, </w:t>
      </w:r>
      <w:r w:rsidR="00E30DFC" w:rsidRPr="006D4BF1">
        <w:rPr>
          <w:rFonts w:asciiTheme="majorHAnsi" w:hAnsiTheme="majorHAnsi"/>
          <w:sz w:val="20"/>
          <w:szCs w:val="20"/>
          <w:lang w:val="es-ES"/>
        </w:rPr>
        <w:t>4</w:t>
      </w:r>
      <w:r w:rsidR="0070240F" w:rsidRPr="006D4BF1">
        <w:rPr>
          <w:rFonts w:asciiTheme="majorHAnsi" w:hAnsiTheme="majorHAnsi"/>
          <w:sz w:val="20"/>
          <w:szCs w:val="20"/>
          <w:lang w:val="es-ES"/>
        </w:rPr>
        <w:t>1</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Primitivo Gonzáles Martínez, </w:t>
      </w:r>
      <w:r w:rsidR="00E30DFC" w:rsidRPr="006D4BF1">
        <w:rPr>
          <w:rFonts w:asciiTheme="majorHAnsi" w:hAnsiTheme="majorHAnsi"/>
          <w:sz w:val="20"/>
          <w:szCs w:val="20"/>
          <w:lang w:val="es-ES"/>
        </w:rPr>
        <w:t>4</w:t>
      </w:r>
      <w:r w:rsidR="0070240F" w:rsidRPr="006D4BF1">
        <w:rPr>
          <w:rFonts w:asciiTheme="majorHAnsi" w:hAnsiTheme="majorHAnsi"/>
          <w:sz w:val="20"/>
          <w:szCs w:val="20"/>
          <w:lang w:val="es-ES"/>
        </w:rPr>
        <w:t>2</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Félix Antonio Serrano Rodríguez, </w:t>
      </w:r>
      <w:r w:rsidR="00E30DFC" w:rsidRPr="006D4BF1">
        <w:rPr>
          <w:rFonts w:asciiTheme="majorHAnsi" w:hAnsiTheme="majorHAnsi"/>
          <w:sz w:val="20"/>
          <w:szCs w:val="20"/>
          <w:lang w:val="es-ES"/>
        </w:rPr>
        <w:t>4</w:t>
      </w:r>
      <w:r w:rsidR="0070240F" w:rsidRPr="006D4BF1">
        <w:rPr>
          <w:rFonts w:asciiTheme="majorHAnsi" w:hAnsiTheme="majorHAnsi"/>
          <w:sz w:val="20"/>
          <w:szCs w:val="20"/>
          <w:lang w:val="es-ES"/>
        </w:rPr>
        <w:t>3</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José Ángel Gutiérrez Vega, </w:t>
      </w:r>
      <w:r w:rsidR="00E30DFC" w:rsidRPr="006D4BF1">
        <w:rPr>
          <w:rFonts w:asciiTheme="majorHAnsi" w:hAnsiTheme="majorHAnsi"/>
          <w:sz w:val="20"/>
          <w:szCs w:val="20"/>
          <w:lang w:val="es-ES"/>
        </w:rPr>
        <w:t>4</w:t>
      </w:r>
      <w:r w:rsidR="0070240F" w:rsidRPr="006D4BF1">
        <w:rPr>
          <w:rFonts w:asciiTheme="majorHAnsi" w:hAnsiTheme="majorHAnsi"/>
          <w:sz w:val="20"/>
          <w:szCs w:val="20"/>
          <w:lang w:val="es-ES"/>
        </w:rPr>
        <w:t>4</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José de la Concepción Rojas Coloma, </w:t>
      </w:r>
      <w:r w:rsidR="00E30DFC" w:rsidRPr="006D4BF1">
        <w:rPr>
          <w:rFonts w:asciiTheme="majorHAnsi" w:hAnsiTheme="majorHAnsi"/>
          <w:sz w:val="20"/>
          <w:szCs w:val="20"/>
          <w:lang w:val="es-ES"/>
        </w:rPr>
        <w:t>4</w:t>
      </w:r>
      <w:r w:rsidR="0070240F" w:rsidRPr="006D4BF1">
        <w:rPr>
          <w:rFonts w:asciiTheme="majorHAnsi" w:hAnsiTheme="majorHAnsi"/>
          <w:sz w:val="20"/>
          <w:szCs w:val="20"/>
          <w:lang w:val="es-ES"/>
        </w:rPr>
        <w:t>5</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Silverio Alfonso Brown Turton, </w:t>
      </w:r>
      <w:r w:rsidR="00E30DFC" w:rsidRPr="006D4BF1">
        <w:rPr>
          <w:rFonts w:asciiTheme="majorHAnsi" w:hAnsiTheme="majorHAnsi"/>
          <w:sz w:val="20"/>
          <w:szCs w:val="20"/>
          <w:lang w:val="es-ES"/>
        </w:rPr>
        <w:t>4</w:t>
      </w:r>
      <w:r w:rsidR="0070240F" w:rsidRPr="006D4BF1">
        <w:rPr>
          <w:rFonts w:asciiTheme="majorHAnsi" w:hAnsiTheme="majorHAnsi"/>
          <w:sz w:val="20"/>
          <w:szCs w:val="20"/>
          <w:lang w:val="es-ES"/>
        </w:rPr>
        <w:t>6</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Hugo Spadafora Franco, </w:t>
      </w:r>
      <w:r w:rsidR="00E30DFC" w:rsidRPr="006D4BF1">
        <w:rPr>
          <w:rFonts w:asciiTheme="majorHAnsi" w:hAnsiTheme="majorHAnsi"/>
          <w:sz w:val="20"/>
          <w:szCs w:val="20"/>
          <w:lang w:val="es-ES"/>
        </w:rPr>
        <w:t>4</w:t>
      </w:r>
      <w:r w:rsidR="0070240F" w:rsidRPr="006D4BF1">
        <w:rPr>
          <w:rFonts w:asciiTheme="majorHAnsi" w:hAnsiTheme="majorHAnsi"/>
          <w:sz w:val="20"/>
          <w:szCs w:val="20"/>
          <w:lang w:val="es-ES"/>
        </w:rPr>
        <w:t>7</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Yito Barrante Méndez, </w:t>
      </w:r>
      <w:r w:rsidR="00E30DFC" w:rsidRPr="006D4BF1">
        <w:rPr>
          <w:rFonts w:asciiTheme="majorHAnsi" w:hAnsiTheme="majorHAnsi"/>
          <w:sz w:val="20"/>
          <w:szCs w:val="20"/>
          <w:lang w:val="es-ES"/>
        </w:rPr>
        <w:t>4</w:t>
      </w:r>
      <w:r w:rsidR="0070240F" w:rsidRPr="006D4BF1">
        <w:rPr>
          <w:rFonts w:asciiTheme="majorHAnsi" w:hAnsiTheme="majorHAnsi"/>
          <w:sz w:val="20"/>
          <w:szCs w:val="20"/>
          <w:lang w:val="es-ES"/>
        </w:rPr>
        <w:t>8</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Eduardo Enrique Carrera Sierra, </w:t>
      </w:r>
      <w:r w:rsidR="0070240F" w:rsidRPr="006D4BF1">
        <w:rPr>
          <w:rFonts w:asciiTheme="majorHAnsi" w:hAnsiTheme="majorHAnsi"/>
          <w:sz w:val="20"/>
          <w:szCs w:val="20"/>
          <w:lang w:val="es-ES"/>
        </w:rPr>
        <w:t>49</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Armando Morán Núñez, </w:t>
      </w:r>
      <w:r w:rsidR="00E30DFC" w:rsidRPr="006D4BF1">
        <w:rPr>
          <w:rFonts w:asciiTheme="majorHAnsi" w:hAnsiTheme="majorHAnsi"/>
          <w:sz w:val="20"/>
          <w:szCs w:val="20"/>
          <w:lang w:val="es-ES"/>
        </w:rPr>
        <w:t>5</w:t>
      </w:r>
      <w:r w:rsidR="0070240F" w:rsidRPr="006D4BF1">
        <w:rPr>
          <w:rFonts w:asciiTheme="majorHAnsi" w:hAnsiTheme="majorHAnsi"/>
          <w:sz w:val="20"/>
          <w:szCs w:val="20"/>
          <w:lang w:val="es-ES"/>
        </w:rPr>
        <w:t>0</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Valentín Poveda Agriel, </w:t>
      </w:r>
      <w:r w:rsidR="00E30DFC" w:rsidRPr="006D4BF1">
        <w:rPr>
          <w:rFonts w:asciiTheme="majorHAnsi" w:hAnsiTheme="majorHAnsi"/>
          <w:sz w:val="20"/>
          <w:szCs w:val="20"/>
          <w:lang w:val="es-ES"/>
        </w:rPr>
        <w:t>5</w:t>
      </w:r>
      <w:r w:rsidR="0070240F" w:rsidRPr="006D4BF1">
        <w:rPr>
          <w:rFonts w:asciiTheme="majorHAnsi" w:hAnsiTheme="majorHAnsi"/>
          <w:sz w:val="20"/>
          <w:szCs w:val="20"/>
          <w:lang w:val="es-ES"/>
        </w:rPr>
        <w:t>1</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Carlos Efraín Guzmán Baúles, </w:t>
      </w:r>
      <w:r w:rsidR="00E30DFC" w:rsidRPr="006D4BF1">
        <w:rPr>
          <w:rFonts w:asciiTheme="majorHAnsi" w:hAnsiTheme="majorHAnsi"/>
          <w:sz w:val="20"/>
          <w:szCs w:val="20"/>
          <w:lang w:val="es-ES"/>
        </w:rPr>
        <w:t>5</w:t>
      </w:r>
      <w:r w:rsidR="0070240F" w:rsidRPr="006D4BF1">
        <w:rPr>
          <w:rFonts w:asciiTheme="majorHAnsi" w:hAnsiTheme="majorHAnsi"/>
          <w:sz w:val="20"/>
          <w:szCs w:val="20"/>
          <w:lang w:val="es-ES"/>
        </w:rPr>
        <w:t>2</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Diego Villareal Serrano, </w:t>
      </w:r>
      <w:r w:rsidR="00E30DFC" w:rsidRPr="006D4BF1">
        <w:rPr>
          <w:rFonts w:asciiTheme="majorHAnsi" w:hAnsiTheme="majorHAnsi"/>
          <w:sz w:val="20"/>
          <w:szCs w:val="20"/>
          <w:lang w:val="es-ES"/>
        </w:rPr>
        <w:t>5</w:t>
      </w:r>
      <w:r w:rsidR="0070240F" w:rsidRPr="006D4BF1">
        <w:rPr>
          <w:rFonts w:asciiTheme="majorHAnsi" w:hAnsiTheme="majorHAnsi"/>
          <w:sz w:val="20"/>
          <w:szCs w:val="20"/>
          <w:lang w:val="es-ES"/>
        </w:rPr>
        <w:t>3</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César Augusto Cajar Batista, </w:t>
      </w:r>
      <w:r w:rsidR="00E30DFC" w:rsidRPr="006D4BF1">
        <w:rPr>
          <w:rFonts w:asciiTheme="majorHAnsi" w:hAnsiTheme="majorHAnsi"/>
          <w:sz w:val="20"/>
          <w:szCs w:val="20"/>
          <w:lang w:val="es-ES"/>
        </w:rPr>
        <w:t>5</w:t>
      </w:r>
      <w:r w:rsidR="0070240F" w:rsidRPr="006D4BF1">
        <w:rPr>
          <w:rFonts w:asciiTheme="majorHAnsi" w:hAnsiTheme="majorHAnsi"/>
          <w:sz w:val="20"/>
          <w:szCs w:val="20"/>
          <w:lang w:val="es-ES"/>
        </w:rPr>
        <w:t>4</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Luis Antonio González Santamaría, </w:t>
      </w:r>
      <w:r w:rsidR="00E30DFC" w:rsidRPr="006D4BF1">
        <w:rPr>
          <w:rFonts w:asciiTheme="majorHAnsi" w:hAnsiTheme="majorHAnsi"/>
          <w:sz w:val="20"/>
          <w:szCs w:val="20"/>
          <w:lang w:val="es-ES"/>
        </w:rPr>
        <w:t>5</w:t>
      </w:r>
      <w:r w:rsidR="0070240F" w:rsidRPr="006D4BF1">
        <w:rPr>
          <w:rFonts w:asciiTheme="majorHAnsi" w:hAnsiTheme="majorHAnsi"/>
          <w:sz w:val="20"/>
          <w:szCs w:val="20"/>
          <w:lang w:val="es-ES"/>
        </w:rPr>
        <w:t>5</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Nicolás Johannes Van Kleef Filcz, </w:t>
      </w:r>
      <w:r w:rsidR="00E30DFC" w:rsidRPr="006D4BF1">
        <w:rPr>
          <w:rFonts w:asciiTheme="majorHAnsi" w:hAnsiTheme="majorHAnsi"/>
          <w:sz w:val="20"/>
          <w:szCs w:val="20"/>
          <w:lang w:val="es-ES"/>
        </w:rPr>
        <w:t>5</w:t>
      </w:r>
      <w:r w:rsidR="0070240F" w:rsidRPr="006D4BF1">
        <w:rPr>
          <w:rFonts w:asciiTheme="majorHAnsi" w:hAnsiTheme="majorHAnsi"/>
          <w:sz w:val="20"/>
          <w:szCs w:val="20"/>
          <w:lang w:val="es-ES"/>
        </w:rPr>
        <w:t>6</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Manuel Alexis Guerra Morales, </w:t>
      </w:r>
      <w:r w:rsidR="00E30DFC" w:rsidRPr="006D4BF1">
        <w:rPr>
          <w:rFonts w:asciiTheme="majorHAnsi" w:hAnsiTheme="majorHAnsi"/>
          <w:sz w:val="20"/>
          <w:szCs w:val="20"/>
          <w:lang w:val="es-ES"/>
        </w:rPr>
        <w:t>5</w:t>
      </w:r>
      <w:r w:rsidR="0070240F" w:rsidRPr="006D4BF1">
        <w:rPr>
          <w:rFonts w:asciiTheme="majorHAnsi" w:hAnsiTheme="majorHAnsi"/>
          <w:sz w:val="20"/>
          <w:szCs w:val="20"/>
          <w:lang w:val="es-ES"/>
        </w:rPr>
        <w:t>7</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Félix Augusto Vásquez Medina, </w:t>
      </w:r>
      <w:r w:rsidR="00E30DFC" w:rsidRPr="006D4BF1">
        <w:rPr>
          <w:rFonts w:asciiTheme="majorHAnsi" w:hAnsiTheme="majorHAnsi"/>
          <w:sz w:val="20"/>
          <w:szCs w:val="20"/>
          <w:lang w:val="es-ES"/>
        </w:rPr>
        <w:t>5</w:t>
      </w:r>
      <w:r w:rsidR="0070240F" w:rsidRPr="006D4BF1">
        <w:rPr>
          <w:rFonts w:asciiTheme="majorHAnsi" w:hAnsiTheme="majorHAnsi"/>
          <w:sz w:val="20"/>
          <w:szCs w:val="20"/>
          <w:lang w:val="es-ES"/>
        </w:rPr>
        <w:t>8</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Juan José Arza Aguilera, </w:t>
      </w:r>
      <w:r w:rsidR="0070240F" w:rsidRPr="006D4BF1">
        <w:rPr>
          <w:rFonts w:asciiTheme="majorHAnsi" w:hAnsiTheme="majorHAnsi"/>
          <w:sz w:val="20"/>
          <w:szCs w:val="20"/>
          <w:lang w:val="es-ES"/>
        </w:rPr>
        <w:t>59</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Jorge Bonilla Arboleda, </w:t>
      </w:r>
      <w:r w:rsidR="00E30DFC" w:rsidRPr="006D4BF1">
        <w:rPr>
          <w:rFonts w:asciiTheme="majorHAnsi" w:hAnsiTheme="majorHAnsi"/>
          <w:sz w:val="20"/>
          <w:szCs w:val="20"/>
          <w:lang w:val="es-ES"/>
        </w:rPr>
        <w:t>6</w:t>
      </w:r>
      <w:r w:rsidR="0070240F" w:rsidRPr="006D4BF1">
        <w:rPr>
          <w:rFonts w:asciiTheme="majorHAnsi" w:hAnsiTheme="majorHAnsi"/>
          <w:sz w:val="20"/>
          <w:szCs w:val="20"/>
          <w:lang w:val="es-ES"/>
        </w:rPr>
        <w:t>0</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Francisco Concepción Espinoza, </w:t>
      </w:r>
      <w:r w:rsidR="00E30DFC" w:rsidRPr="006D4BF1">
        <w:rPr>
          <w:rFonts w:asciiTheme="majorHAnsi" w:hAnsiTheme="majorHAnsi"/>
          <w:sz w:val="20"/>
          <w:szCs w:val="20"/>
          <w:lang w:val="es-ES"/>
        </w:rPr>
        <w:t>6</w:t>
      </w:r>
      <w:r w:rsidR="0070240F" w:rsidRPr="006D4BF1">
        <w:rPr>
          <w:rFonts w:asciiTheme="majorHAnsi" w:hAnsiTheme="majorHAnsi"/>
          <w:sz w:val="20"/>
          <w:szCs w:val="20"/>
          <w:lang w:val="es-ES"/>
        </w:rPr>
        <w:t>1</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Deoclides Julio, </w:t>
      </w:r>
      <w:r w:rsidR="00E30DFC" w:rsidRPr="006D4BF1">
        <w:rPr>
          <w:rFonts w:asciiTheme="majorHAnsi" w:hAnsiTheme="majorHAnsi"/>
          <w:sz w:val="20"/>
          <w:szCs w:val="20"/>
          <w:lang w:val="es-ES"/>
        </w:rPr>
        <w:t>6</w:t>
      </w:r>
      <w:r w:rsidR="0070240F" w:rsidRPr="006D4BF1">
        <w:rPr>
          <w:rFonts w:asciiTheme="majorHAnsi" w:hAnsiTheme="majorHAnsi"/>
          <w:sz w:val="20"/>
          <w:szCs w:val="20"/>
          <w:lang w:val="es-ES"/>
        </w:rPr>
        <w:t>2</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Feliciano Muñoz Vega, </w:t>
      </w:r>
      <w:r w:rsidR="00E30DFC" w:rsidRPr="006D4BF1">
        <w:rPr>
          <w:rFonts w:asciiTheme="majorHAnsi" w:hAnsiTheme="majorHAnsi"/>
          <w:sz w:val="20"/>
          <w:szCs w:val="20"/>
          <w:lang w:val="es-ES"/>
        </w:rPr>
        <w:t>6</w:t>
      </w:r>
      <w:r w:rsidR="0070240F" w:rsidRPr="006D4BF1">
        <w:rPr>
          <w:rFonts w:asciiTheme="majorHAnsi" w:hAnsiTheme="majorHAnsi"/>
          <w:sz w:val="20"/>
          <w:szCs w:val="20"/>
          <w:lang w:val="es-ES"/>
        </w:rPr>
        <w:t>3</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Eric Alberto Murillo Echevers, </w:t>
      </w:r>
      <w:r w:rsidR="00E30DFC" w:rsidRPr="006D4BF1">
        <w:rPr>
          <w:rFonts w:asciiTheme="majorHAnsi" w:hAnsiTheme="majorHAnsi"/>
          <w:sz w:val="20"/>
          <w:szCs w:val="20"/>
          <w:lang w:val="es-ES"/>
        </w:rPr>
        <w:t>6</w:t>
      </w:r>
      <w:r w:rsidR="0070240F" w:rsidRPr="006D4BF1">
        <w:rPr>
          <w:rFonts w:asciiTheme="majorHAnsi" w:hAnsiTheme="majorHAnsi"/>
          <w:sz w:val="20"/>
          <w:szCs w:val="20"/>
          <w:lang w:val="es-ES"/>
        </w:rPr>
        <w:t>4</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Ismael Vicente Ortega Caballeros, </w:t>
      </w:r>
      <w:r w:rsidR="00E30DFC" w:rsidRPr="006D4BF1">
        <w:rPr>
          <w:rFonts w:asciiTheme="majorHAnsi" w:hAnsiTheme="majorHAnsi"/>
          <w:sz w:val="20"/>
          <w:szCs w:val="20"/>
          <w:lang w:val="es-ES"/>
        </w:rPr>
        <w:t>6</w:t>
      </w:r>
      <w:r w:rsidR="0070240F" w:rsidRPr="006D4BF1">
        <w:rPr>
          <w:rFonts w:asciiTheme="majorHAnsi" w:hAnsiTheme="majorHAnsi"/>
          <w:sz w:val="20"/>
          <w:szCs w:val="20"/>
          <w:lang w:val="es-ES"/>
        </w:rPr>
        <w:t>5</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Edgardo Estanislao Sandoval Alba, </w:t>
      </w:r>
      <w:r w:rsidR="00E30DFC" w:rsidRPr="006D4BF1">
        <w:rPr>
          <w:rFonts w:asciiTheme="majorHAnsi" w:hAnsiTheme="majorHAnsi"/>
          <w:sz w:val="20"/>
          <w:szCs w:val="20"/>
          <w:lang w:val="es-ES"/>
        </w:rPr>
        <w:t>6</w:t>
      </w:r>
      <w:r w:rsidR="0070240F" w:rsidRPr="006D4BF1">
        <w:rPr>
          <w:rFonts w:asciiTheme="majorHAnsi" w:hAnsiTheme="majorHAnsi"/>
          <w:sz w:val="20"/>
          <w:szCs w:val="20"/>
          <w:lang w:val="es-ES"/>
        </w:rPr>
        <w:t>6</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León Tejada González, </w:t>
      </w:r>
      <w:r w:rsidR="00E30DFC" w:rsidRPr="006D4BF1">
        <w:rPr>
          <w:rFonts w:asciiTheme="majorHAnsi" w:hAnsiTheme="majorHAnsi"/>
          <w:sz w:val="20"/>
          <w:szCs w:val="20"/>
          <w:lang w:val="es-ES"/>
        </w:rPr>
        <w:t>6</w:t>
      </w:r>
      <w:r w:rsidR="0070240F" w:rsidRPr="006D4BF1">
        <w:rPr>
          <w:rFonts w:asciiTheme="majorHAnsi" w:hAnsiTheme="majorHAnsi"/>
          <w:sz w:val="20"/>
          <w:szCs w:val="20"/>
          <w:lang w:val="es-ES"/>
        </w:rPr>
        <w:t>7</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 xml:space="preserve">Nicasio Lorenzo Tuñon, </w:t>
      </w:r>
      <w:r w:rsidR="00E30DFC" w:rsidRPr="006D4BF1">
        <w:rPr>
          <w:rFonts w:asciiTheme="majorHAnsi" w:hAnsiTheme="majorHAnsi"/>
          <w:sz w:val="20"/>
          <w:szCs w:val="20"/>
          <w:lang w:val="es-ES"/>
        </w:rPr>
        <w:t>6</w:t>
      </w:r>
      <w:r w:rsidR="0070240F" w:rsidRPr="006D4BF1">
        <w:rPr>
          <w:rFonts w:asciiTheme="majorHAnsi" w:hAnsiTheme="majorHAnsi"/>
          <w:sz w:val="20"/>
          <w:szCs w:val="20"/>
          <w:lang w:val="es-ES"/>
        </w:rPr>
        <w:t>8</w:t>
      </w:r>
      <w:r w:rsidR="00E30DFC" w:rsidRPr="006D4BF1">
        <w:rPr>
          <w:rFonts w:asciiTheme="majorHAnsi" w:hAnsiTheme="majorHAnsi"/>
          <w:sz w:val="20"/>
          <w:szCs w:val="20"/>
          <w:lang w:val="es-ES"/>
        </w:rPr>
        <w:t xml:space="preserve">) </w:t>
      </w:r>
      <w:r w:rsidR="00A3305B" w:rsidRPr="006D4BF1">
        <w:rPr>
          <w:rFonts w:asciiTheme="majorHAnsi" w:hAnsiTheme="majorHAnsi"/>
          <w:sz w:val="20"/>
          <w:szCs w:val="20"/>
          <w:lang w:val="es-ES"/>
        </w:rPr>
        <w:t>Moises Giroldi Ve</w:t>
      </w:r>
      <w:r w:rsidR="00BE5F88">
        <w:rPr>
          <w:rFonts w:asciiTheme="majorHAnsi" w:hAnsiTheme="majorHAnsi"/>
          <w:sz w:val="20"/>
          <w:szCs w:val="20"/>
          <w:lang w:val="es-ES"/>
        </w:rPr>
        <w:t>g</w:t>
      </w:r>
      <w:r w:rsidR="00A3305B" w:rsidRPr="006D4BF1">
        <w:rPr>
          <w:rFonts w:asciiTheme="majorHAnsi" w:hAnsiTheme="majorHAnsi"/>
          <w:sz w:val="20"/>
          <w:szCs w:val="20"/>
          <w:lang w:val="es-ES"/>
        </w:rPr>
        <w:t>a, 69)</w:t>
      </w:r>
      <w:r w:rsidR="00E348E1" w:rsidRPr="006D4BF1">
        <w:rPr>
          <w:rFonts w:asciiTheme="majorHAnsi" w:hAnsiTheme="majorHAnsi"/>
          <w:sz w:val="20"/>
          <w:szCs w:val="20"/>
          <w:lang w:val="es-ES"/>
        </w:rPr>
        <w:t xml:space="preserve"> Jerónimo Díaz Lopez</w:t>
      </w:r>
      <w:r w:rsidR="00E30DFC" w:rsidRPr="006D4BF1">
        <w:rPr>
          <w:rFonts w:asciiTheme="majorHAnsi" w:hAnsiTheme="majorHAnsi"/>
          <w:sz w:val="20"/>
          <w:szCs w:val="20"/>
          <w:lang w:val="es-ES"/>
        </w:rPr>
        <w:t>; y</w:t>
      </w:r>
      <w:r w:rsidR="00A01D5D" w:rsidRPr="006D4BF1">
        <w:rPr>
          <w:rFonts w:asciiTheme="majorHAnsi" w:hAnsiTheme="majorHAnsi"/>
          <w:sz w:val="20"/>
          <w:szCs w:val="20"/>
          <w:lang w:val="es-ES"/>
        </w:rPr>
        <w:t xml:space="preserve"> 70)</w:t>
      </w:r>
      <w:r w:rsidR="00E30DFC" w:rsidRPr="006D4BF1">
        <w:rPr>
          <w:rFonts w:asciiTheme="majorHAnsi" w:hAnsiTheme="majorHAnsi"/>
          <w:sz w:val="20"/>
          <w:szCs w:val="20"/>
          <w:lang w:val="es-ES"/>
        </w:rPr>
        <w:t xml:space="preserve"> la </w:t>
      </w:r>
      <w:r w:rsidR="00E73814">
        <w:rPr>
          <w:rFonts w:asciiTheme="majorHAnsi" w:hAnsiTheme="majorHAnsi"/>
          <w:sz w:val="20"/>
          <w:szCs w:val="20"/>
          <w:lang w:val="es-ES"/>
        </w:rPr>
        <w:t>menor de edad</w:t>
      </w:r>
      <w:r w:rsidR="00E30DFC" w:rsidRPr="006D4BF1">
        <w:rPr>
          <w:rFonts w:asciiTheme="majorHAnsi" w:hAnsiTheme="majorHAnsi"/>
          <w:sz w:val="20"/>
          <w:szCs w:val="20"/>
          <w:lang w:val="es-ES"/>
        </w:rPr>
        <w:t xml:space="preserve"> </w:t>
      </w:r>
      <w:r w:rsidR="00E348E1" w:rsidRPr="006D4BF1">
        <w:rPr>
          <w:rFonts w:asciiTheme="majorHAnsi" w:hAnsiTheme="majorHAnsi"/>
          <w:sz w:val="20"/>
          <w:szCs w:val="20"/>
          <w:lang w:val="es-ES"/>
        </w:rPr>
        <w:t>Marisol del Carmen Aguilar Cortés, de 16 años</w:t>
      </w:r>
      <w:r w:rsidR="00E73814">
        <w:rPr>
          <w:rFonts w:asciiTheme="majorHAnsi" w:hAnsiTheme="majorHAnsi"/>
          <w:sz w:val="20"/>
          <w:szCs w:val="20"/>
          <w:lang w:val="es-ES"/>
        </w:rPr>
        <w:t>.</w:t>
      </w:r>
    </w:p>
    <w:p w:rsidR="003D136A" w:rsidRPr="006D4BF1" w:rsidRDefault="003D136A" w:rsidP="00F941D3">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FA7D18" w:rsidRDefault="007E2EBE"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Respecto del</w:t>
      </w:r>
      <w:r w:rsidR="004F671F" w:rsidRPr="006D4BF1">
        <w:rPr>
          <w:rFonts w:asciiTheme="majorHAnsi" w:eastAsia="Times New Roman" w:hAnsiTheme="majorHAnsi"/>
          <w:bCs/>
          <w:kern w:val="36"/>
          <w:sz w:val="20"/>
          <w:szCs w:val="20"/>
          <w:bdr w:val="none" w:sz="0" w:space="0" w:color="auto"/>
          <w:lang w:val="es-AR"/>
        </w:rPr>
        <w:t xml:space="preserve"> agotamiento de los recursos de jurisdicción interna, los</w:t>
      </w:r>
      <w:r w:rsidR="00886257" w:rsidRPr="006D4BF1">
        <w:rPr>
          <w:rFonts w:asciiTheme="majorHAnsi" w:eastAsia="Times New Roman" w:hAnsiTheme="majorHAnsi"/>
          <w:bCs/>
          <w:kern w:val="36"/>
          <w:sz w:val="20"/>
          <w:szCs w:val="20"/>
          <w:bdr w:val="none" w:sz="0" w:space="0" w:color="auto"/>
          <w:lang w:val="es-AR"/>
        </w:rPr>
        <w:t xml:space="preserve"> peticionarios señalan que </w:t>
      </w:r>
      <w:r w:rsidRPr="006D4BF1">
        <w:rPr>
          <w:rFonts w:asciiTheme="majorHAnsi" w:eastAsia="Times New Roman" w:hAnsiTheme="majorHAnsi"/>
          <w:bCs/>
          <w:kern w:val="36"/>
          <w:sz w:val="20"/>
          <w:szCs w:val="20"/>
          <w:bdr w:val="none" w:sz="0" w:space="0" w:color="auto"/>
          <w:lang w:val="es-AR"/>
        </w:rPr>
        <w:t xml:space="preserve">en </w:t>
      </w:r>
      <w:r w:rsidR="00896B60" w:rsidRPr="006D4BF1">
        <w:rPr>
          <w:rFonts w:asciiTheme="majorHAnsi" w:eastAsia="Times New Roman" w:hAnsiTheme="majorHAnsi"/>
          <w:bCs/>
          <w:kern w:val="36"/>
          <w:sz w:val="20"/>
          <w:szCs w:val="20"/>
          <w:bdr w:val="none" w:sz="0" w:space="0" w:color="auto"/>
          <w:lang w:val="es-AR"/>
        </w:rPr>
        <w:t>103</w:t>
      </w:r>
      <w:r w:rsidR="00BE34F8" w:rsidRPr="006D4BF1">
        <w:rPr>
          <w:rFonts w:asciiTheme="majorHAnsi" w:eastAsia="Times New Roman" w:hAnsiTheme="majorHAnsi"/>
          <w:bCs/>
          <w:kern w:val="36"/>
          <w:sz w:val="20"/>
          <w:szCs w:val="20"/>
          <w:bdr w:val="none" w:sz="0" w:space="0" w:color="auto"/>
          <w:lang w:val="es-AR"/>
        </w:rPr>
        <w:t xml:space="preserve"> de</w:t>
      </w:r>
      <w:r w:rsidR="004F671F" w:rsidRPr="006D4BF1">
        <w:rPr>
          <w:rFonts w:asciiTheme="majorHAnsi" w:eastAsia="Times New Roman" w:hAnsiTheme="majorHAnsi"/>
          <w:bCs/>
          <w:kern w:val="36"/>
          <w:sz w:val="20"/>
          <w:szCs w:val="20"/>
          <w:bdr w:val="none" w:sz="0" w:space="0" w:color="auto"/>
          <w:lang w:val="es-AR"/>
        </w:rPr>
        <w:t xml:space="preserve"> los 1</w:t>
      </w:r>
      <w:r w:rsidR="005D19F4" w:rsidRPr="006D4BF1">
        <w:rPr>
          <w:rFonts w:asciiTheme="majorHAnsi" w:eastAsia="Times New Roman" w:hAnsiTheme="majorHAnsi"/>
          <w:bCs/>
          <w:kern w:val="36"/>
          <w:sz w:val="20"/>
          <w:szCs w:val="20"/>
          <w:bdr w:val="none" w:sz="0" w:space="0" w:color="auto"/>
          <w:lang w:val="es-AR"/>
        </w:rPr>
        <w:t>09</w:t>
      </w:r>
      <w:r w:rsidR="004F671F" w:rsidRPr="006D4BF1">
        <w:rPr>
          <w:rFonts w:asciiTheme="majorHAnsi" w:eastAsia="Times New Roman" w:hAnsiTheme="majorHAnsi"/>
          <w:bCs/>
          <w:kern w:val="36"/>
          <w:sz w:val="20"/>
          <w:szCs w:val="20"/>
          <w:bdr w:val="none" w:sz="0" w:space="0" w:color="auto"/>
          <w:lang w:val="es-AR"/>
        </w:rPr>
        <w:t xml:space="preserve"> casos</w:t>
      </w:r>
      <w:r w:rsidRPr="006D4BF1">
        <w:rPr>
          <w:rStyle w:val="FootnoteReference"/>
          <w:rFonts w:asciiTheme="majorHAnsi" w:eastAsia="Times New Roman" w:hAnsiTheme="majorHAnsi"/>
          <w:bCs/>
          <w:kern w:val="36"/>
          <w:sz w:val="20"/>
          <w:szCs w:val="20"/>
          <w:bdr w:val="none" w:sz="0" w:space="0" w:color="auto"/>
          <w:lang w:val="es-AR"/>
        </w:rPr>
        <w:footnoteReference w:id="5"/>
      </w:r>
      <w:r w:rsidRPr="006D4BF1">
        <w:rPr>
          <w:rFonts w:asciiTheme="majorHAnsi" w:eastAsia="Times New Roman" w:hAnsiTheme="majorHAnsi"/>
          <w:bCs/>
          <w:kern w:val="36"/>
          <w:sz w:val="20"/>
          <w:szCs w:val="20"/>
          <w:bdr w:val="none" w:sz="0" w:space="0" w:color="auto"/>
          <w:lang w:val="es-AR"/>
        </w:rPr>
        <w:t xml:space="preserve"> los hechos</w:t>
      </w:r>
      <w:r w:rsidR="004F671F" w:rsidRPr="006D4BF1">
        <w:rPr>
          <w:rFonts w:asciiTheme="majorHAnsi" w:eastAsia="Times New Roman" w:hAnsiTheme="majorHAnsi"/>
          <w:bCs/>
          <w:kern w:val="36"/>
          <w:sz w:val="20"/>
          <w:szCs w:val="20"/>
          <w:bdr w:val="none" w:sz="0" w:space="0" w:color="auto"/>
          <w:lang w:val="es-AR"/>
        </w:rPr>
        <w:t xml:space="preserve"> </w:t>
      </w:r>
      <w:r w:rsidRPr="006D4BF1">
        <w:rPr>
          <w:rFonts w:asciiTheme="majorHAnsi" w:eastAsia="Times New Roman" w:hAnsiTheme="majorHAnsi"/>
          <w:bCs/>
          <w:kern w:val="36"/>
          <w:sz w:val="20"/>
          <w:szCs w:val="20"/>
          <w:bdr w:val="none" w:sz="0" w:space="0" w:color="auto"/>
          <w:lang w:val="es-ES"/>
        </w:rPr>
        <w:t>fueron denunciados ante las autoridades correspondientes</w:t>
      </w:r>
      <w:r w:rsidR="00051E4F" w:rsidRPr="006D4BF1">
        <w:rPr>
          <w:rFonts w:asciiTheme="majorHAnsi" w:eastAsia="Times New Roman" w:hAnsiTheme="majorHAnsi"/>
          <w:bCs/>
          <w:kern w:val="36"/>
          <w:sz w:val="20"/>
          <w:szCs w:val="20"/>
          <w:bdr w:val="none" w:sz="0" w:space="0" w:color="auto"/>
          <w:lang w:val="es-ES"/>
        </w:rPr>
        <w:t>,</w:t>
      </w:r>
      <w:r w:rsidRPr="006D4BF1">
        <w:rPr>
          <w:rFonts w:asciiTheme="majorHAnsi" w:eastAsia="Times New Roman" w:hAnsiTheme="majorHAnsi"/>
          <w:bCs/>
          <w:kern w:val="36"/>
          <w:sz w:val="20"/>
          <w:szCs w:val="20"/>
          <w:bdr w:val="none" w:sz="0" w:space="0" w:color="auto"/>
          <w:lang w:val="es-ES"/>
        </w:rPr>
        <w:t xml:space="preserve"> entre </w:t>
      </w:r>
      <w:r w:rsidR="004F671F" w:rsidRPr="006D4BF1">
        <w:rPr>
          <w:rFonts w:asciiTheme="majorHAnsi" w:eastAsia="Times New Roman" w:hAnsiTheme="majorHAnsi"/>
          <w:bCs/>
          <w:kern w:val="36"/>
          <w:sz w:val="20"/>
          <w:szCs w:val="20"/>
          <w:bdr w:val="none" w:sz="0" w:space="0" w:color="auto"/>
          <w:lang w:val="es-AR"/>
        </w:rPr>
        <w:lastRenderedPageBreak/>
        <w:t>1970 y 2003</w:t>
      </w:r>
      <w:r w:rsidR="008E2996" w:rsidRPr="006D4BF1">
        <w:rPr>
          <w:rFonts w:asciiTheme="majorHAnsi" w:eastAsia="Times New Roman" w:hAnsiTheme="majorHAnsi"/>
          <w:bCs/>
          <w:kern w:val="36"/>
          <w:sz w:val="20"/>
          <w:szCs w:val="20"/>
          <w:bdr w:val="none" w:sz="0" w:space="0" w:color="auto"/>
          <w:lang w:val="es-AR"/>
        </w:rPr>
        <w:t xml:space="preserve">. </w:t>
      </w:r>
      <w:r w:rsidR="00FA7D18" w:rsidRPr="006D4BF1">
        <w:rPr>
          <w:rFonts w:asciiTheme="majorHAnsi" w:eastAsia="Times New Roman" w:hAnsiTheme="majorHAnsi"/>
          <w:bCs/>
          <w:kern w:val="36"/>
          <w:sz w:val="20"/>
          <w:szCs w:val="20"/>
          <w:bdr w:val="none" w:sz="0" w:space="0" w:color="auto"/>
          <w:lang w:val="es-AR"/>
        </w:rPr>
        <w:t>Indican que</w:t>
      </w:r>
      <w:r w:rsidR="00CE17D4" w:rsidRPr="006D4BF1">
        <w:rPr>
          <w:rFonts w:asciiTheme="majorHAnsi" w:eastAsia="Times New Roman" w:hAnsiTheme="majorHAnsi"/>
          <w:bCs/>
          <w:kern w:val="36"/>
          <w:sz w:val="20"/>
          <w:szCs w:val="20"/>
          <w:bdr w:val="none" w:sz="0" w:space="0" w:color="auto"/>
          <w:lang w:val="es-AR"/>
        </w:rPr>
        <w:t xml:space="preserve"> la mayoría de los casos sigue en etapa de instrucción preliminar,</w:t>
      </w:r>
      <w:r w:rsidR="00051E4F" w:rsidRPr="006D4BF1">
        <w:rPr>
          <w:rFonts w:asciiTheme="majorHAnsi" w:eastAsia="Times New Roman" w:hAnsiTheme="majorHAnsi"/>
          <w:bCs/>
          <w:kern w:val="36"/>
          <w:sz w:val="20"/>
          <w:szCs w:val="20"/>
          <w:bdr w:val="none" w:sz="0" w:space="0" w:color="auto"/>
          <w:lang w:val="es-AR"/>
        </w:rPr>
        <w:t xml:space="preserve"> </w:t>
      </w:r>
      <w:r w:rsidR="004455D9" w:rsidRPr="006D4BF1">
        <w:rPr>
          <w:rFonts w:asciiTheme="majorHAnsi" w:eastAsia="Times New Roman" w:hAnsiTheme="majorHAnsi"/>
          <w:bCs/>
          <w:kern w:val="36"/>
          <w:sz w:val="20"/>
          <w:szCs w:val="20"/>
          <w:bdr w:val="none" w:sz="0" w:space="0" w:color="auto"/>
          <w:lang w:val="es-AR"/>
        </w:rPr>
        <w:t>algunos desde hace más de 36 años</w:t>
      </w:r>
      <w:r w:rsidR="001B0408">
        <w:rPr>
          <w:rFonts w:asciiTheme="majorHAnsi" w:eastAsia="Times New Roman" w:hAnsiTheme="majorHAnsi"/>
          <w:bCs/>
          <w:kern w:val="36"/>
          <w:sz w:val="20"/>
          <w:szCs w:val="20"/>
          <w:bdr w:val="none" w:sz="0" w:space="0" w:color="auto"/>
          <w:lang w:val="es-AR"/>
        </w:rPr>
        <w:t xml:space="preserve"> al momento de presentar la petición</w:t>
      </w:r>
      <w:r w:rsidR="00FA7D18" w:rsidRPr="006D4BF1">
        <w:rPr>
          <w:rFonts w:asciiTheme="majorHAnsi" w:eastAsia="Times New Roman" w:hAnsiTheme="majorHAnsi"/>
          <w:bCs/>
          <w:kern w:val="36"/>
          <w:sz w:val="20"/>
          <w:szCs w:val="20"/>
          <w:bdr w:val="none" w:sz="0" w:space="0" w:color="auto"/>
          <w:lang w:val="es-AR"/>
        </w:rPr>
        <w:t>, o hubo sobreseimiento de los imputados</w:t>
      </w:r>
      <w:r w:rsidR="003314DB">
        <w:rPr>
          <w:rFonts w:asciiTheme="majorHAnsi" w:eastAsia="Times New Roman" w:hAnsiTheme="majorHAnsi"/>
          <w:bCs/>
          <w:kern w:val="36"/>
          <w:sz w:val="20"/>
          <w:szCs w:val="20"/>
          <w:bdr w:val="none" w:sz="0" w:space="0" w:color="auto"/>
          <w:lang w:val="es-AR"/>
        </w:rPr>
        <w:t>.</w:t>
      </w:r>
    </w:p>
    <w:p w:rsidR="003D136A" w:rsidRPr="003314DB" w:rsidRDefault="003D136A" w:rsidP="003D136A">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A869AA" w:rsidRPr="006D4BF1" w:rsidRDefault="003F3FC5"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Afirman que</w:t>
      </w:r>
      <w:r w:rsidR="00A869AA" w:rsidRPr="006D4BF1">
        <w:rPr>
          <w:rFonts w:asciiTheme="majorHAnsi" w:eastAsia="Times New Roman" w:hAnsiTheme="majorHAnsi"/>
          <w:bCs/>
          <w:kern w:val="36"/>
          <w:sz w:val="20"/>
          <w:szCs w:val="20"/>
          <w:bdr w:val="none" w:sz="0" w:space="0" w:color="auto"/>
          <w:lang w:val="es-AR"/>
        </w:rPr>
        <w:t>,</w:t>
      </w:r>
      <w:r w:rsidRPr="006D4BF1">
        <w:rPr>
          <w:rFonts w:asciiTheme="majorHAnsi" w:eastAsia="Times New Roman" w:hAnsiTheme="majorHAnsi"/>
          <w:bCs/>
          <w:kern w:val="36"/>
          <w:sz w:val="20"/>
          <w:szCs w:val="20"/>
          <w:bdr w:val="none" w:sz="0" w:space="0" w:color="auto"/>
          <w:lang w:val="es-AR"/>
        </w:rPr>
        <w:t xml:space="preserve"> </w:t>
      </w:r>
      <w:r w:rsidR="00A7769A" w:rsidRPr="006D4BF1">
        <w:rPr>
          <w:rFonts w:asciiTheme="majorHAnsi" w:eastAsia="Times New Roman" w:hAnsiTheme="majorHAnsi"/>
          <w:bCs/>
          <w:kern w:val="36"/>
          <w:sz w:val="20"/>
          <w:szCs w:val="20"/>
          <w:bdr w:val="none" w:sz="0" w:space="0" w:color="auto"/>
          <w:lang w:val="es-AR"/>
        </w:rPr>
        <w:t xml:space="preserve">de la totalidad de los procesos mencionados, </w:t>
      </w:r>
      <w:r w:rsidRPr="006D4BF1">
        <w:rPr>
          <w:rFonts w:asciiTheme="majorHAnsi" w:eastAsia="Times New Roman" w:hAnsiTheme="majorHAnsi"/>
          <w:bCs/>
          <w:kern w:val="36"/>
          <w:sz w:val="20"/>
          <w:szCs w:val="20"/>
          <w:bdr w:val="none" w:sz="0" w:space="0" w:color="auto"/>
          <w:lang w:val="es-AR"/>
        </w:rPr>
        <w:t xml:space="preserve">solamente </w:t>
      </w:r>
      <w:r w:rsidR="00D8282F" w:rsidRPr="006D4BF1">
        <w:rPr>
          <w:rFonts w:asciiTheme="majorHAnsi" w:eastAsia="Times New Roman" w:hAnsiTheme="majorHAnsi"/>
          <w:bCs/>
          <w:kern w:val="36"/>
          <w:sz w:val="20"/>
          <w:szCs w:val="20"/>
          <w:bdr w:val="none" w:sz="0" w:space="0" w:color="auto"/>
          <w:lang w:val="es-AR"/>
        </w:rPr>
        <w:t>se dictaron 6 sentencias condenatorias, si bien</w:t>
      </w:r>
      <w:r w:rsidR="00A869AA" w:rsidRPr="006D4BF1">
        <w:rPr>
          <w:rFonts w:asciiTheme="majorHAnsi" w:eastAsia="Times New Roman" w:hAnsiTheme="majorHAnsi"/>
          <w:bCs/>
          <w:kern w:val="36"/>
          <w:sz w:val="20"/>
          <w:szCs w:val="20"/>
          <w:bdr w:val="none" w:sz="0" w:space="0" w:color="auto"/>
          <w:lang w:val="es-AR"/>
        </w:rPr>
        <w:t xml:space="preserve"> estas se hacen extensivas a 14 de los casos presentados por los peticionarios, ya que a través de una de ellas se habría condenado a los responsables de la ejecución extrajudicial de 9 presuntas víctimas identificadas por los peticionarios</w:t>
      </w:r>
      <w:r w:rsidR="0057171D" w:rsidRPr="006D4BF1">
        <w:rPr>
          <w:rStyle w:val="FootnoteReference"/>
          <w:rFonts w:asciiTheme="majorHAnsi" w:eastAsia="Times New Roman" w:hAnsiTheme="majorHAnsi"/>
          <w:bCs/>
          <w:kern w:val="36"/>
          <w:sz w:val="20"/>
          <w:szCs w:val="20"/>
          <w:bdr w:val="none" w:sz="0" w:space="0" w:color="auto"/>
          <w:lang w:val="es-ES"/>
        </w:rPr>
        <w:footnoteReference w:id="6"/>
      </w:r>
      <w:r w:rsidR="00A869AA" w:rsidRPr="006D4BF1">
        <w:rPr>
          <w:rFonts w:asciiTheme="majorHAnsi" w:eastAsia="Times New Roman" w:hAnsiTheme="majorHAnsi"/>
          <w:bCs/>
          <w:kern w:val="36"/>
          <w:sz w:val="20"/>
          <w:szCs w:val="20"/>
          <w:bdr w:val="none" w:sz="0" w:space="0" w:color="auto"/>
          <w:lang w:val="es-AR"/>
        </w:rPr>
        <w:t>.</w:t>
      </w:r>
      <w:r w:rsidR="00A869AA" w:rsidRPr="006D4BF1">
        <w:rPr>
          <w:rFonts w:asciiTheme="majorHAnsi" w:eastAsia="Times New Roman" w:hAnsiTheme="majorHAnsi"/>
          <w:bCs/>
          <w:kern w:val="36"/>
          <w:sz w:val="20"/>
          <w:szCs w:val="20"/>
          <w:bdr w:val="none" w:sz="0" w:space="0" w:color="auto"/>
          <w:lang w:val="es-ES"/>
        </w:rPr>
        <w:t xml:space="preserve"> De las restantes 5 </w:t>
      </w:r>
      <w:r w:rsidR="00FF7565">
        <w:rPr>
          <w:rFonts w:asciiTheme="majorHAnsi" w:eastAsia="Times New Roman" w:hAnsiTheme="majorHAnsi"/>
          <w:bCs/>
          <w:kern w:val="36"/>
          <w:sz w:val="20"/>
          <w:szCs w:val="20"/>
          <w:bdr w:val="none" w:sz="0" w:space="0" w:color="auto"/>
          <w:lang w:val="es-ES"/>
        </w:rPr>
        <w:t>sentencias condenatorias</w:t>
      </w:r>
      <w:r w:rsidR="00A869AA" w:rsidRPr="006D4BF1">
        <w:rPr>
          <w:rFonts w:asciiTheme="majorHAnsi" w:eastAsia="Times New Roman" w:hAnsiTheme="majorHAnsi"/>
          <w:bCs/>
          <w:kern w:val="36"/>
          <w:sz w:val="20"/>
          <w:szCs w:val="20"/>
          <w:bdr w:val="none" w:sz="0" w:space="0" w:color="auto"/>
          <w:lang w:val="es-ES"/>
        </w:rPr>
        <w:t>, dos fueron dictadas en rebeldía</w:t>
      </w:r>
      <w:r w:rsidR="00A869AA" w:rsidRPr="006D4BF1">
        <w:rPr>
          <w:rStyle w:val="FootnoteReference"/>
          <w:rFonts w:asciiTheme="majorHAnsi" w:eastAsia="Times New Roman" w:hAnsiTheme="majorHAnsi"/>
          <w:bCs/>
          <w:kern w:val="36"/>
          <w:sz w:val="20"/>
          <w:szCs w:val="20"/>
          <w:bdr w:val="none" w:sz="0" w:space="0" w:color="auto"/>
          <w:lang w:val="es-ES"/>
        </w:rPr>
        <w:footnoteReference w:id="7"/>
      </w:r>
      <w:r w:rsidR="00A869AA" w:rsidRPr="006D4BF1">
        <w:rPr>
          <w:rFonts w:asciiTheme="majorHAnsi" w:eastAsia="Times New Roman" w:hAnsiTheme="majorHAnsi"/>
          <w:bCs/>
          <w:kern w:val="36"/>
          <w:sz w:val="20"/>
          <w:szCs w:val="20"/>
          <w:bdr w:val="none" w:sz="0" w:space="0" w:color="auto"/>
          <w:lang w:val="es-ES"/>
        </w:rPr>
        <w:t>.</w:t>
      </w:r>
    </w:p>
    <w:p w:rsidR="006735BF" w:rsidRPr="006D4BF1" w:rsidRDefault="006735BF" w:rsidP="0057171D">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1A018C" w:rsidRPr="00E81BC2" w:rsidRDefault="001A018C"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Respecto a los 89 casos</w:t>
      </w:r>
      <w:r w:rsidR="00E76303" w:rsidRPr="006D4BF1">
        <w:rPr>
          <w:rFonts w:asciiTheme="majorHAnsi" w:eastAsia="Times New Roman" w:hAnsiTheme="majorHAnsi"/>
          <w:bCs/>
          <w:kern w:val="36"/>
          <w:sz w:val="20"/>
          <w:szCs w:val="20"/>
          <w:bdr w:val="none" w:sz="0" w:space="0" w:color="auto"/>
          <w:lang w:val="es-AR"/>
        </w:rPr>
        <w:t xml:space="preserve"> restantes</w:t>
      </w:r>
      <w:r w:rsidRPr="006D4BF1">
        <w:rPr>
          <w:rFonts w:asciiTheme="majorHAnsi" w:eastAsia="Times New Roman" w:hAnsiTheme="majorHAnsi"/>
          <w:bCs/>
          <w:kern w:val="36"/>
          <w:sz w:val="20"/>
          <w:szCs w:val="20"/>
          <w:bdr w:val="none" w:sz="0" w:space="0" w:color="auto"/>
          <w:lang w:val="es-AR"/>
        </w:rPr>
        <w:t xml:space="preserve">, los peticionarios </w:t>
      </w:r>
      <w:r w:rsidR="00E76303" w:rsidRPr="006D4BF1">
        <w:rPr>
          <w:rFonts w:asciiTheme="majorHAnsi" w:eastAsia="Times New Roman" w:hAnsiTheme="majorHAnsi"/>
          <w:bCs/>
          <w:kern w:val="36"/>
          <w:sz w:val="20"/>
          <w:szCs w:val="20"/>
          <w:bdr w:val="none" w:sz="0" w:space="0" w:color="auto"/>
          <w:lang w:val="es-AR"/>
        </w:rPr>
        <w:t>informan que 3</w:t>
      </w:r>
      <w:r w:rsidR="006735BF" w:rsidRPr="006D4BF1">
        <w:rPr>
          <w:rFonts w:asciiTheme="majorHAnsi" w:eastAsia="Times New Roman" w:hAnsiTheme="majorHAnsi"/>
          <w:bCs/>
          <w:kern w:val="36"/>
          <w:sz w:val="20"/>
          <w:szCs w:val="20"/>
          <w:bdr w:val="none" w:sz="0" w:space="0" w:color="auto"/>
          <w:lang w:val="es-AR"/>
        </w:rPr>
        <w:t>3</w:t>
      </w:r>
      <w:r w:rsidR="00E76303" w:rsidRPr="006D4BF1">
        <w:rPr>
          <w:rFonts w:asciiTheme="majorHAnsi" w:eastAsia="Times New Roman" w:hAnsiTheme="majorHAnsi"/>
          <w:bCs/>
          <w:kern w:val="36"/>
          <w:sz w:val="20"/>
          <w:szCs w:val="20"/>
          <w:bdr w:val="none" w:sz="0" w:space="0" w:color="auto"/>
          <w:lang w:val="es-AR"/>
        </w:rPr>
        <w:t xml:space="preserve"> se encontrarían en etapa de instrucción y en 1</w:t>
      </w:r>
      <w:r w:rsidR="006735BF" w:rsidRPr="006D4BF1">
        <w:rPr>
          <w:rFonts w:asciiTheme="majorHAnsi" w:eastAsia="Times New Roman" w:hAnsiTheme="majorHAnsi"/>
          <w:bCs/>
          <w:kern w:val="36"/>
          <w:sz w:val="20"/>
          <w:szCs w:val="20"/>
          <w:bdr w:val="none" w:sz="0" w:space="0" w:color="auto"/>
          <w:lang w:val="es-AR"/>
        </w:rPr>
        <w:t>1</w:t>
      </w:r>
      <w:r w:rsidR="00E76303" w:rsidRPr="006D4BF1">
        <w:rPr>
          <w:rFonts w:asciiTheme="majorHAnsi" w:eastAsia="Times New Roman" w:hAnsiTheme="majorHAnsi"/>
          <w:bCs/>
          <w:kern w:val="36"/>
          <w:sz w:val="20"/>
          <w:szCs w:val="20"/>
          <w:bdr w:val="none" w:sz="0" w:space="0" w:color="auto"/>
          <w:lang w:val="es-AR"/>
        </w:rPr>
        <w:t xml:space="preserve"> de ellos se habría interpuesto recursos de apelación que aún no habrían sido resueltos. Asimismo, se habría ordenado el archivo de </w:t>
      </w:r>
      <w:r w:rsidR="006735BF" w:rsidRPr="006D4BF1">
        <w:rPr>
          <w:rFonts w:asciiTheme="majorHAnsi" w:eastAsia="Times New Roman" w:hAnsiTheme="majorHAnsi"/>
          <w:bCs/>
          <w:kern w:val="36"/>
          <w:sz w:val="20"/>
          <w:szCs w:val="20"/>
          <w:bdr w:val="none" w:sz="0" w:space="0" w:color="auto"/>
          <w:lang w:val="es-AR"/>
        </w:rPr>
        <w:t>8</w:t>
      </w:r>
      <w:r w:rsidR="00E76303" w:rsidRPr="006D4BF1">
        <w:rPr>
          <w:rFonts w:asciiTheme="majorHAnsi" w:eastAsia="Times New Roman" w:hAnsiTheme="majorHAnsi"/>
          <w:bCs/>
          <w:kern w:val="36"/>
          <w:sz w:val="20"/>
          <w:szCs w:val="20"/>
          <w:bdr w:val="none" w:sz="0" w:space="0" w:color="auto"/>
          <w:lang w:val="es-AR"/>
        </w:rPr>
        <w:t xml:space="preserve"> causas y </w:t>
      </w:r>
      <w:r w:rsidR="006735BF" w:rsidRPr="006D4BF1">
        <w:rPr>
          <w:rFonts w:asciiTheme="majorHAnsi" w:eastAsia="Times New Roman" w:hAnsiTheme="majorHAnsi"/>
          <w:bCs/>
          <w:kern w:val="36"/>
          <w:sz w:val="20"/>
          <w:szCs w:val="20"/>
          <w:bdr w:val="none" w:sz="0" w:space="0" w:color="auto"/>
          <w:lang w:val="es-AR"/>
        </w:rPr>
        <w:t>3</w:t>
      </w:r>
      <w:r w:rsidR="00E76303" w:rsidRPr="006D4BF1">
        <w:rPr>
          <w:rFonts w:asciiTheme="majorHAnsi" w:eastAsia="Times New Roman" w:hAnsiTheme="majorHAnsi"/>
          <w:bCs/>
          <w:kern w:val="36"/>
          <w:sz w:val="20"/>
          <w:szCs w:val="20"/>
          <w:bdr w:val="none" w:sz="0" w:space="0" w:color="auto"/>
          <w:lang w:val="es-AR"/>
        </w:rPr>
        <w:t xml:space="preserve"> habrían sido finalizadas bajo el argumento de prescripción de la acción</w:t>
      </w:r>
      <w:r w:rsidR="00DF6273" w:rsidRPr="006D4BF1">
        <w:rPr>
          <w:rFonts w:asciiTheme="majorHAnsi" w:eastAsia="Times New Roman" w:hAnsiTheme="majorHAnsi"/>
          <w:bCs/>
          <w:kern w:val="36"/>
          <w:sz w:val="20"/>
          <w:szCs w:val="20"/>
          <w:bdr w:val="none" w:sz="0" w:space="0" w:color="auto"/>
          <w:lang w:val="es-AR"/>
        </w:rPr>
        <w:t xml:space="preserve"> penal</w:t>
      </w:r>
      <w:r w:rsidR="00E76303" w:rsidRPr="006D4BF1">
        <w:rPr>
          <w:rFonts w:asciiTheme="majorHAnsi" w:eastAsia="Times New Roman" w:hAnsiTheme="majorHAnsi"/>
          <w:bCs/>
          <w:kern w:val="36"/>
          <w:sz w:val="20"/>
          <w:szCs w:val="20"/>
          <w:bdr w:val="none" w:sz="0" w:space="0" w:color="auto"/>
          <w:lang w:val="es-AR"/>
        </w:rPr>
        <w:t xml:space="preserve">; en </w:t>
      </w:r>
      <w:r w:rsidR="006735BF" w:rsidRPr="006D4BF1">
        <w:rPr>
          <w:rFonts w:asciiTheme="majorHAnsi" w:eastAsia="Times New Roman" w:hAnsiTheme="majorHAnsi"/>
          <w:bCs/>
          <w:kern w:val="36"/>
          <w:sz w:val="20"/>
          <w:szCs w:val="20"/>
          <w:bdr w:val="none" w:sz="0" w:space="0" w:color="auto"/>
          <w:lang w:val="es-AR"/>
        </w:rPr>
        <w:t>2</w:t>
      </w:r>
      <w:r w:rsidR="00FF7565">
        <w:rPr>
          <w:rFonts w:asciiTheme="majorHAnsi" w:eastAsia="Times New Roman" w:hAnsiTheme="majorHAnsi"/>
          <w:bCs/>
          <w:kern w:val="36"/>
          <w:sz w:val="20"/>
          <w:szCs w:val="20"/>
          <w:bdr w:val="none" w:sz="0" w:space="0" w:color="auto"/>
          <w:lang w:val="es-AR"/>
        </w:rPr>
        <w:t>6</w:t>
      </w:r>
      <w:r w:rsidR="00E76303" w:rsidRPr="006D4BF1">
        <w:rPr>
          <w:rFonts w:asciiTheme="majorHAnsi" w:eastAsia="Times New Roman" w:hAnsiTheme="majorHAnsi"/>
          <w:bCs/>
          <w:kern w:val="36"/>
          <w:sz w:val="20"/>
          <w:szCs w:val="20"/>
          <w:bdr w:val="none" w:sz="0" w:space="0" w:color="auto"/>
          <w:lang w:val="es-AR"/>
        </w:rPr>
        <w:t xml:space="preserve"> oportunidades las autoridades judiciales habrían decidido el </w:t>
      </w:r>
      <w:r w:rsidR="00E76303" w:rsidRPr="00E81BC2">
        <w:rPr>
          <w:rFonts w:asciiTheme="majorHAnsi" w:eastAsia="Times New Roman" w:hAnsiTheme="majorHAnsi"/>
          <w:bCs/>
          <w:kern w:val="36"/>
          <w:sz w:val="20"/>
          <w:szCs w:val="20"/>
          <w:bdr w:val="none" w:sz="0" w:space="0" w:color="auto"/>
          <w:lang w:val="es-AR"/>
        </w:rPr>
        <w:t>sobreseimiento</w:t>
      </w:r>
      <w:r w:rsidR="006735BF" w:rsidRPr="00E81BC2">
        <w:rPr>
          <w:rFonts w:asciiTheme="majorHAnsi" w:eastAsia="Times New Roman" w:hAnsiTheme="majorHAnsi"/>
          <w:bCs/>
          <w:kern w:val="36"/>
          <w:sz w:val="20"/>
          <w:szCs w:val="20"/>
          <w:bdr w:val="none" w:sz="0" w:space="0" w:color="auto"/>
          <w:lang w:val="es-AR"/>
        </w:rPr>
        <w:t xml:space="preserve"> </w:t>
      </w:r>
      <w:r w:rsidR="00FF7565" w:rsidRPr="00E81BC2">
        <w:rPr>
          <w:rFonts w:asciiTheme="majorHAnsi" w:eastAsia="Times New Roman" w:hAnsiTheme="majorHAnsi"/>
          <w:bCs/>
          <w:kern w:val="36"/>
          <w:sz w:val="20"/>
          <w:szCs w:val="20"/>
          <w:bdr w:val="none" w:sz="0" w:space="0" w:color="auto"/>
          <w:lang w:val="es-AR"/>
        </w:rPr>
        <w:t>de la o las personas imputadas</w:t>
      </w:r>
      <w:r w:rsidR="006735BF" w:rsidRPr="00E81BC2">
        <w:rPr>
          <w:rFonts w:asciiTheme="majorHAnsi" w:eastAsia="Times New Roman" w:hAnsiTheme="majorHAnsi"/>
          <w:bCs/>
          <w:kern w:val="36"/>
          <w:sz w:val="20"/>
          <w:szCs w:val="20"/>
          <w:bdr w:val="none" w:sz="0" w:space="0" w:color="auto"/>
          <w:lang w:val="es-AR"/>
        </w:rPr>
        <w:t>. Además, s</w:t>
      </w:r>
      <w:r w:rsidR="00E76303" w:rsidRPr="00E81BC2">
        <w:rPr>
          <w:rFonts w:asciiTheme="majorHAnsi" w:eastAsia="Times New Roman" w:hAnsiTheme="majorHAnsi"/>
          <w:bCs/>
          <w:kern w:val="36"/>
          <w:sz w:val="20"/>
          <w:szCs w:val="20"/>
          <w:bdr w:val="none" w:sz="0" w:space="0" w:color="auto"/>
          <w:lang w:val="es-AR"/>
        </w:rPr>
        <w:t xml:space="preserve">e habrían ordenado </w:t>
      </w:r>
      <w:r w:rsidR="006735BF" w:rsidRPr="00E81BC2">
        <w:rPr>
          <w:rFonts w:asciiTheme="majorHAnsi" w:eastAsia="Times New Roman" w:hAnsiTheme="majorHAnsi"/>
          <w:bCs/>
          <w:kern w:val="36"/>
          <w:sz w:val="20"/>
          <w:szCs w:val="20"/>
          <w:bdr w:val="none" w:sz="0" w:space="0" w:color="auto"/>
          <w:lang w:val="es-AR"/>
        </w:rPr>
        <w:t>5</w:t>
      </w:r>
      <w:r w:rsidR="00E76303" w:rsidRPr="00E81BC2">
        <w:rPr>
          <w:rFonts w:asciiTheme="majorHAnsi" w:eastAsia="Times New Roman" w:hAnsiTheme="majorHAnsi"/>
          <w:bCs/>
          <w:kern w:val="36"/>
          <w:sz w:val="20"/>
          <w:szCs w:val="20"/>
          <w:bdr w:val="none" w:sz="0" w:space="0" w:color="auto"/>
          <w:lang w:val="es-AR"/>
        </w:rPr>
        <w:t xml:space="preserve"> absoluciones</w:t>
      </w:r>
      <w:r w:rsidR="00546C5A" w:rsidRPr="00E81BC2">
        <w:rPr>
          <w:rFonts w:asciiTheme="majorHAnsi" w:eastAsia="Times New Roman" w:hAnsiTheme="majorHAnsi"/>
          <w:bCs/>
          <w:kern w:val="36"/>
          <w:sz w:val="20"/>
          <w:szCs w:val="20"/>
          <w:bdr w:val="none" w:sz="0" w:space="0" w:color="auto"/>
          <w:lang w:val="es-AR"/>
        </w:rPr>
        <w:t>,</w:t>
      </w:r>
      <w:r w:rsidR="00E76303" w:rsidRPr="00E81BC2">
        <w:rPr>
          <w:rFonts w:asciiTheme="majorHAnsi" w:eastAsia="Times New Roman" w:hAnsiTheme="majorHAnsi"/>
          <w:bCs/>
          <w:kern w:val="36"/>
          <w:sz w:val="20"/>
          <w:szCs w:val="20"/>
          <w:bdr w:val="none" w:sz="0" w:space="0" w:color="auto"/>
          <w:lang w:val="es-AR"/>
        </w:rPr>
        <w:t xml:space="preserve"> en un caso </w:t>
      </w:r>
      <w:r w:rsidR="00546C5A" w:rsidRPr="00E81BC2">
        <w:rPr>
          <w:rFonts w:asciiTheme="majorHAnsi" w:eastAsia="Times New Roman" w:hAnsiTheme="majorHAnsi"/>
          <w:bCs/>
          <w:kern w:val="36"/>
          <w:sz w:val="20"/>
          <w:szCs w:val="20"/>
          <w:bdr w:val="none" w:sz="0" w:space="0" w:color="auto"/>
          <w:lang w:val="es-AR"/>
        </w:rPr>
        <w:t>se habría indultado a los presuntos responsables y en 2 casos no se encontraría el expediente</w:t>
      </w:r>
      <w:r w:rsidR="00A7769A" w:rsidRPr="00E81BC2">
        <w:rPr>
          <w:rFonts w:asciiTheme="majorHAnsi" w:eastAsia="Times New Roman" w:hAnsiTheme="majorHAnsi"/>
          <w:bCs/>
          <w:kern w:val="36"/>
          <w:sz w:val="20"/>
          <w:szCs w:val="20"/>
          <w:bdr w:val="none" w:sz="0" w:space="0" w:color="auto"/>
          <w:lang w:val="es-AR"/>
        </w:rPr>
        <w:t>.</w:t>
      </w:r>
    </w:p>
    <w:p w:rsidR="00144E1C" w:rsidRPr="00E81BC2" w:rsidRDefault="00144E1C" w:rsidP="00A7769A">
      <w:pPr>
        <w:rPr>
          <w:rFonts w:asciiTheme="majorHAnsi" w:hAnsiTheme="majorHAnsi"/>
          <w:sz w:val="20"/>
          <w:szCs w:val="20"/>
          <w:lang w:val="es-ES"/>
        </w:rPr>
      </w:pPr>
    </w:p>
    <w:p w:rsidR="00E26FED" w:rsidRPr="00E81BC2" w:rsidRDefault="00123436"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E81BC2">
        <w:rPr>
          <w:rFonts w:asciiTheme="majorHAnsi" w:hAnsiTheme="majorHAnsi"/>
          <w:sz w:val="20"/>
          <w:szCs w:val="20"/>
          <w:lang w:val="es-ES"/>
        </w:rPr>
        <w:t>Señalan</w:t>
      </w:r>
      <w:r w:rsidR="004455D9" w:rsidRPr="00E81BC2">
        <w:rPr>
          <w:rFonts w:asciiTheme="majorHAnsi" w:eastAsia="Times New Roman" w:hAnsiTheme="majorHAnsi"/>
          <w:bCs/>
          <w:kern w:val="36"/>
          <w:sz w:val="20"/>
          <w:szCs w:val="20"/>
          <w:bdr w:val="none" w:sz="0" w:space="0" w:color="auto"/>
          <w:lang w:val="es-AR"/>
        </w:rPr>
        <w:t xml:space="preserve"> que</w:t>
      </w:r>
      <w:r w:rsidR="00CE17D4" w:rsidRPr="00E81BC2">
        <w:rPr>
          <w:rFonts w:asciiTheme="majorHAnsi" w:hAnsiTheme="majorHAnsi"/>
          <w:sz w:val="20"/>
          <w:szCs w:val="20"/>
          <w:lang w:val="es-ES"/>
        </w:rPr>
        <w:t xml:space="preserve"> existe un retardo injustificado en la adopción de decisiones judiciales</w:t>
      </w:r>
      <w:r w:rsidR="00F941D3" w:rsidRPr="00E81BC2">
        <w:rPr>
          <w:rFonts w:asciiTheme="majorHAnsi" w:hAnsiTheme="majorHAnsi"/>
          <w:sz w:val="20"/>
          <w:szCs w:val="20"/>
          <w:lang w:val="es-ES"/>
        </w:rPr>
        <w:t xml:space="preserve"> y</w:t>
      </w:r>
      <w:r w:rsidR="00CE17D4" w:rsidRPr="00E81BC2">
        <w:rPr>
          <w:rFonts w:asciiTheme="majorHAnsi" w:hAnsiTheme="majorHAnsi"/>
          <w:sz w:val="20"/>
          <w:szCs w:val="20"/>
          <w:lang w:val="es-ES"/>
        </w:rPr>
        <w:t xml:space="preserve"> que </w:t>
      </w:r>
      <w:r w:rsidR="00051E4F" w:rsidRPr="00E81BC2">
        <w:rPr>
          <w:rFonts w:asciiTheme="majorHAnsi" w:hAnsiTheme="majorHAnsi"/>
          <w:sz w:val="20"/>
          <w:szCs w:val="20"/>
          <w:lang w:val="es-ES"/>
        </w:rPr>
        <w:t xml:space="preserve">en los mencionados casos </w:t>
      </w:r>
      <w:r w:rsidR="00CE17D4" w:rsidRPr="00E81BC2">
        <w:rPr>
          <w:rFonts w:asciiTheme="majorHAnsi" w:hAnsiTheme="majorHAnsi"/>
          <w:sz w:val="20"/>
          <w:szCs w:val="20"/>
          <w:lang w:val="es-ES"/>
        </w:rPr>
        <w:t>no se han obtenido resultados significativos, no se han producido adelantos considerables en las investigaciones ni se han dictado sentencias que identifiquen</w:t>
      </w:r>
      <w:r w:rsidR="00F941D3" w:rsidRPr="00E81BC2">
        <w:rPr>
          <w:rFonts w:asciiTheme="majorHAnsi" w:hAnsiTheme="majorHAnsi"/>
          <w:sz w:val="20"/>
          <w:szCs w:val="20"/>
          <w:lang w:val="es-ES"/>
        </w:rPr>
        <w:t xml:space="preserve"> y condenen a los responsables.</w:t>
      </w:r>
      <w:r w:rsidR="00144E1C" w:rsidRPr="00E81BC2">
        <w:rPr>
          <w:rFonts w:asciiTheme="majorHAnsi" w:hAnsiTheme="majorHAnsi"/>
          <w:sz w:val="20"/>
          <w:szCs w:val="20"/>
          <w:lang w:val="es-ES"/>
        </w:rPr>
        <w:t xml:space="preserve"> Prueba de esto</w:t>
      </w:r>
      <w:r w:rsidR="004902C0" w:rsidRPr="00E81BC2">
        <w:rPr>
          <w:rFonts w:asciiTheme="majorHAnsi" w:hAnsiTheme="majorHAnsi"/>
          <w:sz w:val="20"/>
          <w:szCs w:val="20"/>
          <w:lang w:val="es-ES"/>
        </w:rPr>
        <w:t>,</w:t>
      </w:r>
      <w:r w:rsidR="00144E1C" w:rsidRPr="00E81BC2">
        <w:rPr>
          <w:rFonts w:asciiTheme="majorHAnsi" w:hAnsiTheme="majorHAnsi"/>
          <w:sz w:val="20"/>
          <w:szCs w:val="20"/>
          <w:lang w:val="es-ES"/>
        </w:rPr>
        <w:t xml:space="preserve"> serían</w:t>
      </w:r>
      <w:r w:rsidR="004902C0" w:rsidRPr="00E81BC2">
        <w:rPr>
          <w:rFonts w:asciiTheme="majorHAnsi" w:hAnsiTheme="majorHAnsi"/>
          <w:sz w:val="20"/>
          <w:szCs w:val="20"/>
          <w:lang w:val="es-ES"/>
        </w:rPr>
        <w:t xml:space="preserve"> las observaciones del Estado panameño</w:t>
      </w:r>
      <w:r w:rsidR="00144E1C" w:rsidRPr="00E81BC2">
        <w:rPr>
          <w:rFonts w:asciiTheme="majorHAnsi" w:hAnsiTheme="majorHAnsi"/>
          <w:sz w:val="20"/>
          <w:szCs w:val="20"/>
          <w:lang w:val="es-ES"/>
        </w:rPr>
        <w:t xml:space="preserve"> en las que </w:t>
      </w:r>
      <w:r w:rsidR="00E26FED" w:rsidRPr="00E81BC2">
        <w:rPr>
          <w:rFonts w:asciiTheme="majorHAnsi" w:eastAsia="Times New Roman" w:hAnsiTheme="majorHAnsi"/>
          <w:bCs/>
          <w:kern w:val="36"/>
          <w:sz w:val="20"/>
          <w:szCs w:val="20"/>
          <w:bdr w:val="none" w:sz="0" w:space="0" w:color="auto"/>
          <w:lang w:val="es-AR"/>
        </w:rPr>
        <w:t>solo da cuenta de 8</w:t>
      </w:r>
      <w:r w:rsidR="001D7C46" w:rsidRPr="00E81BC2">
        <w:rPr>
          <w:rFonts w:asciiTheme="majorHAnsi" w:eastAsia="Times New Roman" w:hAnsiTheme="majorHAnsi"/>
          <w:bCs/>
          <w:kern w:val="36"/>
          <w:sz w:val="20"/>
          <w:szCs w:val="20"/>
          <w:bdr w:val="none" w:sz="0" w:space="0" w:color="auto"/>
          <w:lang w:val="es-AR"/>
        </w:rPr>
        <w:t>0</w:t>
      </w:r>
      <w:r w:rsidR="001D7C46" w:rsidRPr="00E81BC2">
        <w:rPr>
          <w:rStyle w:val="FootnoteReference"/>
          <w:rFonts w:asciiTheme="majorHAnsi" w:eastAsia="Times New Roman" w:hAnsiTheme="majorHAnsi"/>
          <w:bCs/>
          <w:kern w:val="36"/>
          <w:sz w:val="20"/>
          <w:szCs w:val="20"/>
          <w:bdr w:val="none" w:sz="0" w:space="0" w:color="auto"/>
          <w:lang w:val="es-AR"/>
        </w:rPr>
        <w:footnoteReference w:id="8"/>
      </w:r>
      <w:r w:rsidR="00E26FED" w:rsidRPr="00E81BC2">
        <w:rPr>
          <w:rFonts w:asciiTheme="majorHAnsi" w:eastAsia="Times New Roman" w:hAnsiTheme="majorHAnsi"/>
          <w:bCs/>
          <w:kern w:val="36"/>
          <w:sz w:val="20"/>
          <w:szCs w:val="20"/>
          <w:bdr w:val="none" w:sz="0" w:space="0" w:color="auto"/>
          <w:lang w:val="es-AR"/>
        </w:rPr>
        <w:t xml:space="preserve"> de los casos que contiene la denuncia, sin</w:t>
      </w:r>
      <w:r w:rsidR="001D7C46" w:rsidRPr="00E81BC2">
        <w:rPr>
          <w:rFonts w:asciiTheme="majorHAnsi" w:eastAsia="Times New Roman" w:hAnsiTheme="majorHAnsi"/>
          <w:bCs/>
          <w:kern w:val="36"/>
          <w:sz w:val="20"/>
          <w:szCs w:val="20"/>
          <w:bdr w:val="none" w:sz="0" w:space="0" w:color="auto"/>
          <w:lang w:val="es-AR"/>
        </w:rPr>
        <w:t xml:space="preserve"> indicar la razón por la que no hace referencia a los 29 restantes. </w:t>
      </w:r>
      <w:r w:rsidR="006F0E68" w:rsidRPr="00E81BC2">
        <w:rPr>
          <w:rFonts w:asciiTheme="majorHAnsi" w:eastAsia="Times New Roman" w:hAnsiTheme="majorHAnsi"/>
          <w:bCs/>
          <w:kern w:val="36"/>
          <w:sz w:val="20"/>
          <w:szCs w:val="20"/>
          <w:bdr w:val="none" w:sz="0" w:space="0" w:color="auto"/>
          <w:lang w:val="es-AR"/>
        </w:rPr>
        <w:t>Además</w:t>
      </w:r>
      <w:r w:rsidR="00144E1C" w:rsidRPr="00E81BC2">
        <w:rPr>
          <w:rFonts w:asciiTheme="majorHAnsi" w:eastAsia="Times New Roman" w:hAnsiTheme="majorHAnsi"/>
          <w:bCs/>
          <w:kern w:val="36"/>
          <w:sz w:val="20"/>
          <w:szCs w:val="20"/>
          <w:bdr w:val="none" w:sz="0" w:space="0" w:color="auto"/>
          <w:lang w:val="es-AR"/>
        </w:rPr>
        <w:t xml:space="preserve">, </w:t>
      </w:r>
      <w:r w:rsidR="006F0E68" w:rsidRPr="00E81BC2">
        <w:rPr>
          <w:rFonts w:asciiTheme="majorHAnsi" w:eastAsia="Times New Roman" w:hAnsiTheme="majorHAnsi"/>
          <w:bCs/>
          <w:kern w:val="36"/>
          <w:sz w:val="20"/>
          <w:szCs w:val="20"/>
          <w:bdr w:val="none" w:sz="0" w:space="0" w:color="auto"/>
          <w:lang w:val="es-AR"/>
        </w:rPr>
        <w:t>señalan</w:t>
      </w:r>
      <w:r w:rsidR="00144E1C" w:rsidRPr="00E81BC2">
        <w:rPr>
          <w:rFonts w:asciiTheme="majorHAnsi" w:eastAsia="Times New Roman" w:hAnsiTheme="majorHAnsi"/>
          <w:bCs/>
          <w:kern w:val="36"/>
          <w:sz w:val="20"/>
          <w:szCs w:val="20"/>
          <w:bdr w:val="none" w:sz="0" w:space="0" w:color="auto"/>
          <w:lang w:val="es-AR"/>
        </w:rPr>
        <w:t xml:space="preserve"> que </w:t>
      </w:r>
      <w:r w:rsidR="00DF6273" w:rsidRPr="00E81BC2">
        <w:rPr>
          <w:rFonts w:asciiTheme="majorHAnsi" w:eastAsia="Times New Roman" w:hAnsiTheme="majorHAnsi"/>
          <w:bCs/>
          <w:kern w:val="36"/>
          <w:sz w:val="20"/>
          <w:szCs w:val="20"/>
          <w:bdr w:val="none" w:sz="0" w:space="0" w:color="auto"/>
          <w:lang w:val="es-AR"/>
        </w:rPr>
        <w:t>en 1</w:t>
      </w:r>
      <w:r w:rsidR="00546C5A" w:rsidRPr="00E81BC2">
        <w:rPr>
          <w:rFonts w:asciiTheme="majorHAnsi" w:eastAsia="Times New Roman" w:hAnsiTheme="majorHAnsi"/>
          <w:bCs/>
          <w:kern w:val="36"/>
          <w:sz w:val="20"/>
          <w:szCs w:val="20"/>
          <w:bdr w:val="none" w:sz="0" w:space="0" w:color="auto"/>
          <w:lang w:val="es-AR"/>
        </w:rPr>
        <w:t>0</w:t>
      </w:r>
      <w:r w:rsidR="00DF6273" w:rsidRPr="00E81BC2">
        <w:rPr>
          <w:rFonts w:asciiTheme="majorHAnsi" w:eastAsia="Times New Roman" w:hAnsiTheme="majorHAnsi"/>
          <w:bCs/>
          <w:kern w:val="36"/>
          <w:sz w:val="20"/>
          <w:szCs w:val="20"/>
          <w:bdr w:val="none" w:sz="0" w:space="0" w:color="auto"/>
          <w:lang w:val="es-AR"/>
        </w:rPr>
        <w:t xml:space="preserve"> </w:t>
      </w:r>
      <w:r w:rsidR="00144E1C" w:rsidRPr="00E81BC2">
        <w:rPr>
          <w:rFonts w:asciiTheme="majorHAnsi" w:eastAsia="Times New Roman" w:hAnsiTheme="majorHAnsi"/>
          <w:bCs/>
          <w:kern w:val="36"/>
          <w:sz w:val="20"/>
          <w:szCs w:val="20"/>
          <w:bdr w:val="none" w:sz="0" w:space="0" w:color="auto"/>
          <w:lang w:val="es-AR"/>
        </w:rPr>
        <w:t xml:space="preserve">de estos 80 casos, </w:t>
      </w:r>
      <w:r w:rsidR="00C87A03" w:rsidRPr="00E81BC2">
        <w:rPr>
          <w:rFonts w:asciiTheme="majorHAnsi" w:eastAsia="Times New Roman" w:hAnsiTheme="majorHAnsi"/>
          <w:bCs/>
          <w:kern w:val="36"/>
          <w:sz w:val="20"/>
          <w:szCs w:val="20"/>
          <w:bdr w:val="none" w:sz="0" w:space="0" w:color="auto"/>
          <w:lang w:val="es-AR"/>
        </w:rPr>
        <w:t xml:space="preserve">el mismo Ministerio Público habría apelado la reapertura del sumario solicitada por la Comisión de la Verdad,  luego de que </w:t>
      </w:r>
      <w:r w:rsidR="00C50FCF" w:rsidRPr="00E81BC2">
        <w:rPr>
          <w:rFonts w:asciiTheme="majorHAnsi" w:eastAsia="Times New Roman" w:hAnsiTheme="majorHAnsi"/>
          <w:bCs/>
          <w:kern w:val="36"/>
          <w:sz w:val="20"/>
          <w:szCs w:val="20"/>
          <w:bdr w:val="none" w:sz="0" w:space="0" w:color="auto"/>
          <w:lang w:val="es-AR"/>
        </w:rPr>
        <w:t>se había ordenado el no ejercicio de la acción penal con fundamento en la prescripción de la misma.</w:t>
      </w:r>
    </w:p>
    <w:p w:rsidR="00F941D3" w:rsidRPr="00E81BC2" w:rsidRDefault="00F941D3" w:rsidP="00F941D3">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jc w:val="both"/>
        <w:outlineLvl w:val="0"/>
        <w:rPr>
          <w:rFonts w:asciiTheme="majorHAnsi" w:eastAsia="Times New Roman" w:hAnsiTheme="majorHAnsi"/>
          <w:bCs/>
          <w:kern w:val="36"/>
          <w:sz w:val="20"/>
          <w:szCs w:val="20"/>
          <w:bdr w:val="none" w:sz="0" w:space="0" w:color="auto"/>
          <w:lang w:val="es-AR"/>
        </w:rPr>
      </w:pPr>
    </w:p>
    <w:p w:rsidR="00F941D3" w:rsidRPr="006D4BF1" w:rsidRDefault="00F941D3"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E81BC2">
        <w:rPr>
          <w:rFonts w:asciiTheme="majorHAnsi" w:eastAsia="Times New Roman" w:hAnsiTheme="majorHAnsi"/>
          <w:bCs/>
          <w:kern w:val="36"/>
          <w:sz w:val="20"/>
          <w:szCs w:val="20"/>
          <w:bdr w:val="none" w:sz="0" w:space="0" w:color="auto"/>
          <w:lang w:val="es-AR"/>
        </w:rPr>
        <w:t xml:space="preserve">Los peticionarios agregan que a pesar de que la Comisión de la Verdad de Panamá presentó su  </w:t>
      </w:r>
      <w:r w:rsidRPr="00E81BC2">
        <w:rPr>
          <w:rFonts w:asciiTheme="majorHAnsi" w:eastAsia="Times New Roman" w:hAnsiTheme="majorHAnsi"/>
          <w:sz w:val="20"/>
          <w:szCs w:val="20"/>
          <w:bdr w:val="none" w:sz="0" w:space="0" w:color="auto"/>
          <w:lang w:val="es-ES"/>
        </w:rPr>
        <w:t xml:space="preserve">Informe Final en  abril de 2002 y el mismo fue entregado al Procurador General de la Nación, no se ha dado paso alguno para </w:t>
      </w:r>
      <w:r w:rsidR="00207778" w:rsidRPr="00E81BC2">
        <w:rPr>
          <w:rFonts w:asciiTheme="majorHAnsi" w:eastAsia="Times New Roman" w:hAnsiTheme="majorHAnsi"/>
          <w:sz w:val="20"/>
          <w:szCs w:val="20"/>
          <w:bdr w:val="none" w:sz="0" w:space="0" w:color="auto"/>
          <w:lang w:val="es-ES"/>
        </w:rPr>
        <w:t>realizar</w:t>
      </w:r>
      <w:r w:rsidRPr="00E81BC2">
        <w:rPr>
          <w:rFonts w:asciiTheme="majorHAnsi" w:eastAsia="Times New Roman" w:hAnsiTheme="majorHAnsi"/>
          <w:sz w:val="20"/>
          <w:szCs w:val="20"/>
          <w:bdr w:val="none" w:sz="0" w:space="0" w:color="auto"/>
          <w:lang w:val="es-ES"/>
        </w:rPr>
        <w:t xml:space="preserve"> las investigaciones</w:t>
      </w:r>
      <w:r w:rsidRPr="006D4BF1">
        <w:rPr>
          <w:rFonts w:asciiTheme="majorHAnsi" w:eastAsia="Times New Roman" w:hAnsiTheme="majorHAnsi"/>
          <w:sz w:val="20"/>
          <w:szCs w:val="20"/>
          <w:bdr w:val="none" w:sz="0" w:space="0" w:color="auto"/>
          <w:lang w:val="es-ES"/>
        </w:rPr>
        <w:t xml:space="preserve"> de estos casos, los cuales deberían</w:t>
      </w:r>
      <w:r w:rsidR="00207778" w:rsidRPr="006D4BF1">
        <w:rPr>
          <w:rFonts w:asciiTheme="majorHAnsi" w:eastAsia="Times New Roman" w:hAnsiTheme="majorHAnsi"/>
          <w:sz w:val="20"/>
          <w:szCs w:val="20"/>
          <w:bdr w:val="none" w:sz="0" w:space="0" w:color="auto"/>
          <w:lang w:val="es-ES"/>
        </w:rPr>
        <w:t xml:space="preserve"> ser investigados de oficio</w:t>
      </w:r>
      <w:r w:rsidR="00791AA7">
        <w:rPr>
          <w:rFonts w:asciiTheme="majorHAnsi" w:eastAsia="Times New Roman" w:hAnsiTheme="majorHAnsi"/>
          <w:sz w:val="20"/>
          <w:szCs w:val="20"/>
          <w:bdr w:val="none" w:sz="0" w:space="0" w:color="auto"/>
          <w:lang w:val="es-ES"/>
        </w:rPr>
        <w:t>. Indican que</w:t>
      </w:r>
      <w:r w:rsidR="00531910">
        <w:rPr>
          <w:rFonts w:asciiTheme="majorHAnsi" w:eastAsia="Times New Roman" w:hAnsiTheme="majorHAnsi"/>
          <w:sz w:val="20"/>
          <w:szCs w:val="20"/>
          <w:bdr w:val="none" w:sz="0" w:space="0" w:color="auto"/>
          <w:lang w:val="es-ES"/>
        </w:rPr>
        <w:t>,</w:t>
      </w:r>
      <w:r w:rsidR="00791AA7">
        <w:rPr>
          <w:rFonts w:asciiTheme="majorHAnsi" w:eastAsia="Times New Roman" w:hAnsiTheme="majorHAnsi"/>
          <w:sz w:val="20"/>
          <w:szCs w:val="20"/>
          <w:bdr w:val="none" w:sz="0" w:space="0" w:color="auto"/>
          <w:lang w:val="es-ES"/>
        </w:rPr>
        <w:t xml:space="preserve"> solo a través de</w:t>
      </w:r>
      <w:r w:rsidR="00207778" w:rsidRPr="006D4BF1">
        <w:rPr>
          <w:rFonts w:asciiTheme="majorHAnsi" w:eastAsia="Times New Roman" w:hAnsiTheme="majorHAnsi"/>
          <w:sz w:val="20"/>
          <w:szCs w:val="20"/>
          <w:bdr w:val="none" w:sz="0" w:space="0" w:color="auto"/>
          <w:lang w:val="es-ES"/>
        </w:rPr>
        <w:t xml:space="preserve"> la presentación formal</w:t>
      </w:r>
      <w:r w:rsidR="00DF17AB">
        <w:rPr>
          <w:rFonts w:asciiTheme="majorHAnsi" w:eastAsia="Times New Roman" w:hAnsiTheme="majorHAnsi"/>
          <w:sz w:val="20"/>
          <w:szCs w:val="20"/>
          <w:bdr w:val="none" w:sz="0" w:space="0" w:color="auto"/>
          <w:lang w:val="es-ES"/>
        </w:rPr>
        <w:t>,</w:t>
      </w:r>
      <w:r w:rsidR="00207778" w:rsidRPr="006D4BF1">
        <w:rPr>
          <w:rFonts w:asciiTheme="majorHAnsi" w:eastAsia="Times New Roman" w:hAnsiTheme="majorHAnsi"/>
          <w:sz w:val="20"/>
          <w:szCs w:val="20"/>
          <w:bdr w:val="none" w:sz="0" w:space="0" w:color="auto"/>
          <w:lang w:val="es-ES"/>
        </w:rPr>
        <w:t xml:space="preserve"> por parte de la Comisión de la Verdad</w:t>
      </w:r>
      <w:r w:rsidR="00DF17AB">
        <w:rPr>
          <w:rFonts w:asciiTheme="majorHAnsi" w:eastAsia="Times New Roman" w:hAnsiTheme="majorHAnsi"/>
          <w:sz w:val="20"/>
          <w:szCs w:val="20"/>
          <w:bdr w:val="none" w:sz="0" w:space="0" w:color="auto"/>
          <w:lang w:val="es-ES"/>
        </w:rPr>
        <w:t>,</w:t>
      </w:r>
      <w:r w:rsidR="00207778" w:rsidRPr="006D4BF1">
        <w:rPr>
          <w:rFonts w:asciiTheme="majorHAnsi" w:eastAsia="Times New Roman" w:hAnsiTheme="majorHAnsi"/>
          <w:sz w:val="20"/>
          <w:szCs w:val="20"/>
          <w:bdr w:val="none" w:sz="0" w:space="0" w:color="auto"/>
          <w:lang w:val="es-ES"/>
        </w:rPr>
        <w:t xml:space="preserve"> de solicitudes de apertura y reapertura de </w:t>
      </w:r>
      <w:r w:rsidR="00531910">
        <w:rPr>
          <w:rFonts w:asciiTheme="majorHAnsi" w:eastAsia="Times New Roman" w:hAnsiTheme="majorHAnsi"/>
          <w:sz w:val="20"/>
          <w:szCs w:val="20"/>
          <w:bdr w:val="none" w:sz="0" w:space="0" w:color="auto"/>
          <w:lang w:val="es-ES"/>
        </w:rPr>
        <w:t xml:space="preserve">los </w:t>
      </w:r>
      <w:r w:rsidR="00AB49BA">
        <w:rPr>
          <w:rFonts w:asciiTheme="majorHAnsi" w:eastAsia="Times New Roman" w:hAnsiTheme="majorHAnsi"/>
          <w:sz w:val="20"/>
          <w:szCs w:val="20"/>
          <w:bdr w:val="none" w:sz="0" w:space="0" w:color="auto"/>
          <w:lang w:val="es-ES"/>
        </w:rPr>
        <w:t>caso</w:t>
      </w:r>
      <w:r w:rsidR="00531910">
        <w:rPr>
          <w:rFonts w:asciiTheme="majorHAnsi" w:eastAsia="Times New Roman" w:hAnsiTheme="majorHAnsi"/>
          <w:sz w:val="20"/>
          <w:szCs w:val="20"/>
          <w:bdr w:val="none" w:sz="0" w:space="0" w:color="auto"/>
          <w:lang w:val="es-ES"/>
        </w:rPr>
        <w:t>s</w:t>
      </w:r>
      <w:r w:rsidR="00AB49BA">
        <w:rPr>
          <w:rFonts w:asciiTheme="majorHAnsi" w:eastAsia="Times New Roman" w:hAnsiTheme="majorHAnsi"/>
          <w:sz w:val="20"/>
          <w:szCs w:val="20"/>
          <w:bdr w:val="none" w:sz="0" w:space="0" w:color="auto"/>
          <w:lang w:val="es-ES"/>
        </w:rPr>
        <w:t xml:space="preserve"> individualmente</w:t>
      </w:r>
      <w:r w:rsidR="003E0CBC">
        <w:rPr>
          <w:rFonts w:asciiTheme="majorHAnsi" w:eastAsia="Times New Roman" w:hAnsiTheme="majorHAnsi"/>
          <w:sz w:val="20"/>
          <w:szCs w:val="20"/>
          <w:bdr w:val="none" w:sz="0" w:space="0" w:color="auto"/>
          <w:lang w:val="es-ES"/>
        </w:rPr>
        <w:t>, en a</w:t>
      </w:r>
      <w:r w:rsidR="00791AA7">
        <w:rPr>
          <w:rFonts w:asciiTheme="majorHAnsi" w:eastAsia="Times New Roman" w:hAnsiTheme="majorHAnsi"/>
          <w:sz w:val="20"/>
          <w:szCs w:val="20"/>
          <w:bdr w:val="none" w:sz="0" w:space="0" w:color="auto"/>
          <w:lang w:val="es-ES"/>
        </w:rPr>
        <w:t>lgunos</w:t>
      </w:r>
      <w:r w:rsidR="003E0CBC">
        <w:rPr>
          <w:rFonts w:asciiTheme="majorHAnsi" w:eastAsia="Times New Roman" w:hAnsiTheme="majorHAnsi"/>
          <w:sz w:val="20"/>
          <w:szCs w:val="20"/>
          <w:bdr w:val="none" w:sz="0" w:space="0" w:color="auto"/>
          <w:lang w:val="es-ES"/>
        </w:rPr>
        <w:t xml:space="preserve"> </w:t>
      </w:r>
      <w:r w:rsidR="00DF17AB">
        <w:rPr>
          <w:rFonts w:asciiTheme="majorHAnsi" w:eastAsia="Times New Roman" w:hAnsiTheme="majorHAnsi"/>
          <w:sz w:val="20"/>
          <w:szCs w:val="20"/>
          <w:bdr w:val="none" w:sz="0" w:space="0" w:color="auto"/>
          <w:lang w:val="es-ES"/>
        </w:rPr>
        <w:t>de ellos se habría obtenido algún avance.</w:t>
      </w:r>
    </w:p>
    <w:p w:rsidR="00051E4F" w:rsidRPr="006D4BF1" w:rsidRDefault="00051E4F" w:rsidP="00051E4F">
      <w:pPr>
        <w:rPr>
          <w:rFonts w:asciiTheme="majorHAnsi" w:eastAsia="Times New Roman" w:hAnsiTheme="majorHAnsi"/>
          <w:bCs/>
          <w:kern w:val="36"/>
          <w:sz w:val="20"/>
          <w:szCs w:val="20"/>
          <w:bdr w:val="none" w:sz="0" w:space="0" w:color="auto"/>
          <w:lang w:val="es-AR"/>
        </w:rPr>
      </w:pPr>
    </w:p>
    <w:p w:rsidR="00051E4F"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 xml:space="preserve">Denuncian que, sin perjuicio de que en algunos de </w:t>
      </w:r>
      <w:r w:rsidR="00051E4F" w:rsidRPr="006D4BF1">
        <w:rPr>
          <w:rFonts w:asciiTheme="majorHAnsi" w:eastAsia="Times New Roman" w:hAnsiTheme="majorHAnsi"/>
          <w:bCs/>
          <w:kern w:val="36"/>
          <w:sz w:val="20"/>
          <w:szCs w:val="20"/>
          <w:bdr w:val="none" w:sz="0" w:space="0" w:color="auto"/>
          <w:lang w:val="es-AR"/>
        </w:rPr>
        <w:t>los casos</w:t>
      </w:r>
      <w:r w:rsidRPr="006D4BF1">
        <w:rPr>
          <w:rFonts w:asciiTheme="majorHAnsi" w:eastAsia="Times New Roman" w:hAnsiTheme="majorHAnsi"/>
          <w:bCs/>
          <w:kern w:val="36"/>
          <w:sz w:val="20"/>
          <w:szCs w:val="20"/>
          <w:bdr w:val="none" w:sz="0" w:space="0" w:color="auto"/>
          <w:lang w:val="es-AR"/>
        </w:rPr>
        <w:t xml:space="preserve"> se ha producido el dictado de sentencias judiciales, existe en Panamá una situación estructural de impunidad respecto de los crímenes cometidos durante la dictadura militar; situación que, al decir de los peticionarios, derivaría de la manipulación que los mismos responsables del terror de Estado habrían ejercido sobre los órganos de administración de justicia. En ese sentido, señalan que la consolidación de la alegada impunidad se habría concretado a través de la utilización de mecanismos procesales tales como la prescripción</w:t>
      </w:r>
      <w:r w:rsidR="009D0299" w:rsidRPr="006D4BF1">
        <w:rPr>
          <w:rFonts w:asciiTheme="majorHAnsi" w:eastAsia="Times New Roman" w:hAnsiTheme="majorHAnsi"/>
          <w:bCs/>
          <w:kern w:val="36"/>
          <w:sz w:val="20"/>
          <w:szCs w:val="20"/>
          <w:bdr w:val="none" w:sz="0" w:space="0" w:color="auto"/>
          <w:lang w:val="es-AR"/>
        </w:rPr>
        <w:t xml:space="preserve"> de la acción penal</w:t>
      </w:r>
      <w:r w:rsidRPr="006D4BF1">
        <w:rPr>
          <w:rFonts w:asciiTheme="majorHAnsi" w:eastAsia="Times New Roman" w:hAnsiTheme="majorHAnsi"/>
          <w:bCs/>
          <w:kern w:val="36"/>
          <w:sz w:val="20"/>
          <w:szCs w:val="20"/>
          <w:bdr w:val="none" w:sz="0" w:space="0" w:color="auto"/>
          <w:lang w:val="es-AR"/>
        </w:rPr>
        <w:t xml:space="preserve"> y de la denegación de justicia que se hizo patente en los procesos impulsados por los familiares de las víctimas.</w:t>
      </w:r>
      <w:r w:rsidR="00051E4F" w:rsidRPr="006D4BF1">
        <w:rPr>
          <w:rFonts w:asciiTheme="majorHAnsi" w:hAnsiTheme="majorHAnsi"/>
          <w:sz w:val="20"/>
          <w:szCs w:val="20"/>
          <w:lang w:val="es-ES"/>
        </w:rPr>
        <w:t xml:space="preserve"> Expresan que en este caso converge</w:t>
      </w:r>
      <w:r w:rsidR="00277210">
        <w:rPr>
          <w:rFonts w:asciiTheme="majorHAnsi" w:hAnsiTheme="majorHAnsi"/>
          <w:sz w:val="20"/>
          <w:szCs w:val="20"/>
          <w:lang w:val="es-ES"/>
        </w:rPr>
        <w:t>n</w:t>
      </w:r>
      <w:r w:rsidR="00051E4F" w:rsidRPr="006D4BF1">
        <w:rPr>
          <w:rFonts w:asciiTheme="majorHAnsi" w:hAnsiTheme="majorHAnsi"/>
          <w:sz w:val="20"/>
          <w:szCs w:val="20"/>
          <w:lang w:val="es-ES"/>
        </w:rPr>
        <w:t xml:space="preserve"> la denegación de justicia, la imposibilidad de acceso y de agotamiento de los recursos internos y el retardo injustificado en la administración de justicia, y que ello amerita la </w:t>
      </w:r>
      <w:r w:rsidR="00051E4F" w:rsidRPr="006D4BF1">
        <w:rPr>
          <w:rFonts w:asciiTheme="majorHAnsi" w:hAnsiTheme="majorHAnsi"/>
          <w:sz w:val="20"/>
          <w:szCs w:val="20"/>
          <w:lang w:val="es-ES"/>
        </w:rPr>
        <w:lastRenderedPageBreak/>
        <w:t xml:space="preserve">aplicación de las excepciones al agotamiento de los recursos internos establecidas en el artículo </w:t>
      </w:r>
      <w:r w:rsidR="00A07491">
        <w:rPr>
          <w:rFonts w:asciiTheme="majorHAnsi" w:hAnsiTheme="majorHAnsi"/>
          <w:sz w:val="20"/>
          <w:szCs w:val="20"/>
          <w:lang w:val="es-ES"/>
        </w:rPr>
        <w:t>31.2 del Reglamento de la CIDH</w:t>
      </w:r>
      <w:r w:rsidR="00051E4F" w:rsidRPr="006D4BF1">
        <w:rPr>
          <w:rFonts w:asciiTheme="majorHAnsi" w:hAnsiTheme="majorHAnsi"/>
          <w:sz w:val="20"/>
          <w:szCs w:val="20"/>
          <w:lang w:val="es-ES"/>
        </w:rPr>
        <w:t>.</w:t>
      </w:r>
    </w:p>
    <w:p w:rsidR="00076784" w:rsidRPr="006D4BF1" w:rsidRDefault="00076784" w:rsidP="004455D9">
      <w:pPr>
        <w:jc w:val="both"/>
        <w:rPr>
          <w:rFonts w:asciiTheme="majorHAnsi" w:eastAsia="Times New Roman" w:hAnsiTheme="majorHAnsi"/>
          <w:bCs/>
          <w:kern w:val="36"/>
          <w:sz w:val="20"/>
          <w:szCs w:val="20"/>
          <w:bdr w:val="none" w:sz="0" w:space="0" w:color="auto"/>
          <w:lang w:val="es-AR"/>
        </w:rPr>
      </w:pPr>
    </w:p>
    <w:p w:rsidR="004F671F" w:rsidRPr="006D4BF1" w:rsidRDefault="004F671F" w:rsidP="008F471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outlineLvl w:val="1"/>
        <w:rPr>
          <w:rFonts w:asciiTheme="majorHAnsi" w:eastAsia="Times New Roman" w:hAnsiTheme="majorHAnsi"/>
          <w:b/>
          <w:bCs/>
          <w:sz w:val="20"/>
          <w:szCs w:val="20"/>
          <w:bdr w:val="none" w:sz="0" w:space="0" w:color="auto"/>
          <w:lang w:val="es-AR"/>
        </w:rPr>
      </w:pPr>
      <w:r w:rsidRPr="006D4BF1">
        <w:rPr>
          <w:rFonts w:asciiTheme="majorHAnsi" w:eastAsia="Times New Roman" w:hAnsiTheme="majorHAnsi"/>
          <w:b/>
          <w:bCs/>
          <w:sz w:val="20"/>
          <w:szCs w:val="20"/>
          <w:bdr w:val="none" w:sz="0" w:space="0" w:color="auto"/>
          <w:lang w:val="es-ES"/>
        </w:rPr>
        <w:t>Posición del Estado</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4F671F" w:rsidRPr="006D4BF1" w:rsidRDefault="004F671F"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ES"/>
        </w:rPr>
        <w:t xml:space="preserve">El Estado </w:t>
      </w:r>
      <w:r w:rsidR="00D64862">
        <w:rPr>
          <w:rFonts w:asciiTheme="majorHAnsi" w:eastAsia="Times New Roman" w:hAnsiTheme="majorHAnsi"/>
          <w:bCs/>
          <w:kern w:val="36"/>
          <w:sz w:val="20"/>
          <w:szCs w:val="20"/>
          <w:bdr w:val="none" w:sz="0" w:space="0" w:color="auto"/>
          <w:lang w:val="es-AR"/>
        </w:rPr>
        <w:t xml:space="preserve">panameño </w:t>
      </w:r>
      <w:r w:rsidRPr="006D4BF1">
        <w:rPr>
          <w:rFonts w:asciiTheme="majorHAnsi" w:eastAsia="Times New Roman" w:hAnsiTheme="majorHAnsi"/>
          <w:bCs/>
          <w:kern w:val="36"/>
          <w:sz w:val="20"/>
          <w:szCs w:val="20"/>
          <w:bdr w:val="none" w:sz="0" w:space="0" w:color="auto"/>
          <w:lang w:val="es-ES"/>
        </w:rPr>
        <w:t xml:space="preserve">alega la inadmisibilidad de la petición por cuanto no </w:t>
      </w:r>
      <w:r w:rsidRPr="006D4BF1">
        <w:rPr>
          <w:rFonts w:asciiTheme="majorHAnsi" w:eastAsia="Times New Roman" w:hAnsiTheme="majorHAnsi"/>
          <w:bCs/>
          <w:kern w:val="36"/>
          <w:sz w:val="20"/>
          <w:szCs w:val="20"/>
          <w:bdr w:val="none" w:sz="0" w:space="0" w:color="auto"/>
          <w:lang w:val="es-AR"/>
        </w:rPr>
        <w:t>se habría consumado el agotamiento de los recursos de jurisdicción interna exigido por el artículo 46.1.a de la Convención y 31.1 del Reglamento</w:t>
      </w:r>
      <w:r w:rsidR="00A035C6" w:rsidRPr="006D4BF1">
        <w:rPr>
          <w:rFonts w:asciiTheme="majorHAnsi" w:eastAsia="Times New Roman" w:hAnsiTheme="majorHAnsi"/>
          <w:bCs/>
          <w:kern w:val="36"/>
          <w:sz w:val="20"/>
          <w:szCs w:val="20"/>
          <w:bdr w:val="none" w:sz="0" w:space="0" w:color="auto"/>
          <w:lang w:val="es-AR"/>
        </w:rPr>
        <w:t>. A</w:t>
      </w:r>
      <w:r w:rsidRPr="006D4BF1">
        <w:rPr>
          <w:rFonts w:asciiTheme="majorHAnsi" w:eastAsia="Times New Roman" w:hAnsiTheme="majorHAnsi"/>
          <w:bCs/>
          <w:kern w:val="36"/>
          <w:sz w:val="20"/>
          <w:szCs w:val="20"/>
          <w:bdr w:val="none" w:sz="0" w:space="0" w:color="auto"/>
          <w:lang w:val="es-AR"/>
        </w:rPr>
        <w:t xml:space="preserve">simismo, </w:t>
      </w:r>
      <w:r w:rsidRPr="006D4BF1">
        <w:rPr>
          <w:rFonts w:asciiTheme="majorHAnsi" w:eastAsia="Times New Roman" w:hAnsiTheme="majorHAnsi"/>
          <w:bCs/>
          <w:kern w:val="36"/>
          <w:sz w:val="20"/>
          <w:szCs w:val="20"/>
          <w:bdr w:val="none" w:sz="0" w:space="0" w:color="auto"/>
          <w:lang w:val="es-ES"/>
        </w:rPr>
        <w:t>afirma que en el presente caso es improcedente la aplicación de las excepciones a la regla del previo agotamiento de los recursos internos, consagradas en el artículo 31.2 del Reglamento de la Comisión.</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4F671F"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En este sentido, señala la existencia de 8</w:t>
      </w:r>
      <w:r w:rsidR="00E77B20" w:rsidRPr="006D4BF1">
        <w:rPr>
          <w:rFonts w:asciiTheme="majorHAnsi" w:eastAsia="Times New Roman" w:hAnsiTheme="majorHAnsi"/>
          <w:bCs/>
          <w:kern w:val="36"/>
          <w:sz w:val="20"/>
          <w:szCs w:val="20"/>
          <w:bdr w:val="none" w:sz="0" w:space="0" w:color="auto"/>
          <w:lang w:val="es-AR"/>
        </w:rPr>
        <w:t>0</w:t>
      </w:r>
      <w:r w:rsidRPr="006D4BF1">
        <w:rPr>
          <w:rFonts w:asciiTheme="majorHAnsi" w:eastAsia="Times New Roman" w:hAnsiTheme="majorHAnsi"/>
          <w:bCs/>
          <w:kern w:val="36"/>
          <w:sz w:val="20"/>
          <w:szCs w:val="20"/>
          <w:bdr w:val="none" w:sz="0" w:space="0" w:color="auto"/>
          <w:lang w:val="es-AR"/>
        </w:rPr>
        <w:t xml:space="preserve"> procesos sustanciados en la justicia doméstica, en los cuales se habrían ventilado cuestiones vinculadas con </w:t>
      </w:r>
      <w:r w:rsidR="006E4665" w:rsidRPr="006D4BF1">
        <w:rPr>
          <w:rFonts w:asciiTheme="majorHAnsi" w:eastAsia="Times New Roman" w:hAnsiTheme="majorHAnsi"/>
          <w:bCs/>
          <w:kern w:val="36"/>
          <w:sz w:val="20"/>
          <w:szCs w:val="20"/>
          <w:bdr w:val="none" w:sz="0" w:space="0" w:color="auto"/>
          <w:lang w:val="es-AR"/>
        </w:rPr>
        <w:t xml:space="preserve">las </w:t>
      </w:r>
      <w:r w:rsidRPr="006D4BF1">
        <w:rPr>
          <w:rFonts w:asciiTheme="majorHAnsi" w:eastAsia="Times New Roman" w:hAnsiTheme="majorHAnsi"/>
          <w:bCs/>
          <w:kern w:val="36"/>
          <w:sz w:val="20"/>
          <w:szCs w:val="20"/>
          <w:bdr w:val="none" w:sz="0" w:space="0" w:color="auto"/>
          <w:lang w:val="es-AR"/>
        </w:rPr>
        <w:t xml:space="preserve">personas señaladas como presuntas víctimas. Afirma que, del análisis de la información proporcionada, se puede inferir que los peticionarios habrían tenido acceso a recursos de jurisdicción interna y que el hecho de que algunos de ellos aún se encuentren en fases sumariales, no configuraría una situación de retardo </w:t>
      </w:r>
      <w:r w:rsidR="00721D20" w:rsidRPr="006D4BF1">
        <w:rPr>
          <w:rFonts w:asciiTheme="majorHAnsi" w:eastAsia="Times New Roman" w:hAnsiTheme="majorHAnsi"/>
          <w:bCs/>
          <w:kern w:val="36"/>
          <w:sz w:val="20"/>
          <w:szCs w:val="20"/>
          <w:bdr w:val="none" w:sz="0" w:space="0" w:color="auto"/>
          <w:lang w:val="es-AR"/>
        </w:rPr>
        <w:t>in</w:t>
      </w:r>
      <w:r w:rsidRPr="006D4BF1">
        <w:rPr>
          <w:rFonts w:asciiTheme="majorHAnsi" w:eastAsia="Times New Roman" w:hAnsiTheme="majorHAnsi"/>
          <w:bCs/>
          <w:kern w:val="36"/>
          <w:sz w:val="20"/>
          <w:szCs w:val="20"/>
          <w:bdr w:val="none" w:sz="0" w:space="0" w:color="auto"/>
          <w:lang w:val="es-AR"/>
        </w:rPr>
        <w:t xml:space="preserve">justificado, sino que pondría de manifiesto la intención del Estado de hacer justicia en cada uno de los casos denunciados. </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4F671F"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Con respecto a la sustanciación de procesos judiciales internos referidos a las restantes desapariciones forzadas y ejecuciones extrajudiciales, el Estado sostiene que ha realizado las investigaciones pertinentes, encaminadas a constatar su existencia y su estado procesal. Adicionalmente, señala que en virtud de las indagaciones ejecutadas por el Ministerio Público, habría tenido conocimiento de que no existirían -en ninguna de las agencias de instrucción panameñas- registros de procedimientos en los que se hayan ventilado asuntos vinculados a las presuntas víctimas. Advierte el Estado que esta situación obedecería a razones tales como que los hechos denunciados ante la Comisión no habrían sido objeto de un proceso judicial interno o que no se trataría de violaciones a derechos humanos perpetradas en el territorio de Panamá.</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outlineLvl w:val="0"/>
        <w:rPr>
          <w:rFonts w:asciiTheme="majorHAnsi" w:eastAsia="Times New Roman" w:hAnsiTheme="majorHAnsi"/>
          <w:bCs/>
          <w:kern w:val="36"/>
          <w:sz w:val="20"/>
          <w:szCs w:val="20"/>
          <w:bdr w:val="none" w:sz="0" w:space="0" w:color="auto"/>
          <w:lang w:val="es-AR"/>
        </w:rPr>
      </w:pPr>
    </w:p>
    <w:p w:rsidR="00F4227C" w:rsidRPr="006D4BF1" w:rsidRDefault="00F4227C"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AR"/>
        </w:rPr>
        <w:t>Agrega que los expedientes de los casos de la presente petición están ubicados en diferentes despachos de instrucción, siendo evidente la com</w:t>
      </w:r>
      <w:r w:rsidR="00674BBC" w:rsidRPr="006D4BF1">
        <w:rPr>
          <w:rFonts w:asciiTheme="majorHAnsi" w:eastAsia="Times New Roman" w:hAnsiTheme="majorHAnsi"/>
          <w:bCs/>
          <w:kern w:val="36"/>
          <w:sz w:val="20"/>
          <w:szCs w:val="20"/>
          <w:bdr w:val="none" w:sz="0" w:space="0" w:color="auto"/>
          <w:lang w:val="es-AR"/>
        </w:rPr>
        <w:t>plejidad de las investigaciones</w:t>
      </w:r>
      <w:r w:rsidRPr="006D4BF1">
        <w:rPr>
          <w:rFonts w:asciiTheme="majorHAnsi" w:eastAsia="Times New Roman" w:hAnsiTheme="majorHAnsi"/>
          <w:bCs/>
          <w:kern w:val="36"/>
          <w:sz w:val="20"/>
          <w:szCs w:val="20"/>
          <w:bdr w:val="none" w:sz="0" w:space="0" w:color="auto"/>
          <w:lang w:val="es-AR"/>
        </w:rPr>
        <w:t xml:space="preserve"> en razón del tiempo transcurrido desde la ocurrencia de los hechos. Por esta razón, y con el propósito de darle un mejor seguimiento a las investigaciones, </w:t>
      </w:r>
      <w:r w:rsidRPr="006D4BF1">
        <w:rPr>
          <w:rFonts w:asciiTheme="majorHAnsi" w:eastAsia="Times New Roman" w:hAnsiTheme="majorHAnsi"/>
          <w:bCs/>
          <w:kern w:val="36"/>
          <w:sz w:val="20"/>
          <w:szCs w:val="20"/>
          <w:lang w:val="es-AR"/>
        </w:rPr>
        <w:t>indica que en marzo de 2005 el Ministerio Público cre</w:t>
      </w:r>
      <w:r w:rsidR="00674BBC" w:rsidRPr="006D4BF1">
        <w:rPr>
          <w:rFonts w:asciiTheme="majorHAnsi" w:eastAsia="Times New Roman" w:hAnsiTheme="majorHAnsi"/>
          <w:bCs/>
          <w:kern w:val="36"/>
          <w:sz w:val="20"/>
          <w:szCs w:val="20"/>
          <w:lang w:val="es-AR"/>
        </w:rPr>
        <w:t>ó</w:t>
      </w:r>
      <w:r w:rsidRPr="006D4BF1">
        <w:rPr>
          <w:rFonts w:asciiTheme="majorHAnsi" w:eastAsia="Times New Roman" w:hAnsiTheme="majorHAnsi"/>
          <w:bCs/>
          <w:kern w:val="36"/>
          <w:sz w:val="20"/>
          <w:szCs w:val="20"/>
          <w:lang w:val="es-AR"/>
        </w:rPr>
        <w:t xml:space="preserve"> el Agente de Instrucción Especial, para la investigación de los casos de desaparición forzada come</w:t>
      </w:r>
      <w:r w:rsidR="00277210">
        <w:rPr>
          <w:rFonts w:asciiTheme="majorHAnsi" w:eastAsia="Times New Roman" w:hAnsiTheme="majorHAnsi"/>
          <w:bCs/>
          <w:kern w:val="36"/>
          <w:sz w:val="20"/>
          <w:szCs w:val="20"/>
          <w:lang w:val="es-AR"/>
        </w:rPr>
        <w:t>tida por o con intervención de a</w:t>
      </w:r>
      <w:r w:rsidRPr="006D4BF1">
        <w:rPr>
          <w:rFonts w:asciiTheme="majorHAnsi" w:eastAsia="Times New Roman" w:hAnsiTheme="majorHAnsi"/>
          <w:bCs/>
          <w:kern w:val="36"/>
          <w:sz w:val="20"/>
          <w:szCs w:val="20"/>
          <w:lang w:val="es-AR"/>
        </w:rPr>
        <w:t>gentes del Estado.</w:t>
      </w:r>
    </w:p>
    <w:p w:rsidR="00F4227C" w:rsidRPr="006D4BF1" w:rsidRDefault="00F4227C" w:rsidP="00F4227C">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AR"/>
        </w:rPr>
      </w:pPr>
    </w:p>
    <w:p w:rsidR="004F671F"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eastAsia="Times New Roman" w:hAnsiTheme="majorHAnsi"/>
          <w:bCs/>
          <w:kern w:val="36"/>
          <w:sz w:val="20"/>
          <w:szCs w:val="20"/>
          <w:bdr w:val="none" w:sz="0" w:space="0" w:color="auto"/>
          <w:lang w:val="es-AR"/>
        </w:rPr>
      </w:pPr>
      <w:r w:rsidRPr="006D4BF1">
        <w:rPr>
          <w:rFonts w:asciiTheme="majorHAnsi" w:eastAsia="Times New Roman" w:hAnsiTheme="majorHAnsi"/>
          <w:bCs/>
          <w:kern w:val="36"/>
          <w:sz w:val="20"/>
          <w:szCs w:val="20"/>
          <w:bdr w:val="none" w:sz="0" w:space="0" w:color="auto"/>
          <w:lang w:val="es-ES"/>
        </w:rPr>
        <w:t>Por otra parte, señal</w:t>
      </w:r>
      <w:r w:rsidR="00E26FED" w:rsidRPr="006D4BF1">
        <w:rPr>
          <w:rFonts w:asciiTheme="majorHAnsi" w:eastAsia="Times New Roman" w:hAnsiTheme="majorHAnsi"/>
          <w:bCs/>
          <w:kern w:val="36"/>
          <w:sz w:val="20"/>
          <w:szCs w:val="20"/>
          <w:bdr w:val="none" w:sz="0" w:space="0" w:color="auto"/>
          <w:lang w:val="es-ES"/>
        </w:rPr>
        <w:t>a</w:t>
      </w:r>
      <w:r w:rsidRPr="006D4BF1">
        <w:rPr>
          <w:rFonts w:asciiTheme="majorHAnsi" w:eastAsia="Times New Roman" w:hAnsiTheme="majorHAnsi"/>
          <w:bCs/>
          <w:kern w:val="36"/>
          <w:sz w:val="20"/>
          <w:szCs w:val="20"/>
          <w:bdr w:val="none" w:sz="0" w:space="0" w:color="auto"/>
          <w:lang w:val="es-ES"/>
        </w:rPr>
        <w:t xml:space="preserve"> que en aquellos casos en los cuales los recursos de jurisdicción interna hubieren sido debidamente agotados, es voluntad</w:t>
      </w:r>
      <w:r w:rsidR="00721D20" w:rsidRPr="006D4BF1">
        <w:rPr>
          <w:rFonts w:asciiTheme="majorHAnsi" w:eastAsia="Times New Roman" w:hAnsiTheme="majorHAnsi"/>
          <w:bCs/>
          <w:kern w:val="36"/>
          <w:sz w:val="20"/>
          <w:szCs w:val="20"/>
          <w:bdr w:val="none" w:sz="0" w:space="0" w:color="auto"/>
          <w:lang w:val="es-ES"/>
        </w:rPr>
        <w:t xml:space="preserve"> del Estado</w:t>
      </w:r>
      <w:r w:rsidRPr="006D4BF1">
        <w:rPr>
          <w:rFonts w:asciiTheme="majorHAnsi" w:eastAsia="Times New Roman" w:hAnsiTheme="majorHAnsi"/>
          <w:bCs/>
          <w:kern w:val="36"/>
          <w:sz w:val="20"/>
          <w:szCs w:val="20"/>
          <w:bdr w:val="none" w:sz="0" w:space="0" w:color="auto"/>
          <w:lang w:val="es-ES"/>
        </w:rPr>
        <w:t xml:space="preserve"> concertar un acercamiento individual interno con los familiares de las víctimas involucradas.</w:t>
      </w:r>
    </w:p>
    <w:p w:rsidR="00E26FED" w:rsidRPr="006D4BF1" w:rsidRDefault="00E26FED"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4F671F" w:rsidRPr="0060470A" w:rsidRDefault="006A22BE" w:rsidP="0060470A">
      <w:pPr>
        <w:pStyle w:val="NoSpacing"/>
        <w:rPr>
          <w:rFonts w:eastAsia="Times New Roman"/>
          <w:bdr w:val="none" w:sz="0" w:space="0" w:color="auto"/>
          <w:lang w:val="es-AR"/>
        </w:rPr>
      </w:pPr>
      <w:r w:rsidRPr="006D4BF1">
        <w:t>ANÁLISIS SOBRE COMPETENCIA Y ADMISIBILIDAD</w:t>
      </w:r>
    </w:p>
    <w:p w:rsidR="004F671F" w:rsidRPr="006D4BF1" w:rsidRDefault="00034F0E" w:rsidP="00B82358">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eastAsia="Times New Roman" w:hAnsiTheme="majorHAnsi"/>
          <w:sz w:val="20"/>
          <w:szCs w:val="20"/>
          <w:bdr w:val="none" w:sz="0" w:space="0" w:color="auto"/>
          <w:lang w:val="es-AR"/>
        </w:rPr>
      </w:pPr>
      <w:r>
        <w:rPr>
          <w:rFonts w:asciiTheme="majorHAnsi" w:eastAsia="Times New Roman" w:hAnsiTheme="majorHAnsi"/>
          <w:b/>
          <w:bCs/>
          <w:sz w:val="20"/>
          <w:szCs w:val="20"/>
          <w:bdr w:val="none" w:sz="0" w:space="0" w:color="auto"/>
          <w:lang w:val="es-ES"/>
        </w:rPr>
        <w:t>A.</w:t>
      </w:r>
      <w:r w:rsidR="00153CC4">
        <w:rPr>
          <w:rFonts w:asciiTheme="majorHAnsi" w:eastAsia="Times New Roman" w:hAnsiTheme="majorHAnsi"/>
          <w:b/>
          <w:bCs/>
          <w:sz w:val="20"/>
          <w:szCs w:val="20"/>
          <w:bdr w:val="none" w:sz="0" w:space="0" w:color="auto"/>
          <w:lang w:val="es-ES"/>
        </w:rPr>
        <w:tab/>
      </w:r>
      <w:r w:rsidR="006A22BE" w:rsidRPr="006D4BF1">
        <w:rPr>
          <w:rFonts w:asciiTheme="majorHAnsi" w:eastAsia="Times New Roman" w:hAnsiTheme="majorHAnsi"/>
          <w:b/>
          <w:bCs/>
          <w:sz w:val="20"/>
          <w:szCs w:val="20"/>
          <w:bdr w:val="none" w:sz="0" w:space="0" w:color="auto"/>
          <w:lang w:val="es-ES"/>
        </w:rPr>
        <w:t>Competencia</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ES"/>
        </w:rPr>
      </w:pPr>
    </w:p>
    <w:p w:rsidR="009A1389"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Theme="majorHAnsi" w:eastAsia="Times New Roman" w:hAnsiTheme="majorHAnsi"/>
          <w:bCs/>
          <w:kern w:val="36"/>
          <w:sz w:val="20"/>
          <w:szCs w:val="20"/>
          <w:bdr w:val="none" w:sz="0" w:space="0" w:color="auto"/>
          <w:lang w:val="es-ES"/>
        </w:rPr>
      </w:pPr>
      <w:r w:rsidRPr="006D4BF1">
        <w:rPr>
          <w:rFonts w:asciiTheme="majorHAnsi" w:eastAsia="Times New Roman" w:hAnsiTheme="majorHAnsi"/>
          <w:bCs/>
          <w:kern w:val="36"/>
          <w:sz w:val="20"/>
          <w:szCs w:val="20"/>
          <w:bdr w:val="none" w:sz="0" w:space="0" w:color="auto"/>
          <w:lang w:val="es-ES"/>
        </w:rPr>
        <w:t>Los peticionarios se encuentran facultados</w:t>
      </w:r>
      <w:r w:rsidR="00983611" w:rsidRPr="006D4BF1">
        <w:rPr>
          <w:rFonts w:asciiTheme="majorHAnsi" w:eastAsia="Times New Roman" w:hAnsiTheme="majorHAnsi"/>
          <w:bCs/>
          <w:kern w:val="36"/>
          <w:sz w:val="20"/>
          <w:szCs w:val="20"/>
          <w:bdr w:val="none" w:sz="0" w:space="0" w:color="auto"/>
          <w:lang w:val="es-ES"/>
        </w:rPr>
        <w:t>, en principio,</w:t>
      </w:r>
      <w:r w:rsidRPr="006D4BF1">
        <w:rPr>
          <w:rFonts w:asciiTheme="majorHAnsi" w:eastAsia="Times New Roman" w:hAnsiTheme="majorHAnsi"/>
          <w:bCs/>
          <w:kern w:val="36"/>
          <w:sz w:val="20"/>
          <w:szCs w:val="20"/>
          <w:bdr w:val="none" w:sz="0" w:space="0" w:color="auto"/>
          <w:lang w:val="es-ES"/>
        </w:rPr>
        <w:t xml:space="preserve"> por el artículo 44 de la Convención Americana para presentar </w:t>
      </w:r>
      <w:r w:rsidR="00983611" w:rsidRPr="006D4BF1">
        <w:rPr>
          <w:rFonts w:asciiTheme="majorHAnsi" w:eastAsia="Times New Roman" w:hAnsiTheme="majorHAnsi"/>
          <w:bCs/>
          <w:kern w:val="36"/>
          <w:sz w:val="20"/>
          <w:szCs w:val="20"/>
          <w:bdr w:val="none" w:sz="0" w:space="0" w:color="auto"/>
          <w:lang w:val="es-ES"/>
        </w:rPr>
        <w:t>peticiones</w:t>
      </w:r>
      <w:r w:rsidRPr="006D4BF1">
        <w:rPr>
          <w:rFonts w:asciiTheme="majorHAnsi" w:eastAsia="Times New Roman" w:hAnsiTheme="majorHAnsi"/>
          <w:bCs/>
          <w:kern w:val="36"/>
          <w:sz w:val="20"/>
          <w:szCs w:val="20"/>
          <w:bdr w:val="none" w:sz="0" w:space="0" w:color="auto"/>
          <w:lang w:val="es-ES"/>
        </w:rPr>
        <w:t xml:space="preserve"> ante la CIDH.</w:t>
      </w:r>
      <w:r w:rsidR="009A1389" w:rsidRPr="006D4BF1">
        <w:rPr>
          <w:rFonts w:asciiTheme="majorHAnsi" w:eastAsia="Times New Roman" w:hAnsiTheme="majorHAnsi"/>
          <w:sz w:val="20"/>
          <w:szCs w:val="20"/>
          <w:bdr w:val="none" w:sz="0" w:space="0" w:color="auto"/>
          <w:lang w:val="es-ES"/>
        </w:rPr>
        <w:t xml:space="preserve"> </w:t>
      </w:r>
      <w:r w:rsidR="009A1389" w:rsidRPr="006D4BF1">
        <w:rPr>
          <w:rFonts w:asciiTheme="majorHAnsi" w:eastAsia="Times New Roman" w:hAnsiTheme="majorHAnsi"/>
          <w:bCs/>
          <w:kern w:val="36"/>
          <w:sz w:val="20"/>
          <w:szCs w:val="20"/>
          <w:bdr w:val="none" w:sz="0" w:space="0" w:color="auto"/>
          <w:lang w:val="es-ES"/>
        </w:rPr>
        <w:t>La petición señala como presuntas víctima</w:t>
      </w:r>
      <w:bookmarkStart w:id="2" w:name="_ftnref36"/>
      <w:r w:rsidR="009A1389" w:rsidRPr="006D4BF1">
        <w:rPr>
          <w:rFonts w:asciiTheme="majorHAnsi" w:eastAsia="Times New Roman" w:hAnsiTheme="majorHAnsi"/>
          <w:bCs/>
          <w:kern w:val="36"/>
          <w:sz w:val="20"/>
          <w:szCs w:val="20"/>
          <w:bdr w:val="none" w:sz="0" w:space="0" w:color="auto"/>
          <w:lang w:val="es-ES"/>
        </w:rPr>
        <w:t>s</w:t>
      </w:r>
      <w:bookmarkEnd w:id="2"/>
      <w:r w:rsidR="009A1389" w:rsidRPr="006D4BF1">
        <w:rPr>
          <w:rFonts w:asciiTheme="majorHAnsi" w:eastAsia="Times New Roman" w:hAnsiTheme="majorHAnsi"/>
          <w:bCs/>
          <w:kern w:val="36"/>
          <w:sz w:val="20"/>
          <w:szCs w:val="20"/>
          <w:bdr w:val="none" w:sz="0" w:space="0" w:color="auto"/>
          <w:lang w:val="es-ES"/>
        </w:rPr>
        <w:t xml:space="preserve"> a 1</w:t>
      </w:r>
      <w:r w:rsidR="00E53A70" w:rsidRPr="006D4BF1">
        <w:rPr>
          <w:rFonts w:asciiTheme="majorHAnsi" w:eastAsia="Times New Roman" w:hAnsiTheme="majorHAnsi"/>
          <w:bCs/>
          <w:kern w:val="36"/>
          <w:sz w:val="20"/>
          <w:szCs w:val="20"/>
          <w:bdr w:val="none" w:sz="0" w:space="0" w:color="auto"/>
          <w:lang w:val="es-ES"/>
        </w:rPr>
        <w:t>09</w:t>
      </w:r>
      <w:r w:rsidR="009A1389" w:rsidRPr="006D4BF1">
        <w:rPr>
          <w:rFonts w:asciiTheme="majorHAnsi" w:eastAsia="Times New Roman" w:hAnsiTheme="majorHAnsi"/>
          <w:bCs/>
          <w:kern w:val="36"/>
          <w:sz w:val="20"/>
          <w:szCs w:val="20"/>
          <w:bdr w:val="none" w:sz="0" w:space="0" w:color="auto"/>
          <w:lang w:val="es-ES"/>
        </w:rPr>
        <w:t xml:space="preserve"> personas naturales, respecto a quienes el Estado </w:t>
      </w:r>
      <w:r w:rsidR="009A1389" w:rsidRPr="006D4BF1">
        <w:rPr>
          <w:rFonts w:asciiTheme="majorHAnsi" w:eastAsia="Times New Roman" w:hAnsiTheme="majorHAnsi"/>
          <w:bCs/>
          <w:kern w:val="36"/>
          <w:sz w:val="20"/>
          <w:szCs w:val="20"/>
          <w:bdr w:val="none" w:sz="0" w:space="0" w:color="auto"/>
          <w:lang w:val="es-AR"/>
        </w:rPr>
        <w:t>panameño se comprometió a respetar y garantizar los derechos consagra</w:t>
      </w:r>
      <w:r w:rsidR="00E53A70" w:rsidRPr="006D4BF1">
        <w:rPr>
          <w:rFonts w:asciiTheme="majorHAnsi" w:eastAsia="Times New Roman" w:hAnsiTheme="majorHAnsi"/>
          <w:bCs/>
          <w:kern w:val="36"/>
          <w:sz w:val="20"/>
          <w:szCs w:val="20"/>
          <w:bdr w:val="none" w:sz="0" w:space="0" w:color="auto"/>
          <w:lang w:val="es-AR"/>
        </w:rPr>
        <w:t xml:space="preserve">dos en la Convención Americana. </w:t>
      </w:r>
      <w:r w:rsidR="009A1389" w:rsidRPr="006D4BF1">
        <w:rPr>
          <w:rFonts w:asciiTheme="majorHAnsi" w:eastAsia="Times New Roman" w:hAnsiTheme="majorHAnsi"/>
          <w:bCs/>
          <w:kern w:val="36"/>
          <w:sz w:val="20"/>
          <w:szCs w:val="20"/>
          <w:bdr w:val="none" w:sz="0" w:space="0" w:color="auto"/>
          <w:lang w:val="es-AR"/>
        </w:rPr>
        <w:t xml:space="preserve">En lo concerniente al Estado, la Comisión señala que Panamá </w:t>
      </w:r>
      <w:r w:rsidR="000E0EFB" w:rsidRPr="006D4BF1">
        <w:rPr>
          <w:rFonts w:asciiTheme="majorHAnsi" w:eastAsia="Times New Roman" w:hAnsiTheme="majorHAnsi"/>
          <w:bCs/>
          <w:kern w:val="36"/>
          <w:sz w:val="20"/>
          <w:szCs w:val="20"/>
          <w:bdr w:val="none" w:sz="0" w:space="0" w:color="auto"/>
          <w:lang w:val="es-AR"/>
        </w:rPr>
        <w:t>deposit</w:t>
      </w:r>
      <w:r w:rsidR="009A1389" w:rsidRPr="006D4BF1">
        <w:rPr>
          <w:rFonts w:asciiTheme="majorHAnsi" w:eastAsia="Times New Roman" w:hAnsiTheme="majorHAnsi"/>
          <w:bCs/>
          <w:kern w:val="36"/>
          <w:sz w:val="20"/>
          <w:szCs w:val="20"/>
          <w:bdr w:val="none" w:sz="0" w:space="0" w:color="auto"/>
          <w:lang w:val="es-AR"/>
        </w:rPr>
        <w:t>ó</w:t>
      </w:r>
      <w:r w:rsidR="000E0EFB" w:rsidRPr="006D4BF1">
        <w:rPr>
          <w:rFonts w:asciiTheme="majorHAnsi" w:eastAsia="Times New Roman" w:hAnsiTheme="majorHAnsi"/>
          <w:bCs/>
          <w:kern w:val="36"/>
          <w:sz w:val="20"/>
          <w:szCs w:val="20"/>
          <w:bdr w:val="none" w:sz="0" w:space="0" w:color="auto"/>
          <w:lang w:val="es-AR"/>
        </w:rPr>
        <w:t xml:space="preserve"> el instrumento de ratificación de</w:t>
      </w:r>
      <w:r w:rsidR="009A1389" w:rsidRPr="006D4BF1">
        <w:rPr>
          <w:rFonts w:asciiTheme="majorHAnsi" w:eastAsia="Times New Roman" w:hAnsiTheme="majorHAnsi"/>
          <w:bCs/>
          <w:kern w:val="36"/>
          <w:sz w:val="20"/>
          <w:szCs w:val="20"/>
          <w:bdr w:val="none" w:sz="0" w:space="0" w:color="auto"/>
          <w:lang w:val="es-AR"/>
        </w:rPr>
        <w:t xml:space="preserve"> la Convención Americana </w:t>
      </w:r>
      <w:r w:rsidR="00E53A70" w:rsidRPr="006D4BF1">
        <w:rPr>
          <w:rFonts w:asciiTheme="majorHAnsi" w:eastAsia="Times New Roman" w:hAnsiTheme="majorHAnsi"/>
          <w:bCs/>
          <w:kern w:val="36"/>
          <w:sz w:val="20"/>
          <w:szCs w:val="20"/>
          <w:bdr w:val="none" w:sz="0" w:space="0" w:color="auto"/>
          <w:lang w:val="es-AR"/>
        </w:rPr>
        <w:t>el 22 de junio de 1978.</w:t>
      </w:r>
      <w:r w:rsidR="009A1389" w:rsidRPr="006D4BF1">
        <w:rPr>
          <w:rFonts w:asciiTheme="majorHAnsi" w:eastAsia="Times New Roman" w:hAnsiTheme="majorHAnsi"/>
          <w:bCs/>
          <w:kern w:val="36"/>
          <w:sz w:val="20"/>
          <w:szCs w:val="20"/>
          <w:bdr w:val="none" w:sz="0" w:space="0" w:color="auto"/>
          <w:lang w:val="es-AR"/>
        </w:rPr>
        <w:t xml:space="preserve"> A su vez, Panamá </w:t>
      </w:r>
      <w:r w:rsidR="000E0EFB" w:rsidRPr="006D4BF1">
        <w:rPr>
          <w:rFonts w:asciiTheme="majorHAnsi" w:eastAsia="Times New Roman" w:hAnsiTheme="majorHAnsi"/>
          <w:bCs/>
          <w:kern w:val="36"/>
          <w:sz w:val="20"/>
          <w:szCs w:val="20"/>
          <w:bdr w:val="none" w:sz="0" w:space="0" w:color="auto"/>
          <w:lang w:val="es-AR"/>
        </w:rPr>
        <w:t xml:space="preserve">deposito el instrumento de ratificación de </w:t>
      </w:r>
      <w:r w:rsidR="009A1389" w:rsidRPr="006D4BF1">
        <w:rPr>
          <w:rFonts w:asciiTheme="majorHAnsi" w:eastAsia="Times New Roman" w:hAnsiTheme="majorHAnsi"/>
          <w:bCs/>
          <w:kern w:val="36"/>
          <w:sz w:val="20"/>
          <w:szCs w:val="20"/>
          <w:bdr w:val="none" w:sz="0" w:space="0" w:color="auto"/>
          <w:lang w:val="es-AR"/>
        </w:rPr>
        <w:t>la Convención sobre Desaparición Forzada de Per</w:t>
      </w:r>
      <w:r w:rsidR="000E0EFB" w:rsidRPr="006D4BF1">
        <w:rPr>
          <w:rFonts w:asciiTheme="majorHAnsi" w:eastAsia="Times New Roman" w:hAnsiTheme="majorHAnsi"/>
          <w:bCs/>
          <w:kern w:val="36"/>
          <w:sz w:val="20"/>
          <w:szCs w:val="20"/>
          <w:bdr w:val="none" w:sz="0" w:space="0" w:color="auto"/>
          <w:lang w:val="es-AR"/>
        </w:rPr>
        <w:t>sonas el 28 de febrero de 1996</w:t>
      </w:r>
      <w:r w:rsidR="003C6E3D" w:rsidRPr="006D4BF1">
        <w:rPr>
          <w:rFonts w:asciiTheme="majorHAnsi" w:eastAsia="Times New Roman" w:hAnsiTheme="majorHAnsi"/>
          <w:bCs/>
          <w:kern w:val="36"/>
          <w:sz w:val="20"/>
          <w:szCs w:val="20"/>
          <w:bdr w:val="none" w:sz="0" w:space="0" w:color="auto"/>
          <w:lang w:val="es-AR"/>
        </w:rPr>
        <w:t>, por lo que la misma entró en vigor el 28 de marzo de 1996</w:t>
      </w:r>
      <w:r w:rsidR="00E53A70" w:rsidRPr="006D4BF1">
        <w:rPr>
          <w:rFonts w:asciiTheme="majorHAnsi" w:eastAsia="Times New Roman" w:hAnsiTheme="majorHAnsi"/>
          <w:bCs/>
          <w:kern w:val="36"/>
          <w:sz w:val="20"/>
          <w:szCs w:val="20"/>
          <w:bdr w:val="none" w:sz="0" w:space="0" w:color="auto"/>
          <w:lang w:val="es-AR"/>
        </w:rPr>
        <w:t xml:space="preserve">. </w:t>
      </w:r>
      <w:r w:rsidR="009A1389" w:rsidRPr="006D4BF1">
        <w:rPr>
          <w:rFonts w:asciiTheme="majorHAnsi" w:eastAsia="Times New Roman" w:hAnsiTheme="majorHAnsi"/>
          <w:bCs/>
          <w:kern w:val="36"/>
          <w:sz w:val="20"/>
          <w:szCs w:val="20"/>
          <w:bdr w:val="none" w:sz="0" w:space="0" w:color="auto"/>
          <w:lang w:val="es-AR"/>
        </w:rPr>
        <w:t>Por lo tanto</w:t>
      </w:r>
      <w:r w:rsidR="00E53A70" w:rsidRPr="006D4BF1">
        <w:rPr>
          <w:rFonts w:asciiTheme="majorHAnsi" w:eastAsia="Times New Roman" w:hAnsiTheme="majorHAnsi"/>
          <w:bCs/>
          <w:kern w:val="36"/>
          <w:sz w:val="20"/>
          <w:szCs w:val="20"/>
          <w:bdr w:val="none" w:sz="0" w:space="0" w:color="auto"/>
          <w:lang w:val="es-AR"/>
        </w:rPr>
        <w:t xml:space="preserve">, la Comisión tiene competencia </w:t>
      </w:r>
      <w:r w:rsidR="009A1389" w:rsidRPr="006D4BF1">
        <w:rPr>
          <w:rFonts w:asciiTheme="majorHAnsi" w:eastAsia="Times New Roman" w:hAnsiTheme="majorHAnsi"/>
          <w:bCs/>
          <w:i/>
          <w:iCs/>
          <w:kern w:val="36"/>
          <w:sz w:val="20"/>
          <w:szCs w:val="20"/>
          <w:bdr w:val="none" w:sz="0" w:space="0" w:color="auto"/>
          <w:lang w:val="es-AR"/>
        </w:rPr>
        <w:t>ratione personae</w:t>
      </w:r>
      <w:r w:rsidR="00E53A70" w:rsidRPr="006D4BF1">
        <w:rPr>
          <w:rFonts w:asciiTheme="majorHAnsi" w:eastAsia="Times New Roman" w:hAnsiTheme="majorHAnsi"/>
          <w:bCs/>
          <w:kern w:val="36"/>
          <w:sz w:val="20"/>
          <w:szCs w:val="20"/>
          <w:bdr w:val="none" w:sz="0" w:space="0" w:color="auto"/>
          <w:lang w:val="es-AR"/>
        </w:rPr>
        <w:t xml:space="preserve"> </w:t>
      </w:r>
      <w:r w:rsidR="009A1389" w:rsidRPr="006D4BF1">
        <w:rPr>
          <w:rFonts w:asciiTheme="majorHAnsi" w:eastAsia="Times New Roman" w:hAnsiTheme="majorHAnsi"/>
          <w:bCs/>
          <w:kern w:val="36"/>
          <w:sz w:val="20"/>
          <w:szCs w:val="20"/>
          <w:bdr w:val="none" w:sz="0" w:space="0" w:color="auto"/>
          <w:lang w:val="es-AR"/>
        </w:rPr>
        <w:t>para examinar la petición.</w:t>
      </w:r>
    </w:p>
    <w:p w:rsidR="00D210E0" w:rsidRPr="007619C4" w:rsidRDefault="00D210E0" w:rsidP="007619C4">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bCs/>
          <w:kern w:val="36"/>
          <w:sz w:val="20"/>
          <w:szCs w:val="20"/>
          <w:bdr w:val="none" w:sz="0" w:space="0" w:color="auto"/>
          <w:lang w:val="es-ES"/>
        </w:rPr>
      </w:pPr>
    </w:p>
    <w:p w:rsidR="00446117" w:rsidRPr="006D4BF1" w:rsidRDefault="004435B1"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sz w:val="20"/>
          <w:szCs w:val="20"/>
          <w:bdr w:val="none" w:sz="0" w:space="0" w:color="auto"/>
          <w:lang w:val="es-ES"/>
        </w:rPr>
        <w:t xml:space="preserve">Con respecto a su competencia </w:t>
      </w:r>
      <w:r w:rsidRPr="006D4BF1">
        <w:rPr>
          <w:rFonts w:asciiTheme="majorHAnsi" w:eastAsia="Times New Roman" w:hAnsiTheme="majorHAnsi"/>
          <w:i/>
          <w:sz w:val="20"/>
          <w:szCs w:val="20"/>
          <w:bdr w:val="none" w:sz="0" w:space="0" w:color="auto"/>
          <w:lang w:val="es-ES"/>
        </w:rPr>
        <w:t>ratione loci</w:t>
      </w:r>
      <w:r w:rsidRPr="006D4BF1">
        <w:rPr>
          <w:rFonts w:asciiTheme="majorHAnsi" w:eastAsia="Times New Roman" w:hAnsiTheme="majorHAnsi"/>
          <w:sz w:val="20"/>
          <w:szCs w:val="20"/>
          <w:bdr w:val="none" w:sz="0" w:space="0" w:color="auto"/>
          <w:lang w:val="es-ES"/>
        </w:rPr>
        <w:t xml:space="preserve">, en relación con </w:t>
      </w:r>
      <w:r w:rsidR="004F671F" w:rsidRPr="006D4BF1">
        <w:rPr>
          <w:rFonts w:asciiTheme="majorHAnsi" w:eastAsia="Times New Roman" w:hAnsiTheme="majorHAnsi"/>
          <w:sz w:val="20"/>
          <w:szCs w:val="20"/>
          <w:bdr w:val="none" w:sz="0" w:space="0" w:color="auto"/>
          <w:lang w:val="es-ES"/>
        </w:rPr>
        <w:t>la</w:t>
      </w:r>
      <w:r w:rsidRPr="006D4BF1">
        <w:rPr>
          <w:rFonts w:asciiTheme="majorHAnsi" w:eastAsia="Times New Roman" w:hAnsiTheme="majorHAnsi"/>
          <w:sz w:val="20"/>
          <w:szCs w:val="20"/>
          <w:bdr w:val="none" w:sz="0" w:space="0" w:color="auto"/>
          <w:lang w:val="es-ES"/>
        </w:rPr>
        <w:t xml:space="preserve"> presunta</w:t>
      </w:r>
      <w:r w:rsidR="004F671F" w:rsidRPr="006D4BF1">
        <w:rPr>
          <w:rFonts w:asciiTheme="majorHAnsi" w:eastAsia="Times New Roman" w:hAnsiTheme="majorHAnsi"/>
          <w:sz w:val="20"/>
          <w:szCs w:val="20"/>
          <w:bdr w:val="none" w:sz="0" w:space="0" w:color="auto"/>
          <w:lang w:val="es-ES"/>
        </w:rPr>
        <w:t xml:space="preserve"> desaparición forzada de Juan Lekas, </w:t>
      </w:r>
      <w:r w:rsidR="00D210E0" w:rsidRPr="006D4BF1">
        <w:rPr>
          <w:rFonts w:asciiTheme="majorHAnsi" w:eastAsia="Times New Roman" w:hAnsiTheme="majorHAnsi"/>
          <w:sz w:val="20"/>
          <w:szCs w:val="20"/>
          <w:bdr w:val="none" w:sz="0" w:space="0" w:color="auto"/>
          <w:lang w:val="es-ES"/>
        </w:rPr>
        <w:t xml:space="preserve">los peticionarios indican que fue </w:t>
      </w:r>
      <w:r w:rsidR="004F671F" w:rsidRPr="006D4BF1">
        <w:rPr>
          <w:rFonts w:asciiTheme="majorHAnsi" w:eastAsia="Times New Roman" w:hAnsiTheme="majorHAnsi"/>
          <w:sz w:val="20"/>
          <w:szCs w:val="20"/>
          <w:bdr w:val="none" w:sz="0" w:space="0" w:color="auto"/>
          <w:lang w:val="es-ES"/>
        </w:rPr>
        <w:t>presuntamente perpetrada en el territorio de la Rep</w:t>
      </w:r>
      <w:r w:rsidR="00D210E0" w:rsidRPr="006D4BF1">
        <w:rPr>
          <w:rFonts w:asciiTheme="majorHAnsi" w:eastAsia="Times New Roman" w:hAnsiTheme="majorHAnsi"/>
          <w:sz w:val="20"/>
          <w:szCs w:val="20"/>
          <w:bdr w:val="none" w:sz="0" w:space="0" w:color="auto"/>
          <w:lang w:val="es-ES"/>
        </w:rPr>
        <w:t>ública Bolivariana de Venezuela y</w:t>
      </w:r>
      <w:r w:rsidR="00EB08CF" w:rsidRPr="006D4BF1">
        <w:rPr>
          <w:rFonts w:asciiTheme="majorHAnsi" w:eastAsia="Times New Roman" w:hAnsiTheme="majorHAnsi"/>
          <w:sz w:val="20"/>
          <w:szCs w:val="20"/>
          <w:bdr w:val="none" w:sz="0" w:space="0" w:color="auto"/>
          <w:lang w:val="es-ES"/>
        </w:rPr>
        <w:t>,</w:t>
      </w:r>
      <w:r w:rsidR="004F671F" w:rsidRPr="006D4BF1">
        <w:rPr>
          <w:rFonts w:asciiTheme="majorHAnsi" w:eastAsia="Times New Roman" w:hAnsiTheme="majorHAnsi"/>
          <w:sz w:val="20"/>
          <w:szCs w:val="20"/>
          <w:bdr w:val="none" w:sz="0" w:space="0" w:color="auto"/>
          <w:lang w:val="es-ES"/>
        </w:rPr>
        <w:t xml:space="preserve"> </w:t>
      </w:r>
      <w:r w:rsidR="00D210E0" w:rsidRPr="006D4BF1">
        <w:rPr>
          <w:rFonts w:asciiTheme="majorHAnsi" w:eastAsia="Times New Roman" w:hAnsiTheme="majorHAnsi"/>
          <w:sz w:val="20"/>
          <w:szCs w:val="20"/>
          <w:bdr w:val="none" w:sz="0" w:space="0" w:color="auto"/>
          <w:lang w:val="es-ES"/>
        </w:rPr>
        <w:t>según la información proporcionada</w:t>
      </w:r>
      <w:r w:rsidR="00EB08CF" w:rsidRPr="006D4BF1">
        <w:rPr>
          <w:rFonts w:asciiTheme="majorHAnsi" w:eastAsia="Times New Roman" w:hAnsiTheme="majorHAnsi"/>
          <w:sz w:val="20"/>
          <w:szCs w:val="20"/>
          <w:bdr w:val="none" w:sz="0" w:space="0" w:color="auto"/>
          <w:lang w:val="es-ES"/>
        </w:rPr>
        <w:t>,</w:t>
      </w:r>
      <w:r w:rsidR="00D210E0" w:rsidRPr="006D4BF1">
        <w:rPr>
          <w:rFonts w:asciiTheme="majorHAnsi" w:eastAsia="Times New Roman" w:hAnsiTheme="majorHAnsi"/>
          <w:sz w:val="20"/>
          <w:szCs w:val="20"/>
          <w:bdr w:val="none" w:sz="0" w:space="0" w:color="auto"/>
          <w:lang w:val="es-ES"/>
        </w:rPr>
        <w:t xml:space="preserve"> habrían intervenido en la consumación del </w:t>
      </w:r>
      <w:r w:rsidR="00D210E0" w:rsidRPr="006D4BF1">
        <w:rPr>
          <w:rFonts w:asciiTheme="majorHAnsi" w:eastAsia="Times New Roman" w:hAnsiTheme="majorHAnsi"/>
          <w:sz w:val="20"/>
          <w:szCs w:val="20"/>
          <w:bdr w:val="none" w:sz="0" w:space="0" w:color="auto"/>
          <w:lang w:val="es-ES"/>
        </w:rPr>
        <w:lastRenderedPageBreak/>
        <w:t>hecho denunciado agentes del aparato de inteligencia militar panameño G-2, auxiliados por miembros de la Dirección General Sectorial de Inteligencia y Prevenci</w:t>
      </w:r>
      <w:r w:rsidR="00674BBC" w:rsidRPr="006D4BF1">
        <w:rPr>
          <w:rFonts w:asciiTheme="majorHAnsi" w:eastAsia="Times New Roman" w:hAnsiTheme="majorHAnsi"/>
          <w:sz w:val="20"/>
          <w:szCs w:val="20"/>
          <w:bdr w:val="none" w:sz="0" w:space="0" w:color="auto"/>
          <w:lang w:val="es-ES"/>
        </w:rPr>
        <w:t>ón, fuerza policial venezolana.</w:t>
      </w:r>
    </w:p>
    <w:p w:rsidR="00446117" w:rsidRPr="007619C4" w:rsidRDefault="00446117" w:rsidP="00446117">
      <w:pPr>
        <w:rPr>
          <w:rFonts w:asciiTheme="majorHAnsi" w:eastAsia="Times New Roman" w:hAnsiTheme="majorHAnsi"/>
          <w:sz w:val="20"/>
          <w:szCs w:val="20"/>
          <w:bdr w:val="none" w:sz="0" w:space="0" w:color="auto"/>
          <w:lang w:val="es-AR"/>
        </w:rPr>
      </w:pPr>
    </w:p>
    <w:p w:rsidR="00446117" w:rsidRPr="006D4BF1" w:rsidRDefault="00D210E0"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sz w:val="20"/>
          <w:szCs w:val="20"/>
          <w:bdr w:val="none" w:sz="0" w:space="0" w:color="auto"/>
          <w:lang w:val="es-ES_tradnl"/>
        </w:rPr>
        <w:t>La Comisió</w:t>
      </w:r>
      <w:r w:rsidR="00A70E14" w:rsidRPr="006D4BF1">
        <w:rPr>
          <w:rFonts w:asciiTheme="majorHAnsi" w:eastAsia="Times New Roman" w:hAnsiTheme="majorHAnsi"/>
          <w:sz w:val="20"/>
          <w:szCs w:val="20"/>
          <w:bdr w:val="none" w:sz="0" w:space="0" w:color="auto"/>
          <w:lang w:val="es-ES_tradnl"/>
        </w:rPr>
        <w:t>n Interamericana ha determinado</w:t>
      </w:r>
      <w:r w:rsidRPr="006D4BF1">
        <w:rPr>
          <w:rFonts w:asciiTheme="majorHAnsi" w:eastAsia="Times New Roman" w:hAnsiTheme="majorHAnsi"/>
          <w:sz w:val="20"/>
          <w:szCs w:val="20"/>
          <w:bdr w:val="none" w:sz="0" w:space="0" w:color="auto"/>
          <w:lang w:val="es-ES_tradnl"/>
        </w:rPr>
        <w:t xml:space="preserve"> en </w:t>
      </w:r>
      <w:r w:rsidR="00152604" w:rsidRPr="006D4BF1">
        <w:rPr>
          <w:rFonts w:asciiTheme="majorHAnsi" w:eastAsia="Times New Roman" w:hAnsiTheme="majorHAnsi"/>
          <w:sz w:val="20"/>
          <w:szCs w:val="20"/>
          <w:bdr w:val="none" w:sz="0" w:space="0" w:color="auto"/>
          <w:lang w:val="es-ES_tradnl"/>
        </w:rPr>
        <w:t>otras ocasiones</w:t>
      </w:r>
      <w:r w:rsidRPr="006D4BF1">
        <w:rPr>
          <w:rFonts w:asciiTheme="majorHAnsi" w:eastAsia="Times New Roman" w:hAnsiTheme="majorHAnsi"/>
          <w:sz w:val="20"/>
          <w:szCs w:val="20"/>
          <w:bdr w:val="none" w:sz="0" w:space="0" w:color="auto"/>
          <w:lang w:val="es-ES_tradnl"/>
        </w:rPr>
        <w:t xml:space="preserve"> que tiene competencia </w:t>
      </w:r>
      <w:r w:rsidRPr="006D4BF1">
        <w:rPr>
          <w:rFonts w:asciiTheme="majorHAnsi" w:eastAsia="Times New Roman" w:hAnsiTheme="majorHAnsi"/>
          <w:i/>
          <w:sz w:val="20"/>
          <w:szCs w:val="20"/>
          <w:bdr w:val="none" w:sz="0" w:space="0" w:color="auto"/>
          <w:lang w:val="es-ES_tradnl"/>
        </w:rPr>
        <w:t>ratione loci</w:t>
      </w:r>
      <w:r w:rsidRPr="006D4BF1">
        <w:rPr>
          <w:rFonts w:asciiTheme="majorHAnsi" w:eastAsia="Times New Roman" w:hAnsiTheme="majorHAnsi"/>
          <w:sz w:val="20"/>
          <w:szCs w:val="20"/>
          <w:bdr w:val="none" w:sz="0" w:space="0" w:color="auto"/>
          <w:lang w:val="es-ES_tradnl"/>
        </w:rPr>
        <w:t xml:space="preserve"> respecto de un Estado por hechos ocurridos en el territorio de otro Estado, cuando las presuntas víctimas han estado sometidas a la autoridad y control de sus agentes</w:t>
      </w:r>
      <w:r w:rsidRPr="006D4BF1">
        <w:rPr>
          <w:rFonts w:asciiTheme="majorHAnsi" w:eastAsia="Times New Roman" w:hAnsiTheme="majorHAnsi"/>
          <w:sz w:val="20"/>
          <w:szCs w:val="20"/>
          <w:bdr w:val="none" w:sz="0" w:space="0" w:color="auto"/>
          <w:vertAlign w:val="superscript"/>
          <w:lang w:val="es-ES_tradnl"/>
        </w:rPr>
        <w:footnoteReference w:id="9"/>
      </w:r>
      <w:r w:rsidRPr="006D4BF1">
        <w:rPr>
          <w:rFonts w:asciiTheme="majorHAnsi" w:eastAsia="Times New Roman" w:hAnsiTheme="majorHAnsi"/>
          <w:sz w:val="20"/>
          <w:szCs w:val="20"/>
          <w:bdr w:val="none" w:sz="0" w:space="0" w:color="auto"/>
          <w:lang w:val="es-ES_tradnl"/>
        </w:rPr>
        <w:t xml:space="preserve">. </w:t>
      </w:r>
      <w:r w:rsidR="001D7CD4" w:rsidRPr="006D4BF1">
        <w:rPr>
          <w:rFonts w:asciiTheme="majorHAnsi" w:eastAsia="Times New Roman" w:hAnsiTheme="majorHAnsi"/>
          <w:sz w:val="20"/>
          <w:szCs w:val="20"/>
          <w:bdr w:val="none" w:sz="0" w:space="0" w:color="auto"/>
          <w:lang w:val="es-ES_tradnl"/>
        </w:rPr>
        <w:t>Por ello, en la determinación de la jurisdicción resulta decisivo para la Comisión el</w:t>
      </w:r>
      <w:r w:rsidR="007F620B">
        <w:rPr>
          <w:rFonts w:asciiTheme="majorHAnsi" w:eastAsia="Times New Roman" w:hAnsiTheme="majorHAnsi"/>
          <w:sz w:val="20"/>
          <w:szCs w:val="20"/>
          <w:bdr w:val="none" w:sz="0" w:space="0" w:color="auto"/>
          <w:lang w:val="es-ES_tradnl"/>
        </w:rPr>
        <w:t xml:space="preserve"> presunto</w:t>
      </w:r>
      <w:r w:rsidR="001D7CD4" w:rsidRPr="006D4BF1">
        <w:rPr>
          <w:rFonts w:asciiTheme="majorHAnsi" w:eastAsia="Times New Roman" w:hAnsiTheme="majorHAnsi"/>
          <w:sz w:val="20"/>
          <w:szCs w:val="20"/>
          <w:bdr w:val="none" w:sz="0" w:space="0" w:color="auto"/>
          <w:lang w:val="es-ES_tradnl"/>
        </w:rPr>
        <w:t xml:space="preserve"> ejercicio de autoridad sobre las personas por parte de agentes de un Estado aunque no se lleve a cabo en su territorio, sin que se exija necesariamente la existencia de una relación legal formal o estructurada y prolongada en el tiempo para vincular la responsabilidad de un Estado por hechos cometidos por sus agentes en el extranjero. Al momento de analizar el ámbito de jurisdicción de la Convención Americana, es necesario determinar si existe un nexo de causalidad entre la conducta extraterritorial de un Estado y la alegada violación de los derechos y libertades de una persona</w:t>
      </w:r>
      <w:r w:rsidR="00674BBC" w:rsidRPr="006D4BF1">
        <w:rPr>
          <w:rFonts w:asciiTheme="majorHAnsi" w:eastAsia="Times New Roman" w:hAnsiTheme="majorHAnsi"/>
          <w:sz w:val="20"/>
          <w:szCs w:val="20"/>
          <w:bdr w:val="none" w:sz="0" w:space="0" w:color="auto"/>
          <w:vertAlign w:val="superscript"/>
          <w:lang w:val="es-ES_tradnl"/>
        </w:rPr>
        <w:footnoteReference w:id="10"/>
      </w:r>
      <w:r w:rsidR="001D7CD4" w:rsidRPr="006D4BF1">
        <w:rPr>
          <w:rFonts w:asciiTheme="majorHAnsi" w:eastAsia="Times New Roman" w:hAnsiTheme="majorHAnsi"/>
          <w:sz w:val="20"/>
          <w:szCs w:val="20"/>
          <w:bdr w:val="none" w:sz="0" w:space="0" w:color="auto"/>
          <w:lang w:val="es-ES_tradnl"/>
        </w:rPr>
        <w:t>.</w:t>
      </w:r>
      <w:r w:rsidR="00152604" w:rsidRPr="006D4BF1">
        <w:rPr>
          <w:rFonts w:asciiTheme="majorHAnsi" w:eastAsia="Times New Roman" w:hAnsiTheme="majorHAnsi"/>
          <w:sz w:val="20"/>
          <w:szCs w:val="20"/>
          <w:bdr w:val="none" w:sz="0" w:space="0" w:color="auto"/>
          <w:lang w:val="es-ES_tradnl"/>
        </w:rPr>
        <w:t xml:space="preserve"> </w:t>
      </w:r>
    </w:p>
    <w:p w:rsidR="00446117" w:rsidRPr="006D4BF1" w:rsidRDefault="00446117" w:rsidP="007619C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02217C" w:rsidRDefault="001D7CD4"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sz w:val="20"/>
          <w:szCs w:val="20"/>
          <w:bdr w:val="none" w:sz="0" w:space="0" w:color="auto"/>
          <w:lang w:val="es-ES_tradnl"/>
        </w:rPr>
        <w:t xml:space="preserve">Si bien en esta etapa no corresponde dar por probados los alegatos de parte peticionaria, </w:t>
      </w:r>
      <w:r w:rsidR="00152604" w:rsidRPr="006D4BF1">
        <w:rPr>
          <w:rFonts w:asciiTheme="majorHAnsi" w:eastAsia="Times New Roman" w:hAnsiTheme="majorHAnsi"/>
          <w:sz w:val="20"/>
          <w:szCs w:val="20"/>
          <w:bdr w:val="none" w:sz="0" w:space="0" w:color="auto"/>
          <w:lang w:val="es-ES_tradnl"/>
        </w:rPr>
        <w:t>la Comisión considera que l</w:t>
      </w:r>
      <w:r w:rsidR="00446117" w:rsidRPr="006D4BF1">
        <w:rPr>
          <w:rFonts w:asciiTheme="majorHAnsi" w:eastAsia="Times New Roman" w:hAnsiTheme="majorHAnsi"/>
          <w:sz w:val="20"/>
          <w:szCs w:val="20"/>
          <w:bdr w:val="none" w:sz="0" w:space="0" w:color="auto"/>
          <w:lang w:val="es-ES_tradnl"/>
        </w:rPr>
        <w:t>a</w:t>
      </w:r>
      <w:r w:rsidR="00152604" w:rsidRPr="006D4BF1">
        <w:rPr>
          <w:rFonts w:asciiTheme="majorHAnsi" w:eastAsia="Times New Roman" w:hAnsiTheme="majorHAnsi"/>
          <w:sz w:val="20"/>
          <w:szCs w:val="20"/>
          <w:bdr w:val="none" w:sz="0" w:space="0" w:color="auto"/>
          <w:lang w:val="es-ES_tradnl"/>
        </w:rPr>
        <w:t xml:space="preserve">s </w:t>
      </w:r>
      <w:r w:rsidR="00446117" w:rsidRPr="006D4BF1">
        <w:rPr>
          <w:rFonts w:asciiTheme="majorHAnsi" w:eastAsia="Times New Roman" w:hAnsiTheme="majorHAnsi"/>
          <w:sz w:val="20"/>
          <w:szCs w:val="20"/>
          <w:bdr w:val="none" w:sz="0" w:space="0" w:color="auto"/>
          <w:lang w:val="es-ES_tradnl"/>
        </w:rPr>
        <w:t>indicacione</w:t>
      </w:r>
      <w:r w:rsidR="00152604" w:rsidRPr="006D4BF1">
        <w:rPr>
          <w:rFonts w:asciiTheme="majorHAnsi" w:eastAsia="Times New Roman" w:hAnsiTheme="majorHAnsi"/>
          <w:sz w:val="20"/>
          <w:szCs w:val="20"/>
          <w:bdr w:val="none" w:sz="0" w:space="0" w:color="auto"/>
          <w:lang w:val="es-ES_tradnl"/>
        </w:rPr>
        <w:t>s sobre la supuesta participación de elementos de inteligencia militar</w:t>
      </w:r>
      <w:r w:rsidR="00446117" w:rsidRPr="006D4BF1">
        <w:rPr>
          <w:rFonts w:asciiTheme="majorHAnsi" w:eastAsia="Times New Roman" w:hAnsiTheme="majorHAnsi"/>
          <w:sz w:val="20"/>
          <w:szCs w:val="20"/>
          <w:bdr w:val="none" w:sz="0" w:space="0" w:color="auto"/>
          <w:lang w:val="es-ES_tradnl"/>
        </w:rPr>
        <w:t xml:space="preserve"> panameña</w:t>
      </w:r>
      <w:r w:rsidR="00152604" w:rsidRPr="006D4BF1">
        <w:rPr>
          <w:rFonts w:asciiTheme="majorHAnsi" w:eastAsia="Times New Roman" w:hAnsiTheme="majorHAnsi"/>
          <w:sz w:val="20"/>
          <w:szCs w:val="20"/>
          <w:bdr w:val="none" w:sz="0" w:space="0" w:color="auto"/>
          <w:lang w:val="es-ES_tradnl"/>
        </w:rPr>
        <w:t xml:space="preserve"> en la desaparición forzada de Juan Lekas son suficientes para </w:t>
      </w:r>
      <w:r w:rsidR="006C67D5">
        <w:rPr>
          <w:rFonts w:asciiTheme="majorHAnsi" w:eastAsia="Times New Roman" w:hAnsiTheme="majorHAnsi"/>
          <w:sz w:val="20"/>
          <w:szCs w:val="20"/>
          <w:bdr w:val="none" w:sz="0" w:space="0" w:color="auto"/>
          <w:lang w:val="es-ES_tradnl"/>
        </w:rPr>
        <w:t>requerir un análisis en la etapa del fondo respecto a si</w:t>
      </w:r>
      <w:r w:rsidR="00152604" w:rsidRPr="006D4BF1">
        <w:rPr>
          <w:rFonts w:asciiTheme="majorHAnsi" w:eastAsia="Times New Roman" w:hAnsiTheme="majorHAnsi"/>
          <w:sz w:val="20"/>
          <w:szCs w:val="20"/>
          <w:bdr w:val="none" w:sz="0" w:space="0" w:color="auto"/>
          <w:lang w:val="es-ES_tradnl"/>
        </w:rPr>
        <w:t xml:space="preserve"> el Estado de Panamá ejerció jurisdicción extraterritorial. </w:t>
      </w:r>
      <w:r w:rsidR="00A70E14" w:rsidRPr="006D4BF1">
        <w:rPr>
          <w:rFonts w:asciiTheme="majorHAnsi" w:eastAsia="Times New Roman" w:hAnsiTheme="majorHAnsi"/>
          <w:sz w:val="20"/>
          <w:szCs w:val="20"/>
          <w:bdr w:val="none" w:sz="0" w:space="0" w:color="auto"/>
          <w:lang w:val="es-ES"/>
        </w:rPr>
        <w:t>Por lo anterior</w:t>
      </w:r>
      <w:r w:rsidR="00D81A32" w:rsidRPr="006D4BF1">
        <w:rPr>
          <w:rFonts w:asciiTheme="majorHAnsi" w:eastAsia="Times New Roman" w:hAnsiTheme="majorHAnsi"/>
          <w:sz w:val="20"/>
          <w:szCs w:val="20"/>
          <w:bdr w:val="none" w:sz="0" w:space="0" w:color="auto"/>
          <w:lang w:val="es-ES"/>
        </w:rPr>
        <w:t xml:space="preserve">, </w:t>
      </w:r>
      <w:r w:rsidR="00D210E0" w:rsidRPr="006D4BF1">
        <w:rPr>
          <w:rFonts w:asciiTheme="majorHAnsi" w:eastAsia="Times New Roman" w:hAnsiTheme="majorHAnsi"/>
          <w:sz w:val="20"/>
          <w:szCs w:val="20"/>
          <w:bdr w:val="none" w:sz="0" w:space="0" w:color="auto"/>
          <w:lang w:val="es-ES"/>
        </w:rPr>
        <w:t>la Comisión considera admisible la petición presentada contra el Estado de Panamá</w:t>
      </w:r>
      <w:r w:rsidR="00D81A32" w:rsidRPr="006D4BF1">
        <w:rPr>
          <w:rFonts w:asciiTheme="majorHAnsi" w:eastAsia="Times New Roman" w:hAnsiTheme="majorHAnsi"/>
          <w:sz w:val="20"/>
          <w:szCs w:val="20"/>
          <w:bdr w:val="none" w:sz="0" w:space="0" w:color="auto"/>
          <w:lang w:val="es-ES"/>
        </w:rPr>
        <w:t xml:space="preserve"> respecto a este caso.</w:t>
      </w:r>
    </w:p>
    <w:p w:rsidR="0002217C" w:rsidRDefault="0002217C" w:rsidP="0002217C">
      <w:pPr>
        <w:pStyle w:val="ListParagraph"/>
        <w:rPr>
          <w:rFonts w:asciiTheme="majorHAnsi" w:eastAsia="Times New Roman" w:hAnsiTheme="majorHAnsi"/>
          <w:sz w:val="20"/>
          <w:szCs w:val="20"/>
          <w:bdr w:val="none" w:sz="0" w:space="0" w:color="auto"/>
          <w:lang w:val="es-ES"/>
        </w:rPr>
      </w:pPr>
    </w:p>
    <w:p w:rsidR="001041AD" w:rsidRPr="0002217C" w:rsidRDefault="004435B1"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lang w:val="es-AR"/>
        </w:rPr>
      </w:pPr>
      <w:r w:rsidRPr="0002217C">
        <w:rPr>
          <w:rFonts w:asciiTheme="majorHAnsi" w:eastAsia="Times New Roman" w:hAnsiTheme="majorHAnsi"/>
          <w:sz w:val="20"/>
          <w:szCs w:val="20"/>
          <w:bdr w:val="none" w:sz="0" w:space="0" w:color="auto"/>
          <w:lang w:val="es-ES"/>
        </w:rPr>
        <w:t xml:space="preserve">Por otra parte, </w:t>
      </w:r>
      <w:r w:rsidR="007E44EF" w:rsidRPr="0002217C">
        <w:rPr>
          <w:rFonts w:asciiTheme="majorHAnsi" w:eastAsia="Times New Roman" w:hAnsiTheme="majorHAnsi"/>
          <w:sz w:val="20"/>
          <w:szCs w:val="20"/>
          <w:bdr w:val="none" w:sz="0" w:space="0" w:color="auto"/>
          <w:lang w:val="es-ES"/>
        </w:rPr>
        <w:t xml:space="preserve">la petición indica que </w:t>
      </w:r>
      <w:r w:rsidR="001041AD" w:rsidRPr="0002217C">
        <w:rPr>
          <w:rFonts w:asciiTheme="majorHAnsi" w:eastAsia="Times New Roman" w:hAnsiTheme="majorHAnsi"/>
          <w:sz w:val="20"/>
          <w:szCs w:val="20"/>
          <w:bdr w:val="none" w:sz="0" w:space="0" w:color="auto"/>
          <w:lang w:val="es-ES"/>
        </w:rPr>
        <w:t>las presuntas ejecuciones extrajudiciales de Walter Sardiña</w:t>
      </w:r>
      <w:r w:rsidR="007E44EF">
        <w:rPr>
          <w:rFonts w:asciiTheme="majorHAnsi" w:eastAsia="Times New Roman" w:hAnsiTheme="majorHAnsi"/>
          <w:sz w:val="20"/>
          <w:szCs w:val="20"/>
          <w:bdr w:val="none" w:sz="0" w:space="0" w:color="auto"/>
          <w:lang w:val="es-ES"/>
        </w:rPr>
        <w:t>s y de Ernesto Castillo Cubilla</w:t>
      </w:r>
      <w:r w:rsidR="001041AD" w:rsidRPr="0002217C">
        <w:rPr>
          <w:rFonts w:asciiTheme="majorHAnsi" w:eastAsia="Times New Roman" w:hAnsiTheme="majorHAnsi"/>
          <w:sz w:val="20"/>
          <w:szCs w:val="20"/>
          <w:bdr w:val="none" w:sz="0" w:space="0" w:color="auto"/>
          <w:lang w:val="es-ES"/>
        </w:rPr>
        <w:t xml:space="preserve"> habrían sido perpetradas en el Estado de Costa Rica</w:t>
      </w:r>
      <w:r w:rsidR="005132A4">
        <w:rPr>
          <w:rFonts w:asciiTheme="majorHAnsi" w:eastAsia="Times New Roman" w:hAnsiTheme="majorHAnsi"/>
          <w:sz w:val="20"/>
          <w:szCs w:val="20"/>
          <w:bdr w:val="none" w:sz="0" w:space="0" w:color="auto"/>
          <w:lang w:val="es-ES"/>
        </w:rPr>
        <w:t>;</w:t>
      </w:r>
      <w:r w:rsidR="007E44EF">
        <w:rPr>
          <w:rFonts w:asciiTheme="majorHAnsi" w:eastAsia="Times New Roman" w:hAnsiTheme="majorHAnsi"/>
          <w:sz w:val="20"/>
          <w:szCs w:val="20"/>
          <w:bdr w:val="none" w:sz="0" w:space="0" w:color="auto"/>
          <w:lang w:val="es-ES"/>
        </w:rPr>
        <w:t xml:space="preserve"> </w:t>
      </w:r>
      <w:r w:rsidR="00464A95">
        <w:rPr>
          <w:rFonts w:asciiTheme="majorHAnsi" w:eastAsia="Times New Roman" w:hAnsiTheme="majorHAnsi"/>
          <w:sz w:val="20"/>
          <w:szCs w:val="20"/>
          <w:bdr w:val="none" w:sz="0" w:space="0" w:color="auto"/>
          <w:lang w:val="es-ES"/>
        </w:rPr>
        <w:t>en el primer caso</w:t>
      </w:r>
      <w:r w:rsidR="00464A95" w:rsidRPr="0002217C">
        <w:rPr>
          <w:rFonts w:asciiTheme="majorHAnsi" w:eastAsia="Times New Roman" w:hAnsiTheme="majorHAnsi"/>
          <w:sz w:val="20"/>
          <w:szCs w:val="20"/>
          <w:bdr w:val="none" w:sz="0" w:space="0" w:color="auto"/>
          <w:lang w:val="es-ES"/>
        </w:rPr>
        <w:t xml:space="preserve"> </w:t>
      </w:r>
      <w:r w:rsidR="008634F2" w:rsidRPr="0002217C">
        <w:rPr>
          <w:rFonts w:asciiTheme="majorHAnsi" w:eastAsia="Times New Roman" w:hAnsiTheme="majorHAnsi"/>
          <w:sz w:val="20"/>
          <w:szCs w:val="20"/>
          <w:bdr w:val="none" w:sz="0" w:space="0" w:color="auto"/>
          <w:lang w:val="es-ES"/>
        </w:rPr>
        <w:t>por</w:t>
      </w:r>
      <w:r w:rsidR="007E44EF">
        <w:rPr>
          <w:rFonts w:asciiTheme="majorHAnsi" w:eastAsia="Times New Roman" w:hAnsiTheme="majorHAnsi"/>
          <w:sz w:val="20"/>
          <w:szCs w:val="20"/>
          <w:bdr w:val="none" w:sz="0" w:space="0" w:color="auto"/>
          <w:lang w:val="es-ES"/>
        </w:rPr>
        <w:t xml:space="preserve"> agentes </w:t>
      </w:r>
      <w:r w:rsidR="00C07D25">
        <w:rPr>
          <w:rFonts w:asciiTheme="majorHAnsi" w:eastAsia="Times New Roman" w:hAnsiTheme="majorHAnsi"/>
          <w:sz w:val="20"/>
          <w:szCs w:val="20"/>
          <w:bdr w:val="none" w:sz="0" w:space="0" w:color="auto"/>
          <w:lang w:val="es-ES"/>
        </w:rPr>
        <w:t xml:space="preserve">de la Guardia Civil costarricenses, </w:t>
      </w:r>
      <w:r w:rsidR="007E44EF">
        <w:rPr>
          <w:rFonts w:asciiTheme="majorHAnsi" w:eastAsia="Times New Roman" w:hAnsiTheme="majorHAnsi"/>
          <w:sz w:val="20"/>
          <w:szCs w:val="20"/>
          <w:bdr w:val="none" w:sz="0" w:space="0" w:color="auto"/>
          <w:lang w:val="es-ES"/>
        </w:rPr>
        <w:t>al intentar capturar</w:t>
      </w:r>
      <w:r w:rsidR="00C07D25">
        <w:rPr>
          <w:rFonts w:asciiTheme="majorHAnsi" w:eastAsia="Times New Roman" w:hAnsiTheme="majorHAnsi"/>
          <w:sz w:val="20"/>
          <w:szCs w:val="20"/>
          <w:bdr w:val="none" w:sz="0" w:space="0" w:color="auto"/>
          <w:lang w:val="es-ES"/>
        </w:rPr>
        <w:t xml:space="preserve"> a la presunta víctima</w:t>
      </w:r>
      <w:r w:rsidR="007E44EF">
        <w:rPr>
          <w:rFonts w:asciiTheme="majorHAnsi" w:eastAsia="Times New Roman" w:hAnsiTheme="majorHAnsi"/>
          <w:sz w:val="20"/>
          <w:szCs w:val="20"/>
          <w:bdr w:val="none" w:sz="0" w:space="0" w:color="auto"/>
          <w:lang w:val="es-ES"/>
        </w:rPr>
        <w:t xml:space="preserve"> en San José</w:t>
      </w:r>
      <w:r w:rsidR="008634F2" w:rsidRPr="0002217C">
        <w:rPr>
          <w:rFonts w:asciiTheme="majorHAnsi" w:eastAsia="Times New Roman" w:hAnsiTheme="majorHAnsi"/>
          <w:sz w:val="20"/>
          <w:szCs w:val="20"/>
          <w:bdr w:val="none" w:sz="0" w:space="0" w:color="auto"/>
          <w:lang w:val="es-ES"/>
        </w:rPr>
        <w:t xml:space="preserve"> y </w:t>
      </w:r>
      <w:r w:rsidR="00C07D25" w:rsidRPr="0002217C">
        <w:rPr>
          <w:rFonts w:asciiTheme="majorHAnsi" w:eastAsia="Times New Roman" w:hAnsiTheme="majorHAnsi"/>
          <w:sz w:val="20"/>
          <w:szCs w:val="20"/>
          <w:bdr w:val="none" w:sz="0" w:space="0" w:color="auto"/>
          <w:lang w:val="es-ES"/>
        </w:rPr>
        <w:t>en el segundo</w:t>
      </w:r>
      <w:r w:rsidR="00C07D25">
        <w:rPr>
          <w:rFonts w:asciiTheme="majorHAnsi" w:eastAsia="Times New Roman" w:hAnsiTheme="majorHAnsi"/>
          <w:sz w:val="20"/>
          <w:szCs w:val="20"/>
          <w:bdr w:val="none" w:sz="0" w:space="0" w:color="auto"/>
          <w:lang w:val="es-ES"/>
        </w:rPr>
        <w:t xml:space="preserve"> caso</w:t>
      </w:r>
      <w:r w:rsidR="00C07D25" w:rsidRPr="0002217C">
        <w:rPr>
          <w:rFonts w:asciiTheme="majorHAnsi" w:eastAsia="Times New Roman" w:hAnsiTheme="majorHAnsi"/>
          <w:sz w:val="20"/>
          <w:szCs w:val="20"/>
          <w:bdr w:val="none" w:sz="0" w:space="0" w:color="auto"/>
          <w:lang w:val="es-ES"/>
        </w:rPr>
        <w:t xml:space="preserve"> </w:t>
      </w:r>
      <w:r w:rsidR="008634F2" w:rsidRPr="0002217C">
        <w:rPr>
          <w:rFonts w:asciiTheme="majorHAnsi" w:eastAsia="Times New Roman" w:hAnsiTheme="majorHAnsi"/>
          <w:sz w:val="20"/>
          <w:szCs w:val="20"/>
          <w:bdr w:val="none" w:sz="0" w:space="0" w:color="auto"/>
          <w:lang w:val="es-ES"/>
        </w:rPr>
        <w:t>por un individuo particular</w:t>
      </w:r>
      <w:r w:rsidR="005132A4">
        <w:rPr>
          <w:rFonts w:asciiTheme="majorHAnsi" w:eastAsia="Times New Roman" w:hAnsiTheme="majorHAnsi"/>
          <w:sz w:val="20"/>
          <w:szCs w:val="20"/>
          <w:bdr w:val="none" w:sz="0" w:space="0" w:color="auto"/>
          <w:lang w:val="es-ES"/>
        </w:rPr>
        <w:t xml:space="preserve">, </w:t>
      </w:r>
      <w:r w:rsidR="007E44EF">
        <w:rPr>
          <w:rFonts w:asciiTheme="majorHAnsi" w:eastAsia="Times New Roman" w:hAnsiTheme="majorHAnsi"/>
          <w:sz w:val="20"/>
          <w:szCs w:val="20"/>
          <w:bdr w:val="none" w:sz="0" w:space="0" w:color="auto"/>
          <w:lang w:val="es-ES"/>
        </w:rPr>
        <w:t xml:space="preserve">supuestamente </w:t>
      </w:r>
      <w:r w:rsidR="008634F2" w:rsidRPr="0002217C">
        <w:rPr>
          <w:rFonts w:asciiTheme="majorHAnsi" w:eastAsia="Times New Roman" w:hAnsiTheme="majorHAnsi"/>
          <w:sz w:val="20"/>
          <w:szCs w:val="20"/>
          <w:bdr w:val="none" w:sz="0" w:space="0" w:color="auto"/>
          <w:lang w:val="es-ES"/>
        </w:rPr>
        <w:t>sin intervención de agentes estatales panameños</w:t>
      </w:r>
      <w:r w:rsidR="007E44EF">
        <w:rPr>
          <w:rFonts w:asciiTheme="majorHAnsi" w:eastAsia="Times New Roman" w:hAnsiTheme="majorHAnsi"/>
          <w:sz w:val="20"/>
          <w:szCs w:val="20"/>
          <w:bdr w:val="none" w:sz="0" w:space="0" w:color="auto"/>
          <w:lang w:val="es-ES"/>
        </w:rPr>
        <w:t xml:space="preserve">. </w:t>
      </w:r>
      <w:r w:rsidR="005132A4">
        <w:rPr>
          <w:rFonts w:asciiTheme="majorHAnsi" w:eastAsia="Times New Roman" w:hAnsiTheme="majorHAnsi"/>
          <w:sz w:val="20"/>
          <w:szCs w:val="20"/>
          <w:bdr w:val="none" w:sz="0" w:space="0" w:color="auto"/>
          <w:lang w:val="es-ES"/>
        </w:rPr>
        <w:t>Según lo indicado,</w:t>
      </w:r>
      <w:r w:rsidR="007E44EF">
        <w:rPr>
          <w:rFonts w:asciiTheme="majorHAnsi" w:eastAsia="Times New Roman" w:hAnsiTheme="majorHAnsi"/>
          <w:sz w:val="20"/>
          <w:szCs w:val="20"/>
          <w:bdr w:val="none" w:sz="0" w:space="0" w:color="auto"/>
          <w:lang w:val="es-ES"/>
        </w:rPr>
        <w:t xml:space="preserve"> </w:t>
      </w:r>
      <w:r w:rsidR="00435114">
        <w:rPr>
          <w:rFonts w:asciiTheme="majorHAnsi" w:eastAsia="Times New Roman" w:hAnsiTheme="majorHAnsi"/>
          <w:sz w:val="20"/>
          <w:szCs w:val="20"/>
          <w:bdr w:val="none" w:sz="0" w:space="0" w:color="auto"/>
          <w:lang w:val="es-ES"/>
        </w:rPr>
        <w:t>l</w:t>
      </w:r>
      <w:r w:rsidR="00223D52">
        <w:rPr>
          <w:rFonts w:asciiTheme="majorHAnsi" w:eastAsia="Times New Roman" w:hAnsiTheme="majorHAnsi"/>
          <w:sz w:val="20"/>
          <w:szCs w:val="20"/>
          <w:bdr w:val="none" w:sz="0" w:space="0" w:color="auto"/>
          <w:lang w:val="es-ES"/>
        </w:rPr>
        <w:t>o</w:t>
      </w:r>
      <w:r w:rsidR="00435114">
        <w:rPr>
          <w:rFonts w:asciiTheme="majorHAnsi" w:eastAsia="Times New Roman" w:hAnsiTheme="majorHAnsi"/>
          <w:sz w:val="20"/>
          <w:szCs w:val="20"/>
          <w:bdr w:val="none" w:sz="0" w:space="0" w:color="auto"/>
          <w:lang w:val="es-ES"/>
        </w:rPr>
        <w:t xml:space="preserve">s </w:t>
      </w:r>
      <w:r w:rsidR="00223D52">
        <w:rPr>
          <w:rFonts w:asciiTheme="majorHAnsi" w:eastAsia="Times New Roman" w:hAnsiTheme="majorHAnsi"/>
          <w:sz w:val="20"/>
          <w:szCs w:val="20"/>
          <w:bdr w:val="none" w:sz="0" w:space="0" w:color="auto"/>
          <w:lang w:val="es-ES"/>
        </w:rPr>
        <w:t>hechos</w:t>
      </w:r>
      <w:r w:rsidR="00435114" w:rsidRPr="0002217C">
        <w:rPr>
          <w:rFonts w:asciiTheme="majorHAnsi" w:eastAsia="Times New Roman" w:hAnsiTheme="majorHAnsi"/>
          <w:sz w:val="20"/>
          <w:szCs w:val="20"/>
          <w:bdr w:val="none" w:sz="0" w:space="0" w:color="auto"/>
          <w:lang w:val="es-ES"/>
        </w:rPr>
        <w:t xml:space="preserve"> </w:t>
      </w:r>
      <w:r w:rsidR="00223D52">
        <w:rPr>
          <w:rFonts w:asciiTheme="majorHAnsi" w:eastAsia="Times New Roman" w:hAnsiTheme="majorHAnsi"/>
          <w:sz w:val="20"/>
          <w:szCs w:val="20"/>
          <w:bdr w:val="none" w:sz="0" w:space="0" w:color="auto"/>
          <w:lang w:val="es-ES"/>
        </w:rPr>
        <w:t xml:space="preserve">denunciados </w:t>
      </w:r>
      <w:r w:rsidR="00435114">
        <w:rPr>
          <w:rFonts w:asciiTheme="majorHAnsi" w:eastAsia="Times New Roman" w:hAnsiTheme="majorHAnsi"/>
          <w:sz w:val="20"/>
          <w:szCs w:val="20"/>
          <w:bdr w:val="none" w:sz="0" w:space="0" w:color="auto"/>
          <w:lang w:val="es-ES"/>
        </w:rPr>
        <w:t xml:space="preserve">no </w:t>
      </w:r>
      <w:r w:rsidR="005132A4">
        <w:rPr>
          <w:rFonts w:asciiTheme="majorHAnsi" w:eastAsia="Times New Roman" w:hAnsiTheme="majorHAnsi"/>
          <w:sz w:val="20"/>
          <w:szCs w:val="20"/>
          <w:bdr w:val="none" w:sz="0" w:space="0" w:color="auto"/>
          <w:lang w:val="es-ES"/>
        </w:rPr>
        <w:t>estarían vinculados</w:t>
      </w:r>
      <w:r w:rsidR="00435114">
        <w:rPr>
          <w:rFonts w:asciiTheme="majorHAnsi" w:eastAsia="Times New Roman" w:hAnsiTheme="majorHAnsi"/>
          <w:sz w:val="20"/>
          <w:szCs w:val="20"/>
          <w:bdr w:val="none" w:sz="0" w:space="0" w:color="auto"/>
          <w:lang w:val="es-ES"/>
        </w:rPr>
        <w:t xml:space="preserve"> con</w:t>
      </w:r>
      <w:r w:rsidR="00435114" w:rsidRPr="0002217C">
        <w:rPr>
          <w:rFonts w:asciiTheme="majorHAnsi" w:eastAsia="Times New Roman" w:hAnsiTheme="majorHAnsi"/>
          <w:sz w:val="20"/>
          <w:szCs w:val="20"/>
          <w:bdr w:val="none" w:sz="0" w:space="0" w:color="auto"/>
          <w:lang w:val="es-ES"/>
        </w:rPr>
        <w:t xml:space="preserve"> el Estado de </w:t>
      </w:r>
      <w:r w:rsidR="009C5E72">
        <w:rPr>
          <w:rFonts w:asciiTheme="majorHAnsi" w:eastAsia="Times New Roman" w:hAnsiTheme="majorHAnsi"/>
          <w:sz w:val="20"/>
          <w:szCs w:val="20"/>
          <w:bdr w:val="none" w:sz="0" w:space="0" w:color="auto"/>
          <w:lang w:val="es-ES"/>
        </w:rPr>
        <w:t>Panamá;</w:t>
      </w:r>
      <w:r w:rsidR="00C07D25">
        <w:rPr>
          <w:rFonts w:asciiTheme="majorHAnsi" w:eastAsia="Times New Roman" w:hAnsiTheme="majorHAnsi"/>
          <w:sz w:val="20"/>
          <w:szCs w:val="20"/>
          <w:bdr w:val="none" w:sz="0" w:space="0" w:color="auto"/>
          <w:lang w:val="es-ES"/>
        </w:rPr>
        <w:t xml:space="preserve"> p</w:t>
      </w:r>
      <w:r w:rsidR="008634F2" w:rsidRPr="0002217C">
        <w:rPr>
          <w:rFonts w:asciiTheme="majorHAnsi" w:eastAsia="Times New Roman" w:hAnsiTheme="majorHAnsi"/>
          <w:sz w:val="20"/>
          <w:szCs w:val="20"/>
          <w:bdr w:val="none" w:sz="0" w:space="0" w:color="auto"/>
          <w:lang w:val="es-ES"/>
        </w:rPr>
        <w:t xml:space="preserve">or </w:t>
      </w:r>
      <w:r w:rsidR="00435114">
        <w:rPr>
          <w:rFonts w:asciiTheme="majorHAnsi" w:eastAsia="Times New Roman" w:hAnsiTheme="majorHAnsi"/>
          <w:sz w:val="20"/>
          <w:szCs w:val="20"/>
          <w:bdr w:val="none" w:sz="0" w:space="0" w:color="auto"/>
          <w:lang w:val="es-ES"/>
        </w:rPr>
        <w:t>ello</w:t>
      </w:r>
      <w:r w:rsidR="008634F2" w:rsidRPr="0002217C">
        <w:rPr>
          <w:rFonts w:asciiTheme="majorHAnsi" w:eastAsia="Times New Roman" w:hAnsiTheme="majorHAnsi"/>
          <w:sz w:val="20"/>
          <w:szCs w:val="20"/>
          <w:bdr w:val="none" w:sz="0" w:space="0" w:color="auto"/>
          <w:lang w:val="es-ES"/>
        </w:rPr>
        <w:t xml:space="preserve">, la Comisión considera inadmisible la petición respecto a Walter Sardiñas y Ernesto Castillo Cubilla, por carecer de competencia </w:t>
      </w:r>
      <w:r w:rsidR="008634F2" w:rsidRPr="0002217C">
        <w:rPr>
          <w:rFonts w:asciiTheme="majorHAnsi" w:eastAsia="Times New Roman" w:hAnsiTheme="majorHAnsi"/>
          <w:i/>
          <w:sz w:val="20"/>
          <w:szCs w:val="20"/>
          <w:bdr w:val="none" w:sz="0" w:space="0" w:color="auto"/>
          <w:lang w:val="es-ES"/>
        </w:rPr>
        <w:t>ratione loci</w:t>
      </w:r>
      <w:r w:rsidR="00525322" w:rsidRPr="00525322">
        <w:rPr>
          <w:rFonts w:asciiTheme="majorHAnsi" w:eastAsia="Times New Roman" w:hAnsiTheme="majorHAnsi"/>
          <w:sz w:val="20"/>
          <w:szCs w:val="20"/>
          <w:bdr w:val="none" w:sz="0" w:space="0" w:color="auto"/>
          <w:lang w:val="es-ES"/>
        </w:rPr>
        <w:t xml:space="preserve"> para considerar estos </w:t>
      </w:r>
      <w:r w:rsidR="009E4CF2">
        <w:rPr>
          <w:rFonts w:asciiTheme="majorHAnsi" w:eastAsia="Times New Roman" w:hAnsiTheme="majorHAnsi"/>
          <w:sz w:val="20"/>
          <w:szCs w:val="20"/>
          <w:bdr w:val="none" w:sz="0" w:space="0" w:color="auto"/>
          <w:lang w:val="es-ES"/>
        </w:rPr>
        <w:t>dos casos</w:t>
      </w:r>
      <w:r w:rsidR="00435114">
        <w:rPr>
          <w:rFonts w:asciiTheme="majorHAnsi" w:eastAsia="Times New Roman" w:hAnsiTheme="majorHAnsi"/>
          <w:sz w:val="20"/>
          <w:szCs w:val="20"/>
          <w:bdr w:val="none" w:sz="0" w:space="0" w:color="auto"/>
          <w:lang w:val="es-ES"/>
        </w:rPr>
        <w:t>.</w:t>
      </w:r>
    </w:p>
    <w:p w:rsidR="004435B1" w:rsidRPr="006D4BF1" w:rsidRDefault="004435B1" w:rsidP="004435B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3C6E3D" w:rsidRPr="006D4BF1" w:rsidRDefault="004435B1"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sz w:val="20"/>
          <w:szCs w:val="20"/>
          <w:bdr w:val="none" w:sz="0" w:space="0" w:color="auto"/>
          <w:lang w:val="es-ES"/>
        </w:rPr>
        <w:t xml:space="preserve">Por lo tanto, la Comisión tiene competencia </w:t>
      </w:r>
      <w:r w:rsidRPr="006D4BF1">
        <w:rPr>
          <w:rFonts w:asciiTheme="majorHAnsi" w:eastAsia="Times New Roman" w:hAnsiTheme="majorHAnsi"/>
          <w:i/>
          <w:iCs/>
          <w:sz w:val="20"/>
          <w:szCs w:val="20"/>
          <w:bdr w:val="none" w:sz="0" w:space="0" w:color="auto"/>
          <w:lang w:val="es-ES"/>
        </w:rPr>
        <w:t>ratione loci</w:t>
      </w:r>
      <w:r w:rsidRPr="006D4BF1">
        <w:rPr>
          <w:rFonts w:asciiTheme="majorHAnsi" w:eastAsia="Times New Roman" w:hAnsiTheme="majorHAnsi"/>
          <w:sz w:val="20"/>
          <w:szCs w:val="20"/>
          <w:bdr w:val="none" w:sz="0" w:space="0" w:color="auto"/>
          <w:lang w:val="es-ES"/>
        </w:rPr>
        <w:t xml:space="preserve"> para conocer 107 de los 109 casos alegados en la petición, por cuanto en ellos se refieren violaciones de derechos protegidos en la Convención Americana que habrían tenido lugar dentro del territorio de Panamá, Estado Parte en dicho tratado.</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CC1C21"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sz w:val="20"/>
          <w:szCs w:val="20"/>
          <w:bdr w:val="none" w:sz="0" w:space="0" w:color="auto"/>
          <w:lang w:val="es-ES"/>
        </w:rPr>
        <w:t xml:space="preserve">Con respecto a su competencia </w:t>
      </w:r>
      <w:r w:rsidRPr="006D4BF1">
        <w:rPr>
          <w:rFonts w:asciiTheme="majorHAnsi" w:eastAsia="Times New Roman" w:hAnsiTheme="majorHAnsi"/>
          <w:i/>
          <w:iCs/>
          <w:sz w:val="20"/>
          <w:szCs w:val="20"/>
          <w:bdr w:val="none" w:sz="0" w:space="0" w:color="auto"/>
          <w:lang w:val="es-ES"/>
        </w:rPr>
        <w:t xml:space="preserve">ratione temporis </w:t>
      </w:r>
      <w:r w:rsidRPr="006D4BF1">
        <w:rPr>
          <w:rFonts w:asciiTheme="majorHAnsi" w:eastAsia="Times New Roman" w:hAnsiTheme="majorHAnsi"/>
          <w:iCs/>
          <w:sz w:val="20"/>
          <w:szCs w:val="20"/>
          <w:bdr w:val="none" w:sz="0" w:space="0" w:color="auto"/>
          <w:lang w:val="es-ES"/>
        </w:rPr>
        <w:t xml:space="preserve">sobre las </w:t>
      </w:r>
      <w:r w:rsidRPr="006D4BF1">
        <w:rPr>
          <w:rFonts w:asciiTheme="majorHAnsi" w:eastAsia="Times New Roman" w:hAnsiTheme="majorHAnsi"/>
          <w:sz w:val="20"/>
          <w:szCs w:val="20"/>
          <w:bdr w:val="none" w:sz="0" w:space="0" w:color="auto"/>
          <w:lang w:val="es-ES"/>
        </w:rPr>
        <w:t xml:space="preserve">desapariciones forzadas denunciadas, la Comisión </w:t>
      </w:r>
      <w:r w:rsidR="00CC1C21" w:rsidRPr="006D4BF1">
        <w:rPr>
          <w:rFonts w:asciiTheme="majorHAnsi" w:eastAsia="Times New Roman" w:hAnsiTheme="majorHAnsi"/>
          <w:sz w:val="20"/>
          <w:szCs w:val="20"/>
          <w:bdr w:val="none" w:sz="0" w:space="0" w:color="auto"/>
          <w:lang w:val="es-ES"/>
        </w:rPr>
        <w:t xml:space="preserve">considera que se </w:t>
      </w:r>
      <w:r w:rsidR="006A22BE" w:rsidRPr="006D4BF1">
        <w:rPr>
          <w:rFonts w:asciiTheme="majorHAnsi" w:eastAsia="Times New Roman" w:hAnsiTheme="majorHAnsi"/>
          <w:sz w:val="20"/>
          <w:szCs w:val="20"/>
          <w:bdr w:val="none" w:sz="0" w:space="0" w:color="auto"/>
          <w:lang w:val="es-ES"/>
        </w:rPr>
        <w:t>trata</w:t>
      </w:r>
      <w:r w:rsidRPr="006D4BF1">
        <w:rPr>
          <w:rFonts w:asciiTheme="majorHAnsi" w:eastAsia="Times New Roman" w:hAnsiTheme="majorHAnsi"/>
          <w:sz w:val="20"/>
          <w:szCs w:val="20"/>
          <w:bdr w:val="none" w:sz="0" w:space="0" w:color="auto"/>
          <w:lang w:val="es-ES"/>
        </w:rPr>
        <w:t xml:space="preserve"> de presuntas violaciones continuas que se habrían perpe</w:t>
      </w:r>
      <w:r w:rsidR="008E6D3C" w:rsidRPr="006D4BF1">
        <w:rPr>
          <w:rFonts w:asciiTheme="majorHAnsi" w:eastAsia="Times New Roman" w:hAnsiTheme="majorHAnsi"/>
          <w:sz w:val="20"/>
          <w:szCs w:val="20"/>
          <w:bdr w:val="none" w:sz="0" w:space="0" w:color="auto"/>
          <w:lang w:val="es-ES"/>
        </w:rPr>
        <w:t>trado -incluso en algunos casos-</w:t>
      </w:r>
      <w:r w:rsidRPr="006D4BF1">
        <w:rPr>
          <w:rFonts w:asciiTheme="majorHAnsi" w:eastAsia="Times New Roman" w:hAnsiTheme="majorHAnsi"/>
          <w:sz w:val="20"/>
          <w:szCs w:val="20"/>
          <w:bdr w:val="none" w:sz="0" w:space="0" w:color="auto"/>
          <w:lang w:val="es-ES"/>
        </w:rPr>
        <w:t xml:space="preserve"> hasta por </w:t>
      </w:r>
      <w:r w:rsidR="008E6D3C" w:rsidRPr="006D4BF1">
        <w:rPr>
          <w:rFonts w:asciiTheme="majorHAnsi" w:eastAsia="Times New Roman" w:hAnsiTheme="majorHAnsi"/>
          <w:sz w:val="20"/>
          <w:szCs w:val="20"/>
          <w:bdr w:val="none" w:sz="0" w:space="0" w:color="auto"/>
          <w:lang w:val="es-ES"/>
        </w:rPr>
        <w:t>36</w:t>
      </w:r>
      <w:r w:rsidRPr="006D4BF1">
        <w:rPr>
          <w:rFonts w:asciiTheme="majorHAnsi" w:eastAsia="Times New Roman" w:hAnsiTheme="majorHAnsi"/>
          <w:sz w:val="20"/>
          <w:szCs w:val="20"/>
          <w:bdr w:val="none" w:sz="0" w:space="0" w:color="auto"/>
          <w:lang w:val="es-ES"/>
        </w:rPr>
        <w:t xml:space="preserve"> años</w:t>
      </w:r>
      <w:r w:rsidR="00CC1C21" w:rsidRPr="006D4BF1">
        <w:rPr>
          <w:rFonts w:asciiTheme="majorHAnsi" w:eastAsia="Times New Roman" w:hAnsiTheme="majorHAnsi"/>
          <w:sz w:val="20"/>
          <w:szCs w:val="20"/>
          <w:bdr w:val="none" w:sz="0" w:space="0" w:color="auto"/>
          <w:lang w:val="es-ES"/>
        </w:rPr>
        <w:t>. En razón de lo anterior, y</w:t>
      </w:r>
      <w:r w:rsidRPr="006D4BF1">
        <w:rPr>
          <w:rFonts w:asciiTheme="majorHAnsi" w:eastAsia="Times New Roman" w:hAnsiTheme="majorHAnsi"/>
          <w:sz w:val="20"/>
          <w:szCs w:val="20"/>
          <w:bdr w:val="none" w:sz="0" w:space="0" w:color="auto"/>
          <w:lang w:val="es-ES"/>
        </w:rPr>
        <w:t xml:space="preserve"> teniendo en cuenta que la desaparición forzada es un delito de carácter continuado o permanente que perdura </w:t>
      </w:r>
      <w:r w:rsidR="007F620B">
        <w:rPr>
          <w:rFonts w:asciiTheme="majorHAnsi" w:eastAsia="Times New Roman" w:hAnsiTheme="majorHAnsi"/>
          <w:sz w:val="20"/>
          <w:szCs w:val="20"/>
          <w:bdr w:val="none" w:sz="0" w:space="0" w:color="auto"/>
          <w:lang w:val="es-ES"/>
        </w:rPr>
        <w:t>mientras</w:t>
      </w:r>
      <w:r w:rsidRPr="006D4BF1">
        <w:rPr>
          <w:rFonts w:asciiTheme="majorHAnsi" w:eastAsia="Times New Roman" w:hAnsiTheme="majorHAnsi"/>
          <w:sz w:val="20"/>
          <w:szCs w:val="20"/>
          <w:bdr w:val="none" w:sz="0" w:space="0" w:color="auto"/>
          <w:lang w:val="es-ES"/>
        </w:rPr>
        <w:t xml:space="preserve"> no se establezca el paradero o destino de la víctima</w:t>
      </w:r>
      <w:r w:rsidRPr="006D4BF1">
        <w:rPr>
          <w:rFonts w:asciiTheme="majorHAnsi" w:eastAsia="Times New Roman" w:hAnsiTheme="majorHAnsi"/>
          <w:sz w:val="20"/>
          <w:szCs w:val="20"/>
          <w:bdr w:val="none" w:sz="0" w:space="0" w:color="auto"/>
          <w:vertAlign w:val="superscript"/>
          <w:lang w:val="es-ES"/>
        </w:rPr>
        <w:footnoteReference w:id="11"/>
      </w:r>
      <w:r w:rsidRPr="006D4BF1">
        <w:rPr>
          <w:rFonts w:asciiTheme="majorHAnsi" w:eastAsia="Times New Roman" w:hAnsiTheme="majorHAnsi"/>
          <w:sz w:val="20"/>
          <w:szCs w:val="20"/>
          <w:bdr w:val="none" w:sz="0" w:space="0" w:color="auto"/>
          <w:lang w:val="es-ES"/>
        </w:rPr>
        <w:t xml:space="preserve">, </w:t>
      </w:r>
      <w:r w:rsidR="00CC1C21" w:rsidRPr="006D4BF1">
        <w:rPr>
          <w:rFonts w:asciiTheme="majorHAnsi" w:eastAsia="Times New Roman" w:hAnsiTheme="majorHAnsi"/>
          <w:sz w:val="20"/>
          <w:szCs w:val="20"/>
          <w:bdr w:val="none" w:sz="0" w:space="0" w:color="auto"/>
          <w:lang w:val="es-ES"/>
        </w:rPr>
        <w:t>la Comisión Interamericana tiene competencia para conocer de las violaciones de derechos humanos invocadas por los peticionarios referidas a la Convención Americana y la Convención sobre De</w:t>
      </w:r>
      <w:r w:rsidR="00901DE2" w:rsidRPr="006D4BF1">
        <w:rPr>
          <w:rFonts w:asciiTheme="majorHAnsi" w:eastAsia="Times New Roman" w:hAnsiTheme="majorHAnsi"/>
          <w:sz w:val="20"/>
          <w:szCs w:val="20"/>
          <w:bdr w:val="none" w:sz="0" w:space="0" w:color="auto"/>
          <w:lang w:val="es-ES"/>
        </w:rPr>
        <w:t>saparición Forzada de Personas.</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596249"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lang w:val="es-ES"/>
        </w:rPr>
      </w:pPr>
      <w:r w:rsidRPr="006D4BF1">
        <w:rPr>
          <w:rFonts w:asciiTheme="majorHAnsi" w:eastAsia="Times New Roman" w:hAnsiTheme="majorHAnsi"/>
          <w:sz w:val="20"/>
          <w:szCs w:val="20"/>
          <w:bdr w:val="none" w:sz="0" w:space="0" w:color="auto"/>
          <w:lang w:val="es-AR"/>
        </w:rPr>
        <w:t xml:space="preserve">En relación a las presuntas ejecuciones extrajudiciales, la CIDH nota que, del total de 70 casos alegados, 30 habrían ocurrido con anterioridad a que Panamá ratificara la Convención Americana. Sin perjuicio de ello, </w:t>
      </w:r>
      <w:r w:rsidR="000B1BCB" w:rsidRPr="006D4BF1">
        <w:rPr>
          <w:rFonts w:asciiTheme="majorHAnsi" w:eastAsia="Times New Roman" w:hAnsiTheme="majorHAnsi"/>
          <w:sz w:val="20"/>
          <w:szCs w:val="20"/>
          <w:bdr w:val="none" w:sz="0" w:space="0" w:color="auto"/>
          <w:lang w:val="es-CO"/>
        </w:rPr>
        <w:t>la Comisión tiene competencia </w:t>
      </w:r>
      <w:r w:rsidR="000B1BCB" w:rsidRPr="006D4BF1">
        <w:rPr>
          <w:rFonts w:asciiTheme="majorHAnsi" w:eastAsia="Times New Roman" w:hAnsiTheme="majorHAnsi"/>
          <w:i/>
          <w:iCs/>
          <w:sz w:val="20"/>
          <w:szCs w:val="20"/>
          <w:bdr w:val="none" w:sz="0" w:space="0" w:color="auto"/>
          <w:lang w:val="es-CO"/>
        </w:rPr>
        <w:t>ratione temporis</w:t>
      </w:r>
      <w:r w:rsidR="000B1BCB" w:rsidRPr="006D4BF1">
        <w:rPr>
          <w:rFonts w:asciiTheme="majorHAnsi" w:eastAsia="Times New Roman" w:hAnsiTheme="majorHAnsi"/>
          <w:sz w:val="20"/>
          <w:szCs w:val="20"/>
          <w:bdr w:val="none" w:sz="0" w:space="0" w:color="auto"/>
          <w:lang w:val="es-CO"/>
        </w:rPr>
        <w:t xml:space="preserve"> para conocer las violaciones de derechos </w:t>
      </w:r>
      <w:r w:rsidR="000B1BCB" w:rsidRPr="006D4BF1">
        <w:rPr>
          <w:rFonts w:asciiTheme="majorHAnsi" w:eastAsia="Times New Roman" w:hAnsiTheme="majorHAnsi"/>
          <w:sz w:val="20"/>
          <w:szCs w:val="20"/>
          <w:bdr w:val="none" w:sz="0" w:space="0" w:color="auto"/>
          <w:lang w:val="es-CO"/>
        </w:rPr>
        <w:lastRenderedPageBreak/>
        <w:t>humanos referidas a la Declaración Americana de los Derechos y Deberes del Hombre</w:t>
      </w:r>
      <w:bookmarkStart w:id="3" w:name="_ftnref5"/>
      <w:r w:rsidR="000B1BCB" w:rsidRPr="006D4BF1">
        <w:rPr>
          <w:rFonts w:asciiTheme="majorHAnsi" w:eastAsia="Times New Roman" w:hAnsiTheme="majorHAnsi"/>
          <w:sz w:val="20"/>
          <w:szCs w:val="20"/>
          <w:bdr w:val="none" w:sz="0" w:space="0" w:color="auto"/>
          <w:vertAlign w:val="superscript"/>
          <w:lang w:val="es-AR"/>
        </w:rPr>
        <w:footnoteReference w:id="12"/>
      </w:r>
      <w:bookmarkEnd w:id="3"/>
      <w:r w:rsidR="000B1BCB" w:rsidRPr="006D4BF1">
        <w:rPr>
          <w:rFonts w:asciiTheme="majorHAnsi" w:eastAsia="Times New Roman" w:hAnsiTheme="majorHAnsi"/>
          <w:sz w:val="20"/>
          <w:szCs w:val="20"/>
          <w:bdr w:val="none" w:sz="0" w:space="0" w:color="auto"/>
          <w:lang w:val="es-CO"/>
        </w:rPr>
        <w:t>. En efecto, de acuerdo a lo establecido en los artículos 23 y 50 del Reglamento de la Comisión, ésta es competente para conocer </w:t>
      </w:r>
      <w:r w:rsidR="000B1BCB" w:rsidRPr="006D4BF1">
        <w:rPr>
          <w:rFonts w:asciiTheme="majorHAnsi" w:eastAsia="Times New Roman" w:hAnsiTheme="majorHAnsi"/>
          <w:sz w:val="20"/>
          <w:szCs w:val="20"/>
          <w:bdr w:val="none" w:sz="0" w:space="0" w:color="auto"/>
          <w:lang w:val="es-ES_tradnl"/>
        </w:rPr>
        <w:t>y pronunciarse sobre presuntas violaciones de la Declaración Americana, por parte del Estado panameño, respecto a hechos ocurridos antes de la entrada en vigor de la Convención Am</w:t>
      </w:r>
      <w:r w:rsidR="00901DE2" w:rsidRPr="006D4BF1">
        <w:rPr>
          <w:rFonts w:asciiTheme="majorHAnsi" w:eastAsia="Times New Roman" w:hAnsiTheme="majorHAnsi"/>
          <w:sz w:val="20"/>
          <w:szCs w:val="20"/>
          <w:bdr w:val="none" w:sz="0" w:space="0" w:color="auto"/>
          <w:lang w:val="es-ES_tradnl"/>
        </w:rPr>
        <w:t xml:space="preserve">ericana sobre Derechos Humanos </w:t>
      </w:r>
      <w:r w:rsidR="00596249" w:rsidRPr="006D4BF1">
        <w:rPr>
          <w:rFonts w:asciiTheme="majorHAnsi" w:eastAsia="Times New Roman" w:hAnsiTheme="majorHAnsi"/>
          <w:sz w:val="20"/>
          <w:szCs w:val="20"/>
          <w:bdr w:val="none" w:sz="0" w:space="0" w:color="auto"/>
          <w:lang w:val="es-ES_tradnl"/>
        </w:rPr>
        <w:t xml:space="preserve">y también conforme a la Convención Americana en lo que se refiere a las </w:t>
      </w:r>
      <w:r w:rsidR="006C67D5">
        <w:rPr>
          <w:rFonts w:asciiTheme="majorHAnsi" w:eastAsia="Times New Roman" w:hAnsiTheme="majorHAnsi"/>
          <w:sz w:val="20"/>
          <w:szCs w:val="20"/>
          <w:bdr w:val="none" w:sz="0" w:space="0" w:color="auto"/>
          <w:lang w:val="es-ES_tradnl"/>
        </w:rPr>
        <w:t xml:space="preserve">presuntas </w:t>
      </w:r>
      <w:r w:rsidR="00596249" w:rsidRPr="006D4BF1">
        <w:rPr>
          <w:rFonts w:asciiTheme="majorHAnsi" w:eastAsia="Times New Roman" w:hAnsiTheme="majorHAnsi"/>
          <w:sz w:val="20"/>
          <w:szCs w:val="20"/>
          <w:bdr w:val="none" w:sz="0" w:space="0" w:color="auto"/>
          <w:lang w:val="es-ES_tradnl"/>
        </w:rPr>
        <w:t>violaciones con posterioridad a dicha fecha</w:t>
      </w:r>
      <w:bookmarkStart w:id="4" w:name="_ftnref7"/>
      <w:r w:rsidR="00F92187" w:rsidRPr="006D4BF1">
        <w:rPr>
          <w:rFonts w:asciiTheme="majorHAnsi" w:hAnsiTheme="majorHAnsi"/>
          <w:sz w:val="20"/>
          <w:szCs w:val="20"/>
        </w:rPr>
        <w:fldChar w:fldCharType="begin"/>
      </w:r>
      <w:r w:rsidR="00F92187" w:rsidRPr="006D4BF1">
        <w:rPr>
          <w:rFonts w:asciiTheme="majorHAnsi" w:hAnsiTheme="majorHAnsi"/>
          <w:sz w:val="20"/>
          <w:szCs w:val="20"/>
          <w:lang w:val="es-ES"/>
        </w:rPr>
        <w:instrText xml:space="preserve"> HYPERLINK "https://www.cidh.oas.org/annualrep/2006sp/Panama875.03sp.htm" \l "_ftn7" </w:instrText>
      </w:r>
      <w:r w:rsidR="00F92187" w:rsidRPr="006D4BF1">
        <w:rPr>
          <w:rFonts w:asciiTheme="majorHAnsi" w:hAnsiTheme="majorHAnsi"/>
          <w:sz w:val="20"/>
          <w:szCs w:val="20"/>
        </w:rPr>
        <w:fldChar w:fldCharType="end"/>
      </w:r>
      <w:bookmarkEnd w:id="4"/>
      <w:r w:rsidR="00596249" w:rsidRPr="006D4BF1">
        <w:rPr>
          <w:rFonts w:asciiTheme="majorHAnsi" w:eastAsia="Times New Roman" w:hAnsiTheme="majorHAnsi"/>
          <w:sz w:val="20"/>
          <w:szCs w:val="20"/>
          <w:bdr w:val="none" w:sz="0" w:space="0" w:color="auto"/>
          <w:lang w:val="es-ES_tradnl"/>
        </w:rPr>
        <w:t>.</w:t>
      </w:r>
    </w:p>
    <w:p w:rsidR="001364F7" w:rsidRPr="006D4BF1" w:rsidRDefault="001364F7" w:rsidP="001364F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rsidR="00596249" w:rsidRPr="006D4BF1" w:rsidRDefault="00596249"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lang w:val="es-ES"/>
        </w:rPr>
      </w:pPr>
      <w:r w:rsidRPr="006D4BF1">
        <w:rPr>
          <w:rFonts w:asciiTheme="majorHAnsi" w:eastAsia="Times New Roman" w:hAnsiTheme="majorHAnsi"/>
          <w:sz w:val="20"/>
          <w:szCs w:val="20"/>
          <w:bdr w:val="none" w:sz="0" w:space="0" w:color="auto"/>
          <w:lang w:val="es-ES"/>
        </w:rPr>
        <w:t>Finalmente, la Comisión tiene competencia </w:t>
      </w:r>
      <w:r w:rsidRPr="006D4BF1">
        <w:rPr>
          <w:rFonts w:asciiTheme="majorHAnsi" w:eastAsia="Times New Roman" w:hAnsiTheme="majorHAnsi"/>
          <w:i/>
          <w:iCs/>
          <w:sz w:val="20"/>
          <w:szCs w:val="20"/>
          <w:bdr w:val="none" w:sz="0" w:space="0" w:color="auto"/>
          <w:lang w:val="es-ES"/>
        </w:rPr>
        <w:t>ratione materiae</w:t>
      </w:r>
      <w:r w:rsidRPr="006D4BF1">
        <w:rPr>
          <w:rFonts w:asciiTheme="majorHAnsi" w:eastAsia="Times New Roman" w:hAnsiTheme="majorHAnsi"/>
          <w:sz w:val="20"/>
          <w:szCs w:val="20"/>
          <w:bdr w:val="none" w:sz="0" w:space="0" w:color="auto"/>
          <w:lang w:val="es-ES"/>
        </w:rPr>
        <w:t xml:space="preserve">, </w:t>
      </w:r>
      <w:r w:rsidR="00901DE2" w:rsidRPr="006D4BF1">
        <w:rPr>
          <w:rFonts w:asciiTheme="majorHAnsi" w:eastAsia="Times New Roman" w:hAnsiTheme="majorHAnsi"/>
          <w:sz w:val="20"/>
          <w:szCs w:val="20"/>
          <w:bdr w:val="none" w:sz="0" w:space="0" w:color="auto"/>
          <w:lang w:val="es-ES"/>
        </w:rPr>
        <w:t xml:space="preserve">dado que </w:t>
      </w:r>
      <w:r w:rsidRPr="006D4BF1">
        <w:rPr>
          <w:rFonts w:asciiTheme="majorHAnsi" w:eastAsia="Times New Roman" w:hAnsiTheme="majorHAnsi"/>
          <w:sz w:val="20"/>
          <w:szCs w:val="20"/>
          <w:bdr w:val="none" w:sz="0" w:space="0" w:color="auto"/>
          <w:lang w:val="es-ES"/>
        </w:rPr>
        <w:t xml:space="preserve">en la petición se denuncian </w:t>
      </w:r>
      <w:r w:rsidR="00901DE2" w:rsidRPr="006D4BF1">
        <w:rPr>
          <w:rFonts w:asciiTheme="majorHAnsi" w:eastAsia="Times New Roman" w:hAnsiTheme="majorHAnsi"/>
          <w:sz w:val="20"/>
          <w:szCs w:val="20"/>
          <w:bdr w:val="none" w:sz="0" w:space="0" w:color="auto"/>
          <w:lang w:val="es-ES"/>
        </w:rPr>
        <w:t xml:space="preserve">posibles </w:t>
      </w:r>
      <w:r w:rsidRPr="006D4BF1">
        <w:rPr>
          <w:rFonts w:asciiTheme="majorHAnsi" w:eastAsia="Times New Roman" w:hAnsiTheme="majorHAnsi"/>
          <w:sz w:val="20"/>
          <w:szCs w:val="20"/>
          <w:bdr w:val="none" w:sz="0" w:space="0" w:color="auto"/>
          <w:lang w:val="es-ES"/>
        </w:rPr>
        <w:t>violaciones a derechos humanos protegidos por la Declaración Americana, la Convención Americana y la Convención Interamericana sobre Desaparición Forzada de Personas.</w:t>
      </w:r>
    </w:p>
    <w:p w:rsidR="000B1BCB" w:rsidRPr="006D4BF1" w:rsidRDefault="000B1BCB"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b/>
          <w:bCs/>
          <w:sz w:val="20"/>
          <w:szCs w:val="20"/>
          <w:bdr w:val="none" w:sz="0" w:space="0" w:color="auto"/>
          <w:lang w:val="es-ES"/>
        </w:rPr>
        <w:t>B</w:t>
      </w:r>
      <w:r w:rsidR="00153CC4">
        <w:rPr>
          <w:rFonts w:asciiTheme="majorHAnsi" w:eastAsia="Times New Roman" w:hAnsiTheme="majorHAnsi"/>
          <w:b/>
          <w:bCs/>
          <w:sz w:val="20"/>
          <w:szCs w:val="20"/>
          <w:bdr w:val="none" w:sz="0" w:space="0" w:color="auto"/>
          <w:lang w:val="es-ES"/>
        </w:rPr>
        <w:t>.</w:t>
      </w:r>
      <w:r w:rsidR="00153CC4">
        <w:rPr>
          <w:rFonts w:asciiTheme="majorHAnsi" w:eastAsia="Times New Roman" w:hAnsiTheme="majorHAnsi"/>
          <w:b/>
          <w:bCs/>
          <w:sz w:val="20"/>
          <w:szCs w:val="20"/>
          <w:bdr w:val="none" w:sz="0" w:space="0" w:color="auto"/>
          <w:lang w:val="es-ES"/>
        </w:rPr>
        <w:tab/>
      </w:r>
      <w:r w:rsidR="00B668D6" w:rsidRPr="006D4BF1">
        <w:rPr>
          <w:rFonts w:asciiTheme="majorHAnsi" w:eastAsia="Times New Roman" w:hAnsiTheme="majorHAnsi"/>
          <w:b/>
          <w:bCs/>
          <w:sz w:val="20"/>
          <w:szCs w:val="20"/>
          <w:bdr w:val="none" w:sz="0" w:space="0" w:color="auto"/>
          <w:lang w:val="es-ES"/>
        </w:rPr>
        <w:t>Requisitos de admisibilidad</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AR"/>
        </w:rPr>
      </w:pP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b/>
          <w:bCs/>
          <w:sz w:val="20"/>
          <w:szCs w:val="20"/>
          <w:bdr w:val="none" w:sz="0" w:space="0" w:color="auto"/>
          <w:lang w:val="es-ES"/>
        </w:rPr>
        <w:t>1</w:t>
      </w:r>
      <w:r w:rsidR="00153CC4">
        <w:rPr>
          <w:rFonts w:asciiTheme="majorHAnsi" w:eastAsia="Times New Roman" w:hAnsiTheme="majorHAnsi"/>
          <w:b/>
          <w:bCs/>
          <w:sz w:val="20"/>
          <w:szCs w:val="20"/>
          <w:bdr w:val="none" w:sz="0" w:space="0" w:color="auto"/>
          <w:lang w:val="es-ES"/>
        </w:rPr>
        <w:t>.</w:t>
      </w:r>
      <w:r w:rsidR="00153CC4">
        <w:rPr>
          <w:rFonts w:asciiTheme="majorHAnsi" w:eastAsia="Times New Roman" w:hAnsiTheme="majorHAnsi"/>
          <w:b/>
          <w:bCs/>
          <w:sz w:val="20"/>
          <w:szCs w:val="20"/>
          <w:bdr w:val="none" w:sz="0" w:space="0" w:color="auto"/>
          <w:lang w:val="es-ES"/>
        </w:rPr>
        <w:tab/>
      </w:r>
      <w:r w:rsidRPr="006D4BF1">
        <w:rPr>
          <w:rFonts w:asciiTheme="majorHAnsi" w:eastAsia="Times New Roman" w:hAnsiTheme="majorHAnsi"/>
          <w:b/>
          <w:bCs/>
          <w:sz w:val="20"/>
          <w:szCs w:val="20"/>
          <w:bdr w:val="none" w:sz="0" w:space="0" w:color="auto"/>
          <w:lang w:val="es-ES"/>
        </w:rPr>
        <w:t>Agotamiento de los recursos internos</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olor w:val="FF0000"/>
          <w:sz w:val="20"/>
          <w:szCs w:val="20"/>
          <w:bdr w:val="none" w:sz="0" w:space="0" w:color="auto"/>
          <w:lang w:val="es-AR"/>
        </w:rPr>
      </w:pPr>
    </w:p>
    <w:p w:rsidR="001F2C72" w:rsidRPr="006D4BF1" w:rsidRDefault="00C55B6A"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eastAsia="Times New Roman" w:hAnsiTheme="majorHAnsi"/>
          <w:color w:val="auto"/>
          <w:sz w:val="20"/>
          <w:szCs w:val="20"/>
          <w:bdr w:val="none" w:sz="0" w:space="0" w:color="auto"/>
          <w:lang w:val="es-ES"/>
        </w:rPr>
      </w:pPr>
      <w:r w:rsidRPr="006D4BF1">
        <w:rPr>
          <w:rFonts w:asciiTheme="majorHAnsi" w:hAnsiTheme="majorHAnsi" w:cs="Arial"/>
          <w:color w:val="auto"/>
          <w:sz w:val="20"/>
          <w:szCs w:val="20"/>
          <w:lang w:val="es-PE"/>
        </w:rPr>
        <w:t xml:space="preserve">El artículo 46(1)(a)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Pr="006D4BF1">
        <w:rPr>
          <w:rFonts w:asciiTheme="majorHAnsi" w:hAnsiTheme="majorHAnsi"/>
          <w:color w:val="auto"/>
          <w:sz w:val="20"/>
          <w:szCs w:val="20"/>
          <w:lang w:val="es-UY"/>
        </w:rPr>
        <w:t xml:space="preserve">Este requisito tiene como objeto permitir que las autoridades nacionales conozcan sobre la supuesta violación de un derecho protegido y, de ser apropiado, solucionen la situación antes de que sea conocida por una instancia internacional. </w:t>
      </w:r>
      <w:r w:rsidRPr="006D4BF1">
        <w:rPr>
          <w:rFonts w:asciiTheme="majorHAnsi" w:hAnsiTheme="majorHAnsi" w:cs="Arial"/>
          <w:color w:val="auto"/>
          <w:sz w:val="20"/>
          <w:szCs w:val="20"/>
          <w:lang w:val="es-PE"/>
        </w:rPr>
        <w:t>Por su parte, el artículo 46(2) de la Convención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rsidR="001F2C72" w:rsidRPr="006D4BF1" w:rsidRDefault="001F2C72"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rsidR="008E746D" w:rsidRPr="008E746D" w:rsidRDefault="00B33109"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eastAsia="Times New Roman" w:hAnsiTheme="majorHAnsi"/>
          <w:color w:val="auto"/>
          <w:sz w:val="20"/>
          <w:szCs w:val="20"/>
          <w:bdr w:val="none" w:sz="0" w:space="0" w:color="auto"/>
          <w:lang w:val="es-ES"/>
        </w:rPr>
      </w:pPr>
      <w:r w:rsidRPr="006D4BF1">
        <w:rPr>
          <w:rFonts w:asciiTheme="majorHAnsi" w:eastAsia="Times New Roman" w:hAnsiTheme="majorHAnsi"/>
          <w:color w:val="auto"/>
          <w:sz w:val="20"/>
          <w:szCs w:val="20"/>
          <w:bdr w:val="none" w:sz="0" w:space="0" w:color="auto"/>
          <w:lang w:val="es-ES"/>
        </w:rPr>
        <w:t>En el present</w:t>
      </w:r>
      <w:r w:rsidR="004866E2" w:rsidRPr="006D4BF1">
        <w:rPr>
          <w:rFonts w:asciiTheme="majorHAnsi" w:eastAsia="Times New Roman" w:hAnsiTheme="majorHAnsi"/>
          <w:color w:val="auto"/>
          <w:sz w:val="20"/>
          <w:szCs w:val="20"/>
          <w:bdr w:val="none" w:sz="0" w:space="0" w:color="auto"/>
          <w:lang w:val="es-ES"/>
        </w:rPr>
        <w:t xml:space="preserve">e caso, los peticionarios </w:t>
      </w:r>
      <w:r w:rsidR="0054346D" w:rsidRPr="006D4BF1">
        <w:rPr>
          <w:rFonts w:asciiTheme="majorHAnsi" w:hAnsiTheme="majorHAnsi"/>
          <w:sz w:val="20"/>
          <w:szCs w:val="20"/>
          <w:lang w:val="es-ES_tradnl"/>
        </w:rPr>
        <w:t>sostienen que aún en el marco del régimen democrático, el debido proceso legal se vio quebrantado por la ineficacia de los recursos internos y por la violación al principio de plazo razonable en la administración de justicia</w:t>
      </w:r>
      <w:r w:rsidR="00EB08CF" w:rsidRPr="006D4BF1">
        <w:rPr>
          <w:rFonts w:asciiTheme="majorHAnsi" w:hAnsiTheme="majorHAnsi"/>
          <w:sz w:val="20"/>
          <w:szCs w:val="20"/>
          <w:lang w:val="es-ES_tradnl"/>
        </w:rPr>
        <w:t xml:space="preserve"> en la mayoría</w:t>
      </w:r>
      <w:r w:rsidR="0054346D" w:rsidRPr="006D4BF1">
        <w:rPr>
          <w:rFonts w:asciiTheme="majorHAnsi" w:hAnsiTheme="majorHAnsi"/>
          <w:sz w:val="20"/>
          <w:szCs w:val="20"/>
          <w:lang w:val="es-ES_tradnl"/>
        </w:rPr>
        <w:t xml:space="preserve"> de los casos de la presenta denuncia, generando la impunidad que persiste hasta hoy</w:t>
      </w:r>
      <w:r w:rsidR="005B1585" w:rsidRPr="006D4BF1">
        <w:rPr>
          <w:rFonts w:asciiTheme="majorHAnsi" w:eastAsia="Times New Roman" w:hAnsiTheme="majorHAnsi"/>
          <w:color w:val="auto"/>
          <w:sz w:val="20"/>
          <w:szCs w:val="20"/>
          <w:bdr w:val="none" w:sz="0" w:space="0" w:color="auto"/>
          <w:lang w:val="es-ES"/>
        </w:rPr>
        <w:t>. </w:t>
      </w:r>
      <w:r w:rsidR="00EB08CF" w:rsidRPr="006D4BF1">
        <w:rPr>
          <w:rFonts w:asciiTheme="majorHAnsi" w:hAnsiTheme="majorHAnsi"/>
          <w:color w:val="auto"/>
          <w:sz w:val="20"/>
          <w:szCs w:val="20"/>
          <w:lang w:val="es-MX"/>
        </w:rPr>
        <w:t>A</w:t>
      </w:r>
      <w:r w:rsidR="005B1585" w:rsidRPr="006D4BF1">
        <w:rPr>
          <w:rFonts w:asciiTheme="majorHAnsi" w:hAnsiTheme="majorHAnsi"/>
          <w:color w:val="auto"/>
          <w:sz w:val="20"/>
          <w:szCs w:val="20"/>
          <w:lang w:val="es-MX"/>
        </w:rPr>
        <w:t xml:space="preserve">legan </w:t>
      </w:r>
      <w:r w:rsidR="005B1585" w:rsidRPr="006D4BF1">
        <w:rPr>
          <w:rFonts w:asciiTheme="majorHAnsi" w:eastAsia="Times New Roman" w:hAnsiTheme="majorHAnsi"/>
          <w:color w:val="auto"/>
          <w:sz w:val="20"/>
          <w:szCs w:val="20"/>
          <w:bdr w:val="none" w:sz="0" w:space="0" w:color="auto"/>
          <w:lang w:val="es-ES"/>
        </w:rPr>
        <w:t xml:space="preserve">un retardo injustificado en la administración de justicia, dado que han transcurrido </w:t>
      </w:r>
      <w:r w:rsidR="00A07491">
        <w:rPr>
          <w:rFonts w:asciiTheme="majorHAnsi" w:eastAsia="Times New Roman" w:hAnsiTheme="majorHAnsi"/>
          <w:color w:val="auto"/>
          <w:sz w:val="20"/>
          <w:szCs w:val="20"/>
          <w:bdr w:val="none" w:sz="0" w:space="0" w:color="auto"/>
          <w:lang w:val="es-ES"/>
        </w:rPr>
        <w:t>más de</w:t>
      </w:r>
      <w:r w:rsidR="005B1585" w:rsidRPr="006D4BF1">
        <w:rPr>
          <w:rFonts w:asciiTheme="majorHAnsi" w:eastAsia="Times New Roman" w:hAnsiTheme="majorHAnsi"/>
          <w:color w:val="auto"/>
          <w:sz w:val="20"/>
          <w:szCs w:val="20"/>
          <w:bdr w:val="none" w:sz="0" w:space="0" w:color="auto"/>
          <w:lang w:val="es-ES"/>
        </w:rPr>
        <w:t xml:space="preserve"> </w:t>
      </w:r>
      <w:r w:rsidR="00D866F8" w:rsidRPr="006D4BF1">
        <w:rPr>
          <w:rFonts w:asciiTheme="majorHAnsi" w:eastAsia="Times New Roman" w:hAnsiTheme="majorHAnsi"/>
          <w:color w:val="auto"/>
          <w:sz w:val="20"/>
          <w:szCs w:val="20"/>
          <w:bdr w:val="none" w:sz="0" w:space="0" w:color="auto"/>
          <w:lang w:val="es-ES"/>
        </w:rPr>
        <w:t>36</w:t>
      </w:r>
      <w:r w:rsidR="005B1585" w:rsidRPr="006D4BF1">
        <w:rPr>
          <w:rFonts w:asciiTheme="majorHAnsi" w:eastAsia="Times New Roman" w:hAnsiTheme="majorHAnsi"/>
          <w:color w:val="auto"/>
          <w:sz w:val="20"/>
          <w:szCs w:val="20"/>
          <w:bdr w:val="none" w:sz="0" w:space="0" w:color="auto"/>
          <w:lang w:val="es-ES"/>
        </w:rPr>
        <w:t xml:space="preserve"> años desde que se iniciaron las primeras </w:t>
      </w:r>
      <w:r w:rsidR="00D866F8" w:rsidRPr="006D4BF1">
        <w:rPr>
          <w:rFonts w:asciiTheme="majorHAnsi" w:eastAsia="Times New Roman" w:hAnsiTheme="majorHAnsi"/>
          <w:color w:val="auto"/>
          <w:sz w:val="20"/>
          <w:szCs w:val="20"/>
          <w:bdr w:val="none" w:sz="0" w:space="0" w:color="auto"/>
          <w:lang w:val="es-ES"/>
        </w:rPr>
        <w:t>investigaciones</w:t>
      </w:r>
      <w:r w:rsidR="005B1585" w:rsidRPr="006D4BF1">
        <w:rPr>
          <w:rFonts w:asciiTheme="majorHAnsi" w:eastAsia="Times New Roman" w:hAnsiTheme="majorHAnsi"/>
          <w:color w:val="auto"/>
          <w:sz w:val="20"/>
          <w:szCs w:val="20"/>
          <w:bdr w:val="none" w:sz="0" w:space="0" w:color="auto"/>
          <w:lang w:val="es-ES"/>
        </w:rPr>
        <w:t>, sin que hasta la fecha se hayan identificado y sancionado a los responsables ni reparado justa y</w:t>
      </w:r>
      <w:r w:rsidR="00C36B2B" w:rsidRPr="006D4BF1">
        <w:rPr>
          <w:rFonts w:asciiTheme="majorHAnsi" w:eastAsia="Times New Roman" w:hAnsiTheme="majorHAnsi"/>
          <w:color w:val="auto"/>
          <w:sz w:val="20"/>
          <w:szCs w:val="20"/>
          <w:bdr w:val="none" w:sz="0" w:space="0" w:color="auto"/>
          <w:lang w:val="es-ES"/>
        </w:rPr>
        <w:t xml:space="preserve"> equitativamente a las víctimas</w:t>
      </w:r>
      <w:r w:rsidR="00336646">
        <w:rPr>
          <w:rFonts w:asciiTheme="majorHAnsi" w:eastAsia="Times New Roman" w:hAnsiTheme="majorHAnsi"/>
          <w:color w:val="auto"/>
          <w:sz w:val="20"/>
          <w:szCs w:val="20"/>
          <w:bdr w:val="none" w:sz="0" w:space="0" w:color="auto"/>
          <w:lang w:val="es-ES"/>
        </w:rPr>
        <w:t xml:space="preserve">. </w:t>
      </w:r>
      <w:r w:rsidR="00D866F8" w:rsidRPr="006D4BF1">
        <w:rPr>
          <w:rFonts w:asciiTheme="majorHAnsi" w:hAnsiTheme="majorHAnsi"/>
          <w:color w:val="auto"/>
          <w:sz w:val="20"/>
          <w:szCs w:val="20"/>
          <w:lang w:val="es-MX"/>
        </w:rPr>
        <w:t xml:space="preserve">Por su parte, el Estado </w:t>
      </w:r>
      <w:r w:rsidR="00D866F8" w:rsidRPr="006D4BF1">
        <w:rPr>
          <w:rFonts w:asciiTheme="majorHAnsi" w:eastAsia="Times New Roman" w:hAnsiTheme="majorHAnsi"/>
          <w:color w:val="auto"/>
          <w:sz w:val="20"/>
          <w:szCs w:val="20"/>
          <w:bdr w:val="none" w:sz="0" w:space="0" w:color="auto"/>
          <w:lang w:val="es-ES"/>
        </w:rPr>
        <w:t>sostiene que no se han agotado las vías de jurisdicción interna porque muchos caso</w:t>
      </w:r>
      <w:r w:rsidR="004866E2" w:rsidRPr="006D4BF1">
        <w:rPr>
          <w:rFonts w:asciiTheme="majorHAnsi" w:eastAsia="Times New Roman" w:hAnsiTheme="majorHAnsi"/>
          <w:color w:val="auto"/>
          <w:sz w:val="20"/>
          <w:szCs w:val="20"/>
          <w:bdr w:val="none" w:sz="0" w:space="0" w:color="auto"/>
          <w:lang w:val="es-ES"/>
        </w:rPr>
        <w:t>s</w:t>
      </w:r>
      <w:r w:rsidR="00D866F8" w:rsidRPr="006D4BF1">
        <w:rPr>
          <w:rFonts w:asciiTheme="majorHAnsi" w:eastAsia="Times New Roman" w:hAnsiTheme="majorHAnsi"/>
          <w:color w:val="auto"/>
          <w:sz w:val="20"/>
          <w:szCs w:val="20"/>
          <w:bdr w:val="none" w:sz="0" w:space="0" w:color="auto"/>
          <w:lang w:val="es-ES"/>
        </w:rPr>
        <w:t xml:space="preserve"> se encuentran aún en etapa de investigación sumarial, </w:t>
      </w:r>
      <w:r w:rsidR="00D866F8" w:rsidRPr="006D4BF1">
        <w:rPr>
          <w:rFonts w:asciiTheme="majorHAnsi" w:hAnsiTheme="majorHAnsi"/>
          <w:color w:val="auto"/>
          <w:sz w:val="20"/>
          <w:szCs w:val="20"/>
          <w:lang w:val="es-MX"/>
        </w:rPr>
        <w:t>por lo que resulta necesario esperar a que dichas investigaciones puedan concluirse.</w:t>
      </w:r>
    </w:p>
    <w:p w:rsidR="008E746D" w:rsidRPr="008E746D" w:rsidRDefault="008E746D" w:rsidP="008E746D">
      <w:pPr>
        <w:pStyle w:val="ListParagraph"/>
        <w:rPr>
          <w:rFonts w:asciiTheme="majorHAnsi" w:hAnsiTheme="majorHAnsi"/>
          <w:sz w:val="20"/>
          <w:szCs w:val="20"/>
          <w:lang w:val="es-ES_tradnl"/>
        </w:rPr>
      </w:pPr>
    </w:p>
    <w:p w:rsidR="003C6D97" w:rsidRPr="008E746D" w:rsidRDefault="003C6D97"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eastAsia="Times New Roman" w:hAnsiTheme="majorHAnsi"/>
          <w:color w:val="auto"/>
          <w:sz w:val="20"/>
          <w:szCs w:val="20"/>
          <w:bdr w:val="none" w:sz="0" w:space="0" w:color="auto"/>
          <w:lang w:val="es-ES"/>
        </w:rPr>
      </w:pPr>
      <w:r w:rsidRPr="008E746D">
        <w:rPr>
          <w:rFonts w:asciiTheme="majorHAnsi" w:hAnsiTheme="majorHAnsi"/>
          <w:sz w:val="20"/>
          <w:szCs w:val="20"/>
          <w:lang w:val="es-ES_tradnl"/>
        </w:rPr>
        <w:t>La jurisprudencia de la Comisión establece que toda vez que se cometa un delito perseguible de oficio, el Estado tiene la obligación de promover e impulsar el proceso penal</w:t>
      </w:r>
      <w:r w:rsidRPr="006D4BF1">
        <w:rPr>
          <w:rStyle w:val="FootnoteReference"/>
          <w:rFonts w:asciiTheme="majorHAnsi" w:hAnsiTheme="majorHAnsi"/>
          <w:sz w:val="20"/>
          <w:szCs w:val="20"/>
        </w:rPr>
        <w:footnoteReference w:id="13"/>
      </w:r>
      <w:r w:rsidRPr="008E746D">
        <w:rPr>
          <w:rFonts w:asciiTheme="majorHAnsi" w:hAnsiTheme="majorHAnsi"/>
          <w:sz w:val="20"/>
          <w:szCs w:val="20"/>
          <w:lang w:val="es-ES_tradnl"/>
        </w:rPr>
        <w:t xml:space="preserve"> y que en esos casos, la vía penal constituye la idónea para esclarecer los hechos, juzgar a los responsables y establecer las sanciones penales correspondientes. Asimismo, la Comisión observa que como regla general, una investigación penal debe realizarse prontamente para proteger los intereses de las víctimas, preservar la prueba e incluso salvaguardar los derechos de toda persona que en el contexto de la investigación sea considerada sospechosa</w:t>
      </w:r>
      <w:r w:rsidRPr="006D4BF1">
        <w:rPr>
          <w:rStyle w:val="FootnoteReference"/>
          <w:rFonts w:asciiTheme="majorHAnsi" w:hAnsiTheme="majorHAnsi"/>
          <w:sz w:val="20"/>
          <w:szCs w:val="20"/>
        </w:rPr>
        <w:footnoteReference w:id="14"/>
      </w:r>
      <w:r w:rsidRPr="008E746D">
        <w:rPr>
          <w:rFonts w:asciiTheme="majorHAnsi" w:hAnsiTheme="majorHAnsi"/>
          <w:sz w:val="20"/>
          <w:szCs w:val="20"/>
          <w:lang w:val="es-ES_tradnl"/>
        </w:rPr>
        <w:t>.</w:t>
      </w:r>
    </w:p>
    <w:p w:rsidR="00531384" w:rsidRPr="006D4BF1" w:rsidRDefault="00531384" w:rsidP="00531384">
      <w:pPr>
        <w:pStyle w:val="ListParagraph"/>
        <w:rPr>
          <w:rFonts w:asciiTheme="majorHAnsi" w:hAnsiTheme="majorHAnsi"/>
          <w:sz w:val="20"/>
          <w:szCs w:val="20"/>
          <w:lang w:val="es-ES_tradnl"/>
        </w:rPr>
      </w:pPr>
    </w:p>
    <w:p w:rsidR="008E746D" w:rsidRPr="004D4B3F" w:rsidRDefault="00531384"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eastAsia="Times New Roman" w:hAnsiTheme="majorHAnsi"/>
          <w:sz w:val="20"/>
          <w:szCs w:val="20"/>
          <w:bdr w:val="none" w:sz="0" w:space="0" w:color="auto"/>
          <w:lang w:val="es-ES"/>
        </w:rPr>
      </w:pPr>
      <w:r w:rsidRPr="006D4BF1">
        <w:rPr>
          <w:rFonts w:asciiTheme="majorHAnsi" w:hAnsiTheme="majorHAnsi"/>
          <w:sz w:val="20"/>
          <w:szCs w:val="20"/>
          <w:lang w:val="es-ES"/>
        </w:rPr>
        <w:t>De acuerdo con la información aportada por las partes y la documentación adjunta al expediente, se observa que se presentaron ante las autoridades judiciales panameñas</w:t>
      </w:r>
      <w:r w:rsidRPr="006D4BF1">
        <w:rPr>
          <w:rFonts w:asciiTheme="majorHAnsi" w:eastAsia="Times New Roman" w:hAnsiTheme="majorHAnsi"/>
          <w:color w:val="auto"/>
          <w:sz w:val="20"/>
          <w:szCs w:val="20"/>
          <w:bdr w:val="none" w:sz="0" w:space="0" w:color="auto"/>
          <w:lang w:val="es-ES"/>
        </w:rPr>
        <w:t xml:space="preserve"> denuncias por los actos </w:t>
      </w:r>
      <w:r w:rsidRPr="006D4BF1">
        <w:rPr>
          <w:rFonts w:asciiTheme="majorHAnsi" w:eastAsia="Times New Roman" w:hAnsiTheme="majorHAnsi"/>
          <w:color w:val="auto"/>
          <w:sz w:val="20"/>
          <w:szCs w:val="20"/>
          <w:bdr w:val="none" w:sz="0" w:space="0" w:color="auto"/>
          <w:lang w:val="es-ES"/>
        </w:rPr>
        <w:lastRenderedPageBreak/>
        <w:t xml:space="preserve">de violencia a los que habrían sido sometidas al menos 103 de las presuntas víctimas, a partir de las cuales se habrían iniciado procesos de investigación. </w:t>
      </w:r>
      <w:r w:rsidRPr="00167F4A">
        <w:rPr>
          <w:rFonts w:asciiTheme="majorHAnsi" w:eastAsia="Times New Roman" w:hAnsiTheme="majorHAnsi"/>
          <w:color w:val="auto"/>
          <w:sz w:val="20"/>
          <w:szCs w:val="20"/>
          <w:bdr w:val="none" w:sz="0" w:space="0" w:color="auto"/>
          <w:lang w:val="es-ES"/>
        </w:rPr>
        <w:t xml:space="preserve">De estos, 44 continuarían pendientes, 40 habrían resultado en sobreseimientos, archivos, absoluciones o indultos, en 3 los delitos habrían sido declarados prescritos y respecto a 2 casos </w:t>
      </w:r>
      <w:r w:rsidR="00EB08CF" w:rsidRPr="00167F4A">
        <w:rPr>
          <w:rFonts w:asciiTheme="majorHAnsi" w:eastAsia="Times New Roman" w:hAnsiTheme="majorHAnsi"/>
          <w:color w:val="auto"/>
          <w:sz w:val="20"/>
          <w:szCs w:val="20"/>
          <w:bdr w:val="none" w:sz="0" w:space="0" w:color="auto"/>
          <w:lang w:val="es-ES"/>
        </w:rPr>
        <w:t>el expediente resultaría extraviado</w:t>
      </w:r>
      <w:r w:rsidR="00A07491" w:rsidRPr="00167F4A">
        <w:rPr>
          <w:rFonts w:asciiTheme="majorHAnsi" w:eastAsia="Times New Roman" w:hAnsiTheme="majorHAnsi"/>
          <w:color w:val="auto"/>
          <w:sz w:val="20"/>
          <w:szCs w:val="20"/>
          <w:bdr w:val="none" w:sz="0" w:space="0" w:color="auto"/>
          <w:lang w:val="es-ES"/>
        </w:rPr>
        <w:t>. Asimismo</w:t>
      </w:r>
      <w:r w:rsidRPr="00167F4A">
        <w:rPr>
          <w:rFonts w:asciiTheme="majorHAnsi" w:eastAsia="Times New Roman" w:hAnsiTheme="majorHAnsi"/>
          <w:color w:val="auto"/>
          <w:sz w:val="20"/>
          <w:szCs w:val="20"/>
          <w:bdr w:val="none" w:sz="0" w:space="0" w:color="auto"/>
          <w:lang w:val="es-ES"/>
        </w:rPr>
        <w:t xml:space="preserve">, se habrían dictado 6 sentencias condenatorias a favor de 14 de las presuntas </w:t>
      </w:r>
      <w:r w:rsidRPr="004D4B3F">
        <w:rPr>
          <w:rFonts w:asciiTheme="majorHAnsi" w:eastAsia="Times New Roman" w:hAnsiTheme="majorHAnsi"/>
          <w:color w:val="auto"/>
          <w:sz w:val="20"/>
          <w:szCs w:val="20"/>
          <w:bdr w:val="none" w:sz="0" w:space="0" w:color="auto"/>
          <w:lang w:val="es-ES"/>
        </w:rPr>
        <w:t>víctimas.</w:t>
      </w:r>
      <w:r w:rsidR="00102B3D" w:rsidRPr="004D4B3F">
        <w:rPr>
          <w:rFonts w:asciiTheme="majorHAnsi" w:eastAsia="Times New Roman" w:hAnsiTheme="majorHAnsi"/>
          <w:color w:val="auto"/>
          <w:sz w:val="20"/>
          <w:szCs w:val="20"/>
          <w:bdr w:val="none" w:sz="0" w:space="0" w:color="auto"/>
          <w:lang w:val="es-ES"/>
        </w:rPr>
        <w:t xml:space="preserve"> En 6 casos los peticionarios no </w:t>
      </w:r>
      <w:r w:rsidR="00524AA4" w:rsidRPr="004D4B3F">
        <w:rPr>
          <w:rFonts w:asciiTheme="majorHAnsi" w:eastAsia="Times New Roman" w:hAnsiTheme="majorHAnsi"/>
          <w:color w:val="auto"/>
          <w:sz w:val="20"/>
          <w:szCs w:val="20"/>
          <w:bdr w:val="none" w:sz="0" w:space="0" w:color="auto"/>
          <w:lang w:val="es-ES"/>
        </w:rPr>
        <w:t xml:space="preserve">habrían </w:t>
      </w:r>
      <w:r w:rsidR="00102B3D" w:rsidRPr="004D4B3F">
        <w:rPr>
          <w:rFonts w:asciiTheme="majorHAnsi" w:eastAsia="Times New Roman" w:hAnsiTheme="majorHAnsi"/>
          <w:color w:val="auto"/>
          <w:sz w:val="20"/>
          <w:szCs w:val="20"/>
          <w:bdr w:val="none" w:sz="0" w:space="0" w:color="auto"/>
          <w:lang w:val="es-ES"/>
        </w:rPr>
        <w:t>indica</w:t>
      </w:r>
      <w:r w:rsidR="00524AA4" w:rsidRPr="004D4B3F">
        <w:rPr>
          <w:rFonts w:asciiTheme="majorHAnsi" w:eastAsia="Times New Roman" w:hAnsiTheme="majorHAnsi"/>
          <w:color w:val="auto"/>
          <w:sz w:val="20"/>
          <w:szCs w:val="20"/>
          <w:bdr w:val="none" w:sz="0" w:space="0" w:color="auto"/>
          <w:lang w:val="es-ES"/>
        </w:rPr>
        <w:t>do</w:t>
      </w:r>
      <w:r w:rsidR="00102B3D" w:rsidRPr="004D4B3F">
        <w:rPr>
          <w:rFonts w:asciiTheme="majorHAnsi" w:eastAsia="Times New Roman" w:hAnsiTheme="majorHAnsi"/>
          <w:color w:val="auto"/>
          <w:sz w:val="20"/>
          <w:szCs w:val="20"/>
          <w:bdr w:val="none" w:sz="0" w:space="0" w:color="auto"/>
          <w:lang w:val="es-ES"/>
        </w:rPr>
        <w:t xml:space="preserve"> </w:t>
      </w:r>
      <w:r w:rsidR="00336646" w:rsidRPr="004D4B3F">
        <w:rPr>
          <w:rFonts w:asciiTheme="majorHAnsi" w:eastAsia="Times New Roman" w:hAnsiTheme="majorHAnsi"/>
          <w:color w:val="auto"/>
          <w:sz w:val="20"/>
          <w:szCs w:val="20"/>
          <w:bdr w:val="none" w:sz="0" w:space="0" w:color="auto"/>
          <w:lang w:val="es-ES"/>
        </w:rPr>
        <w:t>la existencia de</w:t>
      </w:r>
      <w:r w:rsidR="00102B3D" w:rsidRPr="004D4B3F">
        <w:rPr>
          <w:rFonts w:asciiTheme="majorHAnsi" w:eastAsia="Times New Roman" w:hAnsiTheme="majorHAnsi"/>
          <w:color w:val="auto"/>
          <w:sz w:val="20"/>
          <w:szCs w:val="20"/>
          <w:bdr w:val="none" w:sz="0" w:space="0" w:color="auto"/>
          <w:lang w:val="es-ES"/>
        </w:rPr>
        <w:t xml:space="preserve"> un proceso.</w:t>
      </w:r>
    </w:p>
    <w:p w:rsidR="008E746D" w:rsidRPr="004D4B3F" w:rsidRDefault="008E746D" w:rsidP="008E746D">
      <w:pPr>
        <w:pStyle w:val="ListParagraph"/>
        <w:rPr>
          <w:rFonts w:asciiTheme="majorHAnsi" w:eastAsia="Times New Roman" w:hAnsiTheme="majorHAnsi"/>
          <w:sz w:val="20"/>
          <w:szCs w:val="20"/>
          <w:bdr w:val="none" w:sz="0" w:space="0" w:color="auto"/>
          <w:lang w:val="es-ES"/>
        </w:rPr>
      </w:pPr>
    </w:p>
    <w:p w:rsidR="00E0098F" w:rsidRPr="004D4B3F" w:rsidRDefault="00396148" w:rsidP="00E0098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hAnsiTheme="majorHAnsi"/>
          <w:sz w:val="20"/>
          <w:szCs w:val="20"/>
          <w:lang w:val="es-ES"/>
        </w:rPr>
      </w:pPr>
      <w:r w:rsidRPr="004D4B3F">
        <w:rPr>
          <w:rFonts w:asciiTheme="majorHAnsi" w:eastAsia="Times New Roman" w:hAnsiTheme="majorHAnsi"/>
          <w:sz w:val="20"/>
          <w:szCs w:val="20"/>
          <w:bdr w:val="none" w:sz="0" w:space="0" w:color="auto"/>
          <w:lang w:val="es-ES"/>
        </w:rPr>
        <w:t>L</w:t>
      </w:r>
      <w:r w:rsidR="00583750" w:rsidRPr="004D4B3F">
        <w:rPr>
          <w:rFonts w:asciiTheme="majorHAnsi" w:eastAsia="Times New Roman" w:hAnsiTheme="majorHAnsi"/>
          <w:sz w:val="20"/>
          <w:szCs w:val="20"/>
          <w:bdr w:val="none" w:sz="0" w:space="0" w:color="auto"/>
          <w:lang w:val="es-ES"/>
        </w:rPr>
        <w:t xml:space="preserve">a Comisión considera </w:t>
      </w:r>
      <w:r w:rsidR="00245A6C" w:rsidRPr="004D4B3F">
        <w:rPr>
          <w:rFonts w:asciiTheme="majorHAnsi" w:eastAsia="Times New Roman" w:hAnsiTheme="majorHAnsi"/>
          <w:sz w:val="20"/>
          <w:szCs w:val="20"/>
          <w:bdr w:val="none" w:sz="0" w:space="0" w:color="auto"/>
          <w:lang w:val="es-ES"/>
        </w:rPr>
        <w:t>apropiado</w:t>
      </w:r>
      <w:r w:rsidR="00583750" w:rsidRPr="004D4B3F">
        <w:rPr>
          <w:rFonts w:asciiTheme="majorHAnsi" w:eastAsia="Times New Roman" w:hAnsiTheme="majorHAnsi"/>
          <w:sz w:val="20"/>
          <w:szCs w:val="20"/>
          <w:bdr w:val="none" w:sz="0" w:space="0" w:color="auto"/>
          <w:lang w:val="es-ES"/>
        </w:rPr>
        <w:t xml:space="preserve"> </w:t>
      </w:r>
      <w:r w:rsidR="00524AA4" w:rsidRPr="004D4B3F">
        <w:rPr>
          <w:rFonts w:asciiTheme="majorHAnsi" w:eastAsia="Times New Roman" w:hAnsiTheme="majorHAnsi"/>
          <w:sz w:val="20"/>
          <w:szCs w:val="20"/>
          <w:bdr w:val="none" w:sz="0" w:space="0" w:color="auto"/>
          <w:lang w:val="es-ES"/>
        </w:rPr>
        <w:t>a</w:t>
      </w:r>
      <w:r w:rsidR="0086195E" w:rsidRPr="004D4B3F">
        <w:rPr>
          <w:rFonts w:asciiTheme="majorHAnsi" w:eastAsia="Times New Roman" w:hAnsiTheme="majorHAnsi"/>
          <w:sz w:val="20"/>
          <w:szCs w:val="20"/>
          <w:bdr w:val="none" w:sz="0" w:space="0" w:color="auto"/>
          <w:lang w:val="es-ES"/>
        </w:rPr>
        <w:t>naliz</w:t>
      </w:r>
      <w:r w:rsidR="00524AA4" w:rsidRPr="004D4B3F">
        <w:rPr>
          <w:rFonts w:asciiTheme="majorHAnsi" w:eastAsia="Times New Roman" w:hAnsiTheme="majorHAnsi"/>
          <w:sz w:val="20"/>
          <w:szCs w:val="20"/>
          <w:bdr w:val="none" w:sz="0" w:space="0" w:color="auto"/>
          <w:lang w:val="es-ES"/>
        </w:rPr>
        <w:t xml:space="preserve">ar </w:t>
      </w:r>
      <w:r w:rsidR="0086195E" w:rsidRPr="004D4B3F">
        <w:rPr>
          <w:rFonts w:asciiTheme="majorHAnsi" w:eastAsia="Times New Roman" w:hAnsiTheme="majorHAnsi"/>
          <w:sz w:val="20"/>
          <w:szCs w:val="20"/>
          <w:bdr w:val="none" w:sz="0" w:space="0" w:color="auto"/>
          <w:lang w:val="es-ES"/>
        </w:rPr>
        <w:t xml:space="preserve">separadamente </w:t>
      </w:r>
      <w:r w:rsidR="00524AA4" w:rsidRPr="004D4B3F">
        <w:rPr>
          <w:rFonts w:asciiTheme="majorHAnsi" w:eastAsia="Times New Roman" w:hAnsiTheme="majorHAnsi"/>
          <w:sz w:val="20"/>
          <w:szCs w:val="20"/>
          <w:bdr w:val="none" w:sz="0" w:space="0" w:color="auto"/>
          <w:lang w:val="es-ES"/>
        </w:rPr>
        <w:t>el agotamiento de los recursos internos</w:t>
      </w:r>
      <w:r w:rsidR="00995235" w:rsidRPr="004D4B3F">
        <w:rPr>
          <w:rFonts w:asciiTheme="majorHAnsi" w:eastAsia="Times New Roman" w:hAnsiTheme="majorHAnsi"/>
          <w:sz w:val="20"/>
          <w:szCs w:val="20"/>
          <w:bdr w:val="none" w:sz="0" w:space="0" w:color="auto"/>
          <w:lang w:val="es-ES"/>
        </w:rPr>
        <w:t>,</w:t>
      </w:r>
      <w:r w:rsidR="0086195E" w:rsidRPr="004D4B3F">
        <w:rPr>
          <w:rFonts w:asciiTheme="majorHAnsi" w:eastAsia="Times New Roman" w:hAnsiTheme="majorHAnsi"/>
          <w:sz w:val="20"/>
          <w:szCs w:val="20"/>
          <w:bdr w:val="none" w:sz="0" w:space="0" w:color="auto"/>
          <w:lang w:val="es-ES"/>
        </w:rPr>
        <w:t xml:space="preserve"> distinguiendo entre</w:t>
      </w:r>
      <w:r w:rsidR="00524AA4" w:rsidRPr="004D4B3F">
        <w:rPr>
          <w:rFonts w:asciiTheme="majorHAnsi" w:eastAsia="Times New Roman" w:hAnsiTheme="majorHAnsi"/>
          <w:sz w:val="20"/>
          <w:szCs w:val="20"/>
          <w:bdr w:val="none" w:sz="0" w:space="0" w:color="auto"/>
          <w:lang w:val="es-ES"/>
        </w:rPr>
        <w:t xml:space="preserve"> </w:t>
      </w:r>
      <w:r w:rsidR="0086195E" w:rsidRPr="004D4B3F">
        <w:rPr>
          <w:rFonts w:asciiTheme="majorHAnsi" w:eastAsia="Times New Roman" w:hAnsiTheme="majorHAnsi"/>
          <w:sz w:val="20"/>
          <w:szCs w:val="20"/>
          <w:bdr w:val="none" w:sz="0" w:space="0" w:color="auto"/>
          <w:lang w:val="es-ES"/>
        </w:rPr>
        <w:t>los casos</w:t>
      </w:r>
      <w:r w:rsidR="00524AA4" w:rsidRPr="004D4B3F">
        <w:rPr>
          <w:rFonts w:asciiTheme="majorHAnsi" w:eastAsia="Times New Roman" w:hAnsiTheme="majorHAnsi"/>
          <w:sz w:val="20"/>
          <w:szCs w:val="20"/>
          <w:bdr w:val="none" w:sz="0" w:space="0" w:color="auto"/>
          <w:lang w:val="es-ES"/>
        </w:rPr>
        <w:t xml:space="preserve"> de</w:t>
      </w:r>
      <w:r w:rsidR="0086195E" w:rsidRPr="004D4B3F">
        <w:rPr>
          <w:rFonts w:asciiTheme="majorHAnsi" w:eastAsia="Times New Roman" w:hAnsiTheme="majorHAnsi"/>
          <w:sz w:val="20"/>
          <w:szCs w:val="20"/>
          <w:bdr w:val="none" w:sz="0" w:space="0" w:color="auto"/>
          <w:lang w:val="es-ES"/>
        </w:rPr>
        <w:t xml:space="preserve"> alegada</w:t>
      </w:r>
      <w:r w:rsidR="00524AA4" w:rsidRPr="004D4B3F">
        <w:rPr>
          <w:rFonts w:asciiTheme="majorHAnsi" w:eastAsia="Times New Roman" w:hAnsiTheme="majorHAnsi"/>
          <w:sz w:val="20"/>
          <w:szCs w:val="20"/>
          <w:bdr w:val="none" w:sz="0" w:space="0" w:color="auto"/>
          <w:lang w:val="es-ES"/>
        </w:rPr>
        <w:t xml:space="preserve"> desaparición forzada y</w:t>
      </w:r>
      <w:r w:rsidR="0086195E" w:rsidRPr="004D4B3F">
        <w:rPr>
          <w:rFonts w:asciiTheme="majorHAnsi" w:eastAsia="Times New Roman" w:hAnsiTheme="majorHAnsi"/>
          <w:sz w:val="20"/>
          <w:szCs w:val="20"/>
          <w:bdr w:val="none" w:sz="0" w:space="0" w:color="auto"/>
          <w:lang w:val="es-ES"/>
        </w:rPr>
        <w:t xml:space="preserve"> los de presunta</w:t>
      </w:r>
      <w:r w:rsidR="00524AA4" w:rsidRPr="004D4B3F">
        <w:rPr>
          <w:rFonts w:asciiTheme="majorHAnsi" w:eastAsia="Times New Roman" w:hAnsiTheme="majorHAnsi"/>
          <w:sz w:val="20"/>
          <w:szCs w:val="20"/>
          <w:bdr w:val="none" w:sz="0" w:space="0" w:color="auto"/>
          <w:lang w:val="es-ES"/>
        </w:rPr>
        <w:t xml:space="preserve"> ejecución</w:t>
      </w:r>
      <w:r w:rsidR="00922214" w:rsidRPr="004D4B3F">
        <w:rPr>
          <w:rFonts w:asciiTheme="majorHAnsi" w:eastAsia="Times New Roman" w:hAnsiTheme="majorHAnsi"/>
          <w:sz w:val="20"/>
          <w:szCs w:val="20"/>
          <w:bdr w:val="none" w:sz="0" w:space="0" w:color="auto"/>
          <w:lang w:val="es-ES"/>
        </w:rPr>
        <w:t xml:space="preserve"> extrajudicial</w:t>
      </w:r>
      <w:r w:rsidR="00245A6C" w:rsidRPr="004D4B3F">
        <w:rPr>
          <w:rFonts w:asciiTheme="majorHAnsi" w:eastAsia="Times New Roman" w:hAnsiTheme="majorHAnsi"/>
          <w:sz w:val="20"/>
          <w:szCs w:val="20"/>
          <w:bdr w:val="none" w:sz="0" w:space="0" w:color="auto"/>
          <w:lang w:val="es-ES"/>
        </w:rPr>
        <w:t xml:space="preserve">. </w:t>
      </w:r>
      <w:r w:rsidR="00D913C8" w:rsidRPr="004D4B3F">
        <w:rPr>
          <w:rFonts w:asciiTheme="majorHAnsi" w:eastAsia="Times New Roman" w:hAnsiTheme="majorHAnsi"/>
          <w:sz w:val="20"/>
          <w:szCs w:val="20"/>
          <w:bdr w:val="none" w:sz="0" w:space="0" w:color="auto"/>
          <w:lang w:val="es-ES"/>
        </w:rPr>
        <w:t>R</w:t>
      </w:r>
      <w:r w:rsidR="0086195E" w:rsidRPr="004D4B3F">
        <w:rPr>
          <w:rFonts w:asciiTheme="majorHAnsi" w:eastAsia="Times New Roman" w:hAnsiTheme="majorHAnsi"/>
          <w:sz w:val="20"/>
          <w:szCs w:val="20"/>
          <w:bdr w:val="none" w:sz="0" w:space="0" w:color="auto"/>
          <w:lang w:val="es-ES"/>
        </w:rPr>
        <w:t>especto a</w:t>
      </w:r>
      <w:r w:rsidR="00245A6C" w:rsidRPr="004D4B3F">
        <w:rPr>
          <w:rFonts w:asciiTheme="majorHAnsi" w:eastAsia="Times New Roman" w:hAnsiTheme="majorHAnsi"/>
          <w:sz w:val="20"/>
          <w:szCs w:val="20"/>
          <w:bdr w:val="none" w:sz="0" w:space="0" w:color="auto"/>
          <w:lang w:val="es-ES"/>
        </w:rPr>
        <w:t xml:space="preserve"> la presunta desaparición forzada de 39 personas, </w:t>
      </w:r>
      <w:r w:rsidR="00995235" w:rsidRPr="004D4B3F">
        <w:rPr>
          <w:rFonts w:asciiTheme="majorHAnsi" w:eastAsia="Times New Roman" w:hAnsiTheme="majorHAnsi"/>
          <w:sz w:val="20"/>
          <w:szCs w:val="20"/>
          <w:bdr w:val="none" w:sz="0" w:space="0" w:color="auto"/>
          <w:lang w:val="es-ES"/>
        </w:rPr>
        <w:t>la CIDH nota</w:t>
      </w:r>
      <w:r w:rsidR="007C3FB8" w:rsidRPr="004D4B3F">
        <w:rPr>
          <w:rFonts w:asciiTheme="majorHAnsi" w:eastAsia="Times New Roman" w:hAnsiTheme="majorHAnsi"/>
          <w:sz w:val="20"/>
          <w:szCs w:val="20"/>
          <w:bdr w:val="none" w:sz="0" w:space="0" w:color="auto"/>
          <w:lang w:val="es-ES"/>
        </w:rPr>
        <w:t xml:space="preserve"> </w:t>
      </w:r>
      <w:r w:rsidR="00995235" w:rsidRPr="004D4B3F">
        <w:rPr>
          <w:rFonts w:asciiTheme="majorHAnsi" w:hAnsiTheme="majorHAnsi"/>
          <w:sz w:val="20"/>
          <w:szCs w:val="20"/>
          <w:shd w:val="clear" w:color="auto" w:fill="FFFFFF"/>
          <w:lang w:val="es-ES"/>
        </w:rPr>
        <w:t>que la desaparición de las presuntas víctimas ocurrió en algunos casos hace más de 36 años y que existe una</w:t>
      </w:r>
      <w:r w:rsidR="00995235" w:rsidRPr="004D4B3F">
        <w:rPr>
          <w:rStyle w:val="apple-converted-space"/>
          <w:rFonts w:asciiTheme="majorHAnsi" w:hAnsiTheme="majorHAnsi"/>
          <w:sz w:val="20"/>
          <w:szCs w:val="20"/>
          <w:shd w:val="clear" w:color="auto" w:fill="FFFFFF"/>
          <w:lang w:val="es-ES"/>
        </w:rPr>
        <w:t> </w:t>
      </w:r>
      <w:r w:rsidR="00995235" w:rsidRPr="004D4B3F">
        <w:rPr>
          <w:rFonts w:asciiTheme="majorHAnsi" w:hAnsiTheme="majorHAnsi"/>
          <w:iCs/>
          <w:sz w:val="20"/>
          <w:szCs w:val="20"/>
          <w:shd w:val="clear" w:color="auto" w:fill="FFFFFF"/>
          <w:lang w:val="es-ES"/>
        </w:rPr>
        <w:t>situación continuada</w:t>
      </w:r>
      <w:r w:rsidR="00995235" w:rsidRPr="004D4B3F">
        <w:rPr>
          <w:rStyle w:val="apple-converted-space"/>
          <w:rFonts w:asciiTheme="majorHAnsi" w:hAnsiTheme="majorHAnsi"/>
          <w:sz w:val="20"/>
          <w:szCs w:val="20"/>
          <w:shd w:val="clear" w:color="auto" w:fill="FFFFFF"/>
          <w:lang w:val="es-ES"/>
        </w:rPr>
        <w:t> </w:t>
      </w:r>
      <w:r w:rsidR="00995235" w:rsidRPr="004D4B3F">
        <w:rPr>
          <w:rFonts w:asciiTheme="majorHAnsi" w:hAnsiTheme="majorHAnsi"/>
          <w:sz w:val="20"/>
          <w:szCs w:val="20"/>
          <w:shd w:val="clear" w:color="auto" w:fill="FFFFFF"/>
          <w:lang w:val="es-ES"/>
        </w:rPr>
        <w:t>que perdura hasta la fecha sin que</w:t>
      </w:r>
      <w:r w:rsidR="00373098" w:rsidRPr="004D4B3F">
        <w:rPr>
          <w:rFonts w:asciiTheme="majorHAnsi" w:hAnsiTheme="majorHAnsi"/>
          <w:sz w:val="20"/>
          <w:szCs w:val="20"/>
          <w:shd w:val="clear" w:color="auto" w:fill="FFFFFF"/>
          <w:lang w:val="es-ES"/>
        </w:rPr>
        <w:t xml:space="preserve"> haya,</w:t>
      </w:r>
      <w:r w:rsidR="00336646" w:rsidRPr="004D4B3F">
        <w:rPr>
          <w:rFonts w:asciiTheme="majorHAnsi" w:hAnsiTheme="majorHAnsi"/>
          <w:sz w:val="20"/>
          <w:szCs w:val="20"/>
          <w:shd w:val="clear" w:color="auto" w:fill="FFFFFF"/>
          <w:lang w:val="es-ES"/>
        </w:rPr>
        <w:t xml:space="preserve"> en la mayoría de los casos</w:t>
      </w:r>
      <w:r w:rsidR="00373098" w:rsidRPr="004D4B3F">
        <w:rPr>
          <w:rFonts w:asciiTheme="majorHAnsi" w:hAnsiTheme="majorHAnsi"/>
          <w:sz w:val="20"/>
          <w:szCs w:val="20"/>
          <w:shd w:val="clear" w:color="auto" w:fill="FFFFFF"/>
          <w:lang w:val="es-ES"/>
        </w:rPr>
        <w:t>,</w:t>
      </w:r>
      <w:r w:rsidR="00995235" w:rsidRPr="004D4B3F">
        <w:rPr>
          <w:rFonts w:asciiTheme="majorHAnsi" w:hAnsiTheme="majorHAnsi"/>
          <w:sz w:val="20"/>
          <w:szCs w:val="20"/>
          <w:shd w:val="clear" w:color="auto" w:fill="FFFFFF"/>
          <w:lang w:val="es-ES"/>
        </w:rPr>
        <w:t xml:space="preserve"> resoluciones judiciales definitivas sobre los responsables de estos hechos ni sobre el paradero de los restos de las presuntas víctimas.</w:t>
      </w:r>
      <w:r w:rsidR="00995235" w:rsidRPr="004D4B3F">
        <w:rPr>
          <w:rStyle w:val="apple-converted-space"/>
          <w:rFonts w:asciiTheme="majorHAnsi" w:hAnsiTheme="majorHAnsi"/>
          <w:sz w:val="20"/>
          <w:szCs w:val="20"/>
          <w:shd w:val="clear" w:color="auto" w:fill="FFFFFF"/>
          <w:lang w:val="es-ES"/>
        </w:rPr>
        <w:t> </w:t>
      </w:r>
      <w:r w:rsidR="00995235" w:rsidRPr="004D4B3F">
        <w:rPr>
          <w:rFonts w:asciiTheme="majorHAnsi" w:hAnsiTheme="majorHAnsi"/>
          <w:bCs/>
          <w:sz w:val="20"/>
          <w:szCs w:val="20"/>
          <w:lang w:val="es-PE"/>
        </w:rPr>
        <w:t xml:space="preserve">En consecuencia, la CIDH considera que, </w:t>
      </w:r>
      <w:r w:rsidR="00995235" w:rsidRPr="004D4B3F">
        <w:rPr>
          <w:rFonts w:asciiTheme="majorHAnsi" w:hAnsiTheme="majorHAnsi"/>
          <w:bCs/>
          <w:i/>
          <w:sz w:val="20"/>
          <w:szCs w:val="20"/>
          <w:lang w:val="es-PE"/>
        </w:rPr>
        <w:t>prima facie</w:t>
      </w:r>
      <w:r w:rsidR="00995235" w:rsidRPr="004D4B3F">
        <w:rPr>
          <w:rFonts w:asciiTheme="majorHAnsi" w:hAnsiTheme="majorHAnsi"/>
          <w:bCs/>
          <w:sz w:val="20"/>
          <w:szCs w:val="20"/>
          <w:lang w:val="es-PE"/>
        </w:rPr>
        <w:t xml:space="preserve">, existe un retardo injustificado en la tramitación de las causas penales que investigan los hechos y, en consecuencia, </w:t>
      </w:r>
      <w:r w:rsidR="003D7C1B" w:rsidRPr="004D4B3F">
        <w:rPr>
          <w:rFonts w:asciiTheme="majorHAnsi" w:hAnsiTheme="majorHAnsi"/>
          <w:bCs/>
          <w:sz w:val="20"/>
          <w:szCs w:val="20"/>
          <w:lang w:val="es-PE"/>
        </w:rPr>
        <w:t xml:space="preserve">se aplica la excepción al requerimiento del previo agotamiento, </w:t>
      </w:r>
      <w:r w:rsidR="00995235" w:rsidRPr="004D4B3F">
        <w:rPr>
          <w:rFonts w:asciiTheme="majorHAnsi" w:hAnsiTheme="majorHAnsi"/>
          <w:bCs/>
          <w:sz w:val="20"/>
          <w:szCs w:val="20"/>
          <w:lang w:val="es-PE"/>
        </w:rPr>
        <w:t>estipulado en el artículo 46(2)(c) de la Convención.</w:t>
      </w:r>
    </w:p>
    <w:p w:rsidR="00E0098F" w:rsidRPr="004D4B3F" w:rsidRDefault="00E0098F" w:rsidP="00E0098F">
      <w:pPr>
        <w:pStyle w:val="ListParagraph"/>
        <w:rPr>
          <w:rFonts w:asciiTheme="majorHAnsi" w:eastAsia="Times New Roman" w:hAnsiTheme="majorHAnsi"/>
          <w:sz w:val="20"/>
          <w:szCs w:val="20"/>
          <w:bdr w:val="none" w:sz="0" w:space="0" w:color="auto"/>
          <w:lang w:val="es-ES"/>
        </w:rPr>
      </w:pPr>
    </w:p>
    <w:p w:rsidR="00625425" w:rsidRPr="004D4B3F" w:rsidRDefault="00625425"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eastAsia="Times New Roman" w:hAnsiTheme="majorHAnsi"/>
          <w:sz w:val="20"/>
          <w:szCs w:val="20"/>
          <w:bdr w:val="none" w:sz="0" w:space="0" w:color="auto"/>
          <w:lang w:val="es-ES"/>
        </w:rPr>
      </w:pPr>
      <w:r w:rsidRPr="004D4B3F">
        <w:rPr>
          <w:rFonts w:asciiTheme="majorHAnsi" w:eastAsia="Times New Roman" w:hAnsiTheme="majorHAnsi"/>
          <w:sz w:val="20"/>
          <w:szCs w:val="20"/>
          <w:bdr w:val="none" w:sz="0" w:space="0" w:color="auto"/>
          <w:lang w:val="es-ES"/>
        </w:rPr>
        <w:t>Asimismo, respecto del archivo o de la declaración de prescripción de la acción de algunos procesos judiciales donde se denuncian desapariciones forzadas</w:t>
      </w:r>
      <w:r w:rsidRPr="004D4B3F">
        <w:rPr>
          <w:rStyle w:val="FootnoteReference"/>
          <w:rFonts w:asciiTheme="majorHAnsi" w:eastAsia="Times New Roman" w:hAnsiTheme="majorHAnsi"/>
          <w:sz w:val="20"/>
          <w:szCs w:val="20"/>
          <w:bdr w:val="none" w:sz="0" w:space="0" w:color="auto"/>
          <w:lang w:val="es-ES"/>
        </w:rPr>
        <w:footnoteReference w:id="15"/>
      </w:r>
      <w:r w:rsidRPr="004D4B3F">
        <w:rPr>
          <w:rFonts w:asciiTheme="majorHAnsi" w:eastAsia="Times New Roman" w:hAnsiTheme="majorHAnsi"/>
          <w:sz w:val="20"/>
          <w:szCs w:val="20"/>
          <w:bdr w:val="none" w:sz="0" w:space="0" w:color="auto"/>
          <w:lang w:val="es-ES"/>
        </w:rPr>
        <w:t>, se debe tener presente que la Corte Interamericana ha establecido que, cuando se alegan desapariciones forzadas, la obligación de investigar subsiste hasta tanto se tenga conocimiento del destino de la víctima o del lugar donde se encuentran sus restos</w:t>
      </w:r>
      <w:r w:rsidRPr="004D4B3F">
        <w:rPr>
          <w:sz w:val="20"/>
          <w:szCs w:val="20"/>
          <w:bdr w:val="none" w:sz="0" w:space="0" w:color="auto"/>
          <w:vertAlign w:val="superscript"/>
          <w:lang w:val="es-ES"/>
        </w:rPr>
        <w:footnoteReference w:id="16"/>
      </w:r>
      <w:r w:rsidRPr="004D4B3F">
        <w:rPr>
          <w:rFonts w:asciiTheme="majorHAnsi" w:eastAsia="Times New Roman" w:hAnsiTheme="majorHAnsi"/>
          <w:sz w:val="20"/>
          <w:szCs w:val="20"/>
          <w:bdr w:val="none" w:sz="0" w:space="0" w:color="auto"/>
          <w:lang w:val="es-ES"/>
        </w:rPr>
        <w:t>. Por esto, respecto a esta situación se aplica la excepción contemplada en el artículo 46(2)(b) de la Convención.</w:t>
      </w:r>
    </w:p>
    <w:p w:rsidR="008E746D" w:rsidRPr="004D4B3F" w:rsidRDefault="008E746D" w:rsidP="00E0098F">
      <w:pPr>
        <w:rPr>
          <w:rFonts w:asciiTheme="majorHAnsi" w:eastAsia="Times New Roman" w:hAnsiTheme="majorHAnsi"/>
          <w:sz w:val="20"/>
          <w:szCs w:val="20"/>
          <w:bdr w:val="none" w:sz="0" w:space="0" w:color="auto"/>
          <w:lang w:val="es-ES"/>
        </w:rPr>
      </w:pPr>
    </w:p>
    <w:p w:rsidR="009433D8" w:rsidRPr="004D4B3F" w:rsidRDefault="00E0098F" w:rsidP="0037309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eastAsia="Times New Roman" w:hAnsiTheme="majorHAnsi"/>
          <w:sz w:val="20"/>
          <w:szCs w:val="20"/>
          <w:bdr w:val="none" w:sz="0" w:space="0" w:color="auto"/>
          <w:lang w:val="es-ES"/>
        </w:rPr>
      </w:pPr>
      <w:r w:rsidRPr="004D4B3F">
        <w:rPr>
          <w:rFonts w:asciiTheme="majorHAnsi" w:eastAsia="Times New Roman" w:hAnsiTheme="majorHAnsi"/>
          <w:sz w:val="20"/>
          <w:szCs w:val="20"/>
          <w:bdr w:val="none" w:sz="0" w:space="0" w:color="auto"/>
          <w:lang w:val="es-ES"/>
        </w:rPr>
        <w:t xml:space="preserve">Ahora bien, </w:t>
      </w:r>
      <w:r w:rsidR="003C6D97" w:rsidRPr="004D4B3F">
        <w:rPr>
          <w:rFonts w:asciiTheme="majorHAnsi" w:eastAsia="Times New Roman" w:hAnsiTheme="majorHAnsi"/>
          <w:sz w:val="20"/>
          <w:szCs w:val="20"/>
          <w:bdr w:val="none" w:sz="0" w:space="0" w:color="auto"/>
          <w:lang w:val="es-ES"/>
        </w:rPr>
        <w:t>respecto a los</w:t>
      </w:r>
      <w:r w:rsidR="00A81F93" w:rsidRPr="004D4B3F">
        <w:rPr>
          <w:rFonts w:asciiTheme="majorHAnsi" w:eastAsia="Times New Roman" w:hAnsiTheme="majorHAnsi"/>
          <w:sz w:val="20"/>
          <w:szCs w:val="20"/>
          <w:bdr w:val="none" w:sz="0" w:space="0" w:color="auto"/>
          <w:lang w:val="es-ES"/>
        </w:rPr>
        <w:t xml:space="preserve"> alegados</w:t>
      </w:r>
      <w:r w:rsidR="003C6D97" w:rsidRPr="004D4B3F">
        <w:rPr>
          <w:rFonts w:asciiTheme="majorHAnsi" w:eastAsia="Times New Roman" w:hAnsiTheme="majorHAnsi"/>
          <w:sz w:val="20"/>
          <w:szCs w:val="20"/>
          <w:bdr w:val="none" w:sz="0" w:space="0" w:color="auto"/>
          <w:lang w:val="es-ES"/>
        </w:rPr>
        <w:t xml:space="preserve"> 70 casos de </w:t>
      </w:r>
      <w:r w:rsidR="00F06A9F" w:rsidRPr="004D4B3F">
        <w:rPr>
          <w:rFonts w:asciiTheme="majorHAnsi" w:eastAsia="Times New Roman" w:hAnsiTheme="majorHAnsi"/>
          <w:sz w:val="20"/>
          <w:szCs w:val="20"/>
          <w:bdr w:val="none" w:sz="0" w:space="0" w:color="auto"/>
          <w:lang w:val="es-ES"/>
        </w:rPr>
        <w:t>ejecución</w:t>
      </w:r>
      <w:r w:rsidR="003C6D97" w:rsidRPr="004D4B3F">
        <w:rPr>
          <w:rFonts w:asciiTheme="majorHAnsi" w:eastAsia="Times New Roman" w:hAnsiTheme="majorHAnsi"/>
          <w:sz w:val="20"/>
          <w:szCs w:val="20"/>
          <w:bdr w:val="none" w:sz="0" w:space="0" w:color="auto"/>
          <w:lang w:val="es-ES"/>
        </w:rPr>
        <w:t xml:space="preserve"> extrajudicial, </w:t>
      </w:r>
      <w:r w:rsidR="00F06A9F" w:rsidRPr="004D4B3F">
        <w:rPr>
          <w:rFonts w:asciiTheme="majorHAnsi" w:eastAsia="Times New Roman" w:hAnsiTheme="majorHAnsi"/>
          <w:sz w:val="20"/>
          <w:szCs w:val="20"/>
          <w:bdr w:val="none" w:sz="0" w:space="0" w:color="auto"/>
          <w:lang w:val="es-ES"/>
        </w:rPr>
        <w:t xml:space="preserve">consta en el expediente </w:t>
      </w:r>
      <w:r w:rsidR="003C6D97" w:rsidRPr="004D4B3F">
        <w:rPr>
          <w:rFonts w:asciiTheme="majorHAnsi" w:eastAsia="Times New Roman" w:hAnsiTheme="majorHAnsi"/>
          <w:sz w:val="20"/>
          <w:szCs w:val="20"/>
          <w:bdr w:val="none" w:sz="0" w:space="0" w:color="auto"/>
          <w:lang w:val="es-ES"/>
        </w:rPr>
        <w:t>que</w:t>
      </w:r>
      <w:r w:rsidR="00B40013">
        <w:rPr>
          <w:rFonts w:asciiTheme="majorHAnsi" w:eastAsia="Times New Roman" w:hAnsiTheme="majorHAnsi"/>
          <w:sz w:val="20"/>
          <w:szCs w:val="20"/>
          <w:bdr w:val="none" w:sz="0" w:space="0" w:color="auto"/>
          <w:lang w:val="es-ES"/>
        </w:rPr>
        <w:t>,</w:t>
      </w:r>
      <w:r w:rsidR="004D4B3F">
        <w:rPr>
          <w:rFonts w:asciiTheme="majorHAnsi" w:eastAsia="Times New Roman" w:hAnsiTheme="majorHAnsi"/>
          <w:sz w:val="20"/>
          <w:szCs w:val="20"/>
          <w:bdr w:val="none" w:sz="0" w:space="0" w:color="auto"/>
          <w:lang w:val="es-ES"/>
        </w:rPr>
        <w:t xml:space="preserve"> </w:t>
      </w:r>
      <w:r w:rsidR="00B40013">
        <w:rPr>
          <w:rFonts w:asciiTheme="majorHAnsi" w:eastAsia="Times New Roman" w:hAnsiTheme="majorHAnsi"/>
          <w:sz w:val="20"/>
          <w:szCs w:val="20"/>
          <w:bdr w:val="none" w:sz="0" w:space="0" w:color="auto"/>
          <w:lang w:val="es-ES"/>
        </w:rPr>
        <w:t>respecto a</w:t>
      </w:r>
      <w:r w:rsidR="004D4B3F">
        <w:rPr>
          <w:rFonts w:asciiTheme="majorHAnsi" w:eastAsia="Times New Roman" w:hAnsiTheme="majorHAnsi"/>
          <w:sz w:val="20"/>
          <w:szCs w:val="20"/>
          <w:bdr w:val="none" w:sz="0" w:space="0" w:color="auto"/>
          <w:lang w:val="es-ES"/>
        </w:rPr>
        <w:t xml:space="preserve"> por lo menos 6</w:t>
      </w:r>
      <w:r w:rsidR="00B40013">
        <w:rPr>
          <w:rFonts w:asciiTheme="majorHAnsi" w:eastAsia="Times New Roman" w:hAnsiTheme="majorHAnsi"/>
          <w:sz w:val="20"/>
          <w:szCs w:val="20"/>
          <w:bdr w:val="none" w:sz="0" w:space="0" w:color="auto"/>
          <w:lang w:val="es-ES"/>
        </w:rPr>
        <w:t>2</w:t>
      </w:r>
      <w:r w:rsidR="004D4B3F">
        <w:rPr>
          <w:rFonts w:asciiTheme="majorHAnsi" w:eastAsia="Times New Roman" w:hAnsiTheme="majorHAnsi"/>
          <w:sz w:val="20"/>
          <w:szCs w:val="20"/>
          <w:bdr w:val="none" w:sz="0" w:space="0" w:color="auto"/>
          <w:lang w:val="es-ES"/>
        </w:rPr>
        <w:t xml:space="preserve"> casos, </w:t>
      </w:r>
      <w:r w:rsidR="003C6D97" w:rsidRPr="004D4B3F">
        <w:rPr>
          <w:rFonts w:asciiTheme="majorHAnsi" w:eastAsia="Times New Roman" w:hAnsiTheme="majorHAnsi"/>
          <w:sz w:val="20"/>
          <w:szCs w:val="20"/>
          <w:bdr w:val="none" w:sz="0" w:space="0" w:color="auto"/>
          <w:lang w:val="es-ES"/>
        </w:rPr>
        <w:t>los hechos fueron den</w:t>
      </w:r>
      <w:r w:rsidR="00B40013">
        <w:rPr>
          <w:rFonts w:asciiTheme="majorHAnsi" w:eastAsia="Times New Roman" w:hAnsiTheme="majorHAnsi"/>
          <w:sz w:val="20"/>
          <w:szCs w:val="20"/>
          <w:bdr w:val="none" w:sz="0" w:space="0" w:color="auto"/>
          <w:lang w:val="es-ES"/>
        </w:rPr>
        <w:t>unciados entre 1970 y 1991. La C</w:t>
      </w:r>
      <w:r w:rsidR="003C6D97" w:rsidRPr="004D4B3F">
        <w:rPr>
          <w:rFonts w:asciiTheme="majorHAnsi" w:eastAsia="Times New Roman" w:hAnsiTheme="majorHAnsi"/>
          <w:sz w:val="20"/>
          <w:szCs w:val="20"/>
          <w:bdr w:val="none" w:sz="0" w:space="0" w:color="auto"/>
          <w:lang w:val="es-ES"/>
        </w:rPr>
        <w:t xml:space="preserve">omisión toma nota </w:t>
      </w:r>
      <w:r w:rsidR="00A81F93" w:rsidRPr="004D4B3F">
        <w:rPr>
          <w:rFonts w:asciiTheme="majorHAnsi" w:eastAsia="Times New Roman" w:hAnsiTheme="majorHAnsi"/>
          <w:sz w:val="20"/>
          <w:szCs w:val="20"/>
          <w:bdr w:val="none" w:sz="0" w:space="0" w:color="auto"/>
          <w:lang w:val="es-ES"/>
        </w:rPr>
        <w:t xml:space="preserve">de </w:t>
      </w:r>
      <w:r w:rsidR="003C6D97" w:rsidRPr="004D4B3F">
        <w:rPr>
          <w:rFonts w:asciiTheme="majorHAnsi" w:eastAsia="Times New Roman" w:hAnsiTheme="majorHAnsi"/>
          <w:sz w:val="20"/>
          <w:szCs w:val="20"/>
          <w:bdr w:val="none" w:sz="0" w:space="0" w:color="auto"/>
          <w:lang w:val="es-ES"/>
        </w:rPr>
        <w:t xml:space="preserve">que, no obstante el tiempo transcurrido desde la presentación de las denuncias respectivas, 27 </w:t>
      </w:r>
      <w:r w:rsidR="00B40013">
        <w:rPr>
          <w:rFonts w:asciiTheme="majorHAnsi" w:eastAsia="Times New Roman" w:hAnsiTheme="majorHAnsi"/>
          <w:sz w:val="20"/>
          <w:szCs w:val="20"/>
          <w:bdr w:val="none" w:sz="0" w:space="0" w:color="auto"/>
          <w:lang w:val="es-ES"/>
        </w:rPr>
        <w:t xml:space="preserve">de estos </w:t>
      </w:r>
      <w:r w:rsidR="003C6D97" w:rsidRPr="004D4B3F">
        <w:rPr>
          <w:rFonts w:asciiTheme="majorHAnsi" w:eastAsia="Times New Roman" w:hAnsiTheme="majorHAnsi"/>
          <w:sz w:val="20"/>
          <w:szCs w:val="20"/>
          <w:bdr w:val="none" w:sz="0" w:space="0" w:color="auto"/>
          <w:lang w:val="es-ES"/>
        </w:rPr>
        <w:t xml:space="preserve">casos seguirían en etapa de instrucción y 16 habrían resultado en sobreseimientos o archivos entre los años 1970 y 1995, es decir durante </w:t>
      </w:r>
      <w:r w:rsidR="00A81F93" w:rsidRPr="004D4B3F">
        <w:rPr>
          <w:rFonts w:asciiTheme="majorHAnsi" w:eastAsia="Times New Roman" w:hAnsiTheme="majorHAnsi"/>
          <w:sz w:val="20"/>
          <w:szCs w:val="20"/>
          <w:bdr w:val="none" w:sz="0" w:space="0" w:color="auto"/>
          <w:lang w:val="es-ES"/>
        </w:rPr>
        <w:t xml:space="preserve">el tiempo de </w:t>
      </w:r>
      <w:r w:rsidR="003C6D97" w:rsidRPr="004D4B3F">
        <w:rPr>
          <w:rFonts w:asciiTheme="majorHAnsi" w:eastAsia="Times New Roman" w:hAnsiTheme="majorHAnsi"/>
          <w:sz w:val="20"/>
          <w:szCs w:val="20"/>
          <w:bdr w:val="none" w:sz="0" w:space="0" w:color="auto"/>
          <w:lang w:val="es-ES"/>
        </w:rPr>
        <w:t>la dictadura militar o en los años inmediatamente sucesivos, en un contexto –segú</w:t>
      </w:r>
      <w:r w:rsidR="00102B3D" w:rsidRPr="004D4B3F">
        <w:rPr>
          <w:rFonts w:asciiTheme="majorHAnsi" w:eastAsia="Times New Roman" w:hAnsiTheme="majorHAnsi"/>
          <w:sz w:val="20"/>
          <w:szCs w:val="20"/>
          <w:bdr w:val="none" w:sz="0" w:space="0" w:color="auto"/>
          <w:lang w:val="es-ES"/>
        </w:rPr>
        <w:t>n alegado por los peticionarios</w:t>
      </w:r>
      <w:r w:rsidR="00373098" w:rsidRPr="004D4B3F">
        <w:rPr>
          <w:rFonts w:asciiTheme="majorHAnsi" w:eastAsia="Times New Roman" w:hAnsiTheme="majorHAnsi"/>
          <w:sz w:val="20"/>
          <w:szCs w:val="20"/>
          <w:bdr w:val="none" w:sz="0" w:space="0" w:color="auto"/>
          <w:lang w:val="es-ES"/>
        </w:rPr>
        <w:t>–</w:t>
      </w:r>
      <w:r w:rsidR="003C6D97" w:rsidRPr="004D4B3F">
        <w:rPr>
          <w:rFonts w:asciiTheme="majorHAnsi" w:eastAsia="Times New Roman" w:hAnsiTheme="majorHAnsi"/>
          <w:sz w:val="20"/>
          <w:szCs w:val="20"/>
          <w:bdr w:val="none" w:sz="0" w:space="0" w:color="auto"/>
          <w:lang w:val="es-ES"/>
        </w:rPr>
        <w:t xml:space="preserve"> de impunidad estructural y falta de autonomía judicial. De los casos restantes, 13 resultaron en </w:t>
      </w:r>
      <w:r w:rsidR="003D7C1B" w:rsidRPr="004D4B3F">
        <w:rPr>
          <w:rFonts w:asciiTheme="majorHAnsi" w:eastAsia="Times New Roman" w:hAnsiTheme="majorHAnsi"/>
          <w:sz w:val="20"/>
          <w:szCs w:val="20"/>
          <w:bdr w:val="none" w:sz="0" w:space="0" w:color="auto"/>
          <w:lang w:val="es-ES"/>
        </w:rPr>
        <w:t>la condena de algunos responsables</w:t>
      </w:r>
      <w:r w:rsidR="00BC21F1" w:rsidRPr="004D4B3F">
        <w:rPr>
          <w:rFonts w:asciiTheme="majorHAnsi" w:eastAsia="Times New Roman" w:hAnsiTheme="majorHAnsi"/>
          <w:sz w:val="20"/>
          <w:szCs w:val="20"/>
          <w:bdr w:val="none" w:sz="0" w:space="0" w:color="auto"/>
          <w:lang w:val="es-ES"/>
        </w:rPr>
        <w:t xml:space="preserve"> y</w:t>
      </w:r>
      <w:r w:rsidR="003C6D97" w:rsidRPr="004D4B3F">
        <w:rPr>
          <w:rFonts w:asciiTheme="majorHAnsi" w:eastAsia="Times New Roman" w:hAnsiTheme="majorHAnsi"/>
          <w:sz w:val="20"/>
          <w:szCs w:val="20"/>
          <w:bdr w:val="none" w:sz="0" w:space="0" w:color="auto"/>
          <w:lang w:val="es-ES"/>
        </w:rPr>
        <w:t xml:space="preserve"> 6 en absoluciones o indultos</w:t>
      </w:r>
      <w:r w:rsidR="0013201A" w:rsidRPr="004D4B3F">
        <w:rPr>
          <w:rFonts w:asciiTheme="majorHAnsi" w:eastAsia="Times New Roman" w:hAnsiTheme="majorHAnsi"/>
          <w:sz w:val="20"/>
          <w:szCs w:val="20"/>
          <w:bdr w:val="none" w:sz="0" w:space="0" w:color="auto"/>
          <w:lang w:val="es-ES"/>
        </w:rPr>
        <w:t xml:space="preserve">. </w:t>
      </w:r>
      <w:r w:rsidR="005726B5" w:rsidRPr="004D4B3F">
        <w:rPr>
          <w:rFonts w:asciiTheme="majorHAnsi" w:eastAsia="Times New Roman" w:hAnsiTheme="majorHAnsi"/>
          <w:sz w:val="20"/>
          <w:szCs w:val="20"/>
          <w:bdr w:val="none" w:sz="0" w:space="0" w:color="auto"/>
          <w:lang w:val="es-ES"/>
        </w:rPr>
        <w:t>Finalmente</w:t>
      </w:r>
      <w:r w:rsidR="00373098" w:rsidRPr="004D4B3F">
        <w:rPr>
          <w:rFonts w:asciiTheme="majorHAnsi" w:eastAsia="Times New Roman" w:hAnsiTheme="majorHAnsi"/>
          <w:sz w:val="20"/>
          <w:szCs w:val="20"/>
          <w:bdr w:val="none" w:sz="0" w:space="0" w:color="auto"/>
          <w:lang w:val="es-ES"/>
        </w:rPr>
        <w:t>,</w:t>
      </w:r>
      <w:r w:rsidR="005726B5" w:rsidRPr="004D4B3F">
        <w:rPr>
          <w:rFonts w:asciiTheme="majorHAnsi" w:eastAsia="Times New Roman" w:hAnsiTheme="majorHAnsi"/>
          <w:sz w:val="20"/>
          <w:szCs w:val="20"/>
          <w:bdr w:val="none" w:sz="0" w:space="0" w:color="auto"/>
          <w:lang w:val="es-ES"/>
        </w:rPr>
        <w:t xml:space="preserve"> </w:t>
      </w:r>
      <w:r w:rsidR="004D4B3F" w:rsidRPr="004D4B3F">
        <w:rPr>
          <w:rFonts w:asciiTheme="majorHAnsi" w:eastAsia="Times New Roman" w:hAnsiTheme="majorHAnsi"/>
          <w:sz w:val="20"/>
          <w:szCs w:val="20"/>
          <w:bdr w:val="none" w:sz="0" w:space="0" w:color="auto"/>
          <w:lang w:val="es-ES"/>
        </w:rPr>
        <w:t>la Comisión de la Verdad solicitó</w:t>
      </w:r>
      <w:r w:rsidR="00B40013">
        <w:rPr>
          <w:rFonts w:asciiTheme="majorHAnsi" w:eastAsia="Times New Roman" w:hAnsiTheme="majorHAnsi"/>
          <w:sz w:val="20"/>
          <w:szCs w:val="20"/>
          <w:bdr w:val="none" w:sz="0" w:space="0" w:color="auto"/>
          <w:lang w:val="es-ES"/>
        </w:rPr>
        <w:t xml:space="preserve"> </w:t>
      </w:r>
      <w:r w:rsidR="004D4B3F" w:rsidRPr="004D4B3F">
        <w:rPr>
          <w:rFonts w:asciiTheme="majorHAnsi" w:eastAsia="Times New Roman" w:hAnsiTheme="majorHAnsi"/>
          <w:sz w:val="20"/>
          <w:szCs w:val="20"/>
          <w:bdr w:val="none" w:sz="0" w:space="0" w:color="auto"/>
          <w:lang w:val="es-ES"/>
        </w:rPr>
        <w:t xml:space="preserve">la apertura de </w:t>
      </w:r>
      <w:r w:rsidR="004C22EF" w:rsidRPr="004D4B3F">
        <w:rPr>
          <w:rFonts w:asciiTheme="majorHAnsi" w:eastAsia="Times New Roman" w:hAnsiTheme="majorHAnsi"/>
          <w:sz w:val="20"/>
          <w:szCs w:val="20"/>
          <w:bdr w:val="none" w:sz="0" w:space="0" w:color="auto"/>
          <w:lang w:val="es-ES"/>
        </w:rPr>
        <w:t>4</w:t>
      </w:r>
      <w:r w:rsidR="005726B5" w:rsidRPr="004D4B3F">
        <w:rPr>
          <w:rFonts w:asciiTheme="majorHAnsi" w:eastAsia="Times New Roman" w:hAnsiTheme="majorHAnsi"/>
          <w:sz w:val="20"/>
          <w:szCs w:val="20"/>
          <w:bdr w:val="none" w:sz="0" w:space="0" w:color="auto"/>
          <w:lang w:val="es-ES"/>
        </w:rPr>
        <w:t xml:space="preserve"> </w:t>
      </w:r>
      <w:r w:rsidR="004D4B3F">
        <w:rPr>
          <w:rFonts w:asciiTheme="majorHAnsi" w:eastAsia="Times New Roman" w:hAnsiTheme="majorHAnsi"/>
          <w:sz w:val="20"/>
          <w:szCs w:val="20"/>
          <w:bdr w:val="none" w:sz="0" w:space="0" w:color="auto"/>
          <w:lang w:val="es-ES"/>
        </w:rPr>
        <w:t xml:space="preserve">casos </w:t>
      </w:r>
      <w:r w:rsidR="004C22EF" w:rsidRPr="004D4B3F">
        <w:rPr>
          <w:rFonts w:asciiTheme="majorHAnsi" w:eastAsia="Times New Roman" w:hAnsiTheme="majorHAnsi"/>
          <w:sz w:val="20"/>
          <w:szCs w:val="20"/>
          <w:bdr w:val="none" w:sz="0" w:space="0" w:color="auto"/>
          <w:lang w:val="es-ES"/>
        </w:rPr>
        <w:t xml:space="preserve">en los que </w:t>
      </w:r>
      <w:r w:rsidR="005726B5" w:rsidRPr="004D4B3F">
        <w:rPr>
          <w:rFonts w:asciiTheme="majorHAnsi" w:eastAsia="Times New Roman" w:hAnsiTheme="majorHAnsi"/>
          <w:sz w:val="20"/>
          <w:szCs w:val="20"/>
          <w:bdr w:val="none" w:sz="0" w:space="0" w:color="auto"/>
          <w:lang w:val="es-ES"/>
        </w:rPr>
        <w:t xml:space="preserve">los familiares no </w:t>
      </w:r>
      <w:r w:rsidR="004C22EF" w:rsidRPr="004D4B3F">
        <w:rPr>
          <w:rFonts w:asciiTheme="majorHAnsi" w:eastAsia="Times New Roman" w:hAnsiTheme="majorHAnsi"/>
          <w:sz w:val="20"/>
          <w:szCs w:val="20"/>
          <w:bdr w:val="none" w:sz="0" w:space="0" w:color="auto"/>
          <w:lang w:val="es-ES"/>
        </w:rPr>
        <w:t>interpu</w:t>
      </w:r>
      <w:r w:rsidR="00373098" w:rsidRPr="004D4B3F">
        <w:rPr>
          <w:rFonts w:asciiTheme="majorHAnsi" w:eastAsia="Times New Roman" w:hAnsiTheme="majorHAnsi"/>
          <w:sz w:val="20"/>
          <w:szCs w:val="20"/>
          <w:bdr w:val="none" w:sz="0" w:space="0" w:color="auto"/>
          <w:lang w:val="es-ES"/>
        </w:rPr>
        <w:t>sieron</w:t>
      </w:r>
      <w:r w:rsidR="004C22EF" w:rsidRPr="004D4B3F">
        <w:rPr>
          <w:rFonts w:asciiTheme="majorHAnsi" w:eastAsia="Times New Roman" w:hAnsiTheme="majorHAnsi"/>
          <w:sz w:val="20"/>
          <w:szCs w:val="20"/>
          <w:bdr w:val="none" w:sz="0" w:space="0" w:color="auto"/>
          <w:lang w:val="es-ES"/>
        </w:rPr>
        <w:t xml:space="preserve"> d</w:t>
      </w:r>
      <w:r w:rsidR="005726B5" w:rsidRPr="004D4B3F">
        <w:rPr>
          <w:rFonts w:asciiTheme="majorHAnsi" w:eastAsia="Times New Roman" w:hAnsiTheme="majorHAnsi"/>
          <w:sz w:val="20"/>
          <w:szCs w:val="20"/>
          <w:bdr w:val="none" w:sz="0" w:space="0" w:color="auto"/>
          <w:lang w:val="es-ES"/>
        </w:rPr>
        <w:t xml:space="preserve">enuncia porque consideraron que </w:t>
      </w:r>
      <w:r w:rsidR="0013201A" w:rsidRPr="004D4B3F">
        <w:rPr>
          <w:rFonts w:asciiTheme="majorHAnsi" w:eastAsia="Times New Roman" w:hAnsiTheme="majorHAnsi"/>
          <w:sz w:val="20"/>
          <w:szCs w:val="20"/>
          <w:bdr w:val="none" w:sz="0" w:space="0" w:color="auto"/>
          <w:lang w:val="es-ES"/>
        </w:rPr>
        <w:t>sería</w:t>
      </w:r>
      <w:r w:rsidR="005726B5" w:rsidRPr="004D4B3F">
        <w:rPr>
          <w:rFonts w:asciiTheme="majorHAnsi" w:eastAsia="Times New Roman" w:hAnsiTheme="majorHAnsi"/>
          <w:sz w:val="20"/>
          <w:szCs w:val="20"/>
          <w:bdr w:val="none" w:sz="0" w:space="0" w:color="auto"/>
          <w:lang w:val="es-ES"/>
        </w:rPr>
        <w:t xml:space="preserve"> infructuosa; </w:t>
      </w:r>
      <w:r w:rsidR="004D4B3F">
        <w:rPr>
          <w:rFonts w:asciiTheme="majorHAnsi" w:eastAsia="Times New Roman" w:hAnsiTheme="majorHAnsi"/>
          <w:sz w:val="20"/>
          <w:szCs w:val="20"/>
          <w:bdr w:val="none" w:sz="0" w:space="0" w:color="auto"/>
          <w:lang w:val="es-ES"/>
        </w:rPr>
        <w:t xml:space="preserve">en todas las ocasiones </w:t>
      </w:r>
      <w:r w:rsidR="0013201A" w:rsidRPr="004D4B3F">
        <w:rPr>
          <w:rFonts w:asciiTheme="majorHAnsi" w:eastAsia="Times New Roman" w:hAnsiTheme="majorHAnsi"/>
          <w:sz w:val="20"/>
          <w:szCs w:val="20"/>
          <w:bdr w:val="none" w:sz="0" w:space="0" w:color="auto"/>
          <w:lang w:val="es-ES"/>
        </w:rPr>
        <w:t>el Fiscal Superior solicit</w:t>
      </w:r>
      <w:r w:rsidR="004C22EF" w:rsidRPr="004D4B3F">
        <w:rPr>
          <w:rFonts w:asciiTheme="majorHAnsi" w:eastAsia="Times New Roman" w:hAnsiTheme="majorHAnsi"/>
          <w:sz w:val="20"/>
          <w:szCs w:val="20"/>
          <w:bdr w:val="none" w:sz="0" w:space="0" w:color="auto"/>
          <w:lang w:val="es-ES"/>
        </w:rPr>
        <w:t>ó</w:t>
      </w:r>
      <w:r w:rsidR="0013201A" w:rsidRPr="004D4B3F">
        <w:rPr>
          <w:rFonts w:asciiTheme="majorHAnsi" w:eastAsia="Times New Roman" w:hAnsiTheme="majorHAnsi"/>
          <w:sz w:val="20"/>
          <w:szCs w:val="20"/>
          <w:bdr w:val="none" w:sz="0" w:space="0" w:color="auto"/>
          <w:lang w:val="es-ES"/>
        </w:rPr>
        <w:t xml:space="preserve"> la prescripción de la acción penal y</w:t>
      </w:r>
      <w:r w:rsidR="00102B3D" w:rsidRPr="004D4B3F">
        <w:rPr>
          <w:rFonts w:asciiTheme="majorHAnsi" w:eastAsia="Times New Roman" w:hAnsiTheme="majorHAnsi"/>
          <w:sz w:val="20"/>
          <w:szCs w:val="20"/>
          <w:bdr w:val="none" w:sz="0" w:space="0" w:color="auto"/>
          <w:lang w:val="es-ES"/>
        </w:rPr>
        <w:t>,</w:t>
      </w:r>
      <w:r w:rsidR="0013201A" w:rsidRPr="004D4B3F">
        <w:rPr>
          <w:rFonts w:asciiTheme="majorHAnsi" w:eastAsia="Times New Roman" w:hAnsiTheme="majorHAnsi"/>
          <w:sz w:val="20"/>
          <w:szCs w:val="20"/>
          <w:bdr w:val="none" w:sz="0" w:space="0" w:color="auto"/>
          <w:lang w:val="es-ES"/>
        </w:rPr>
        <w:t xml:space="preserve"> en el año 2004</w:t>
      </w:r>
      <w:r w:rsidR="00102B3D" w:rsidRPr="004D4B3F">
        <w:rPr>
          <w:rFonts w:asciiTheme="majorHAnsi" w:eastAsia="Times New Roman" w:hAnsiTheme="majorHAnsi"/>
          <w:sz w:val="20"/>
          <w:szCs w:val="20"/>
          <w:bdr w:val="none" w:sz="0" w:space="0" w:color="auto"/>
          <w:lang w:val="es-ES"/>
        </w:rPr>
        <w:t>,</w:t>
      </w:r>
      <w:r w:rsidR="0013201A" w:rsidRPr="004D4B3F">
        <w:rPr>
          <w:rFonts w:asciiTheme="majorHAnsi" w:eastAsia="Times New Roman" w:hAnsiTheme="majorHAnsi"/>
          <w:sz w:val="20"/>
          <w:szCs w:val="20"/>
          <w:bdr w:val="none" w:sz="0" w:space="0" w:color="auto"/>
          <w:lang w:val="es-ES"/>
        </w:rPr>
        <w:t xml:space="preserve"> fueron archivados</w:t>
      </w:r>
      <w:r w:rsidR="00533150" w:rsidRPr="004D4B3F">
        <w:rPr>
          <w:rStyle w:val="FootnoteReference"/>
          <w:rFonts w:asciiTheme="majorHAnsi" w:eastAsia="Times New Roman" w:hAnsiTheme="majorHAnsi"/>
          <w:sz w:val="20"/>
          <w:szCs w:val="20"/>
          <w:bdr w:val="none" w:sz="0" w:space="0" w:color="auto"/>
          <w:lang w:val="es-ES"/>
        </w:rPr>
        <w:footnoteReference w:id="17"/>
      </w:r>
      <w:r w:rsidR="0013201A" w:rsidRPr="004D4B3F">
        <w:rPr>
          <w:rFonts w:asciiTheme="majorHAnsi" w:eastAsia="Times New Roman" w:hAnsiTheme="majorHAnsi"/>
          <w:sz w:val="20"/>
          <w:szCs w:val="20"/>
          <w:bdr w:val="none" w:sz="0" w:space="0" w:color="auto"/>
          <w:lang w:val="es-ES"/>
        </w:rPr>
        <w:t>.</w:t>
      </w:r>
      <w:r w:rsidR="003C6D97" w:rsidRPr="004D4B3F">
        <w:rPr>
          <w:rFonts w:asciiTheme="majorHAnsi" w:eastAsia="Times New Roman" w:hAnsiTheme="majorHAnsi"/>
          <w:sz w:val="20"/>
          <w:szCs w:val="20"/>
          <w:bdr w:val="none" w:sz="0" w:space="0" w:color="auto"/>
          <w:lang w:val="es-ES"/>
        </w:rPr>
        <w:t xml:space="preserve"> </w:t>
      </w:r>
    </w:p>
    <w:p w:rsidR="00480393" w:rsidRPr="004D4B3F" w:rsidRDefault="00480393" w:rsidP="003730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rsidR="00531384" w:rsidRPr="004D4B3F" w:rsidRDefault="0022062F" w:rsidP="0037309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eastAsia="Times New Roman" w:hAnsiTheme="majorHAnsi"/>
          <w:sz w:val="20"/>
          <w:szCs w:val="20"/>
          <w:bdr w:val="none" w:sz="0" w:space="0" w:color="auto"/>
          <w:lang w:val="es-ES"/>
        </w:rPr>
      </w:pPr>
      <w:r w:rsidRPr="004D4B3F">
        <w:rPr>
          <w:rFonts w:asciiTheme="majorHAnsi" w:eastAsia="Times New Roman" w:hAnsiTheme="majorHAnsi"/>
          <w:sz w:val="20"/>
          <w:szCs w:val="20"/>
          <w:bdr w:val="none" w:sz="0" w:space="0" w:color="auto"/>
          <w:lang w:val="es-ES"/>
        </w:rPr>
        <w:t xml:space="preserve">En relación con las condenas, consta en el expediente que dos fueron dictadas en ausencia de los imputados que estarían prófugos. Respecto al proceso que involucró 9 de las presuntas víctimas, se indica </w:t>
      </w:r>
      <w:r w:rsidR="006C67D5" w:rsidRPr="004D4B3F">
        <w:rPr>
          <w:rFonts w:asciiTheme="majorHAnsi" w:eastAsia="Times New Roman" w:hAnsiTheme="majorHAnsi"/>
          <w:sz w:val="20"/>
          <w:szCs w:val="20"/>
          <w:bdr w:val="none" w:sz="0" w:space="0" w:color="auto"/>
          <w:lang w:val="es-ES"/>
        </w:rPr>
        <w:t>que de 20 imputados iniciales,</w:t>
      </w:r>
      <w:r w:rsidRPr="004D4B3F">
        <w:rPr>
          <w:rFonts w:asciiTheme="majorHAnsi" w:eastAsia="Times New Roman" w:hAnsiTheme="majorHAnsi"/>
          <w:sz w:val="20"/>
          <w:szCs w:val="20"/>
          <w:bdr w:val="none" w:sz="0" w:space="0" w:color="auto"/>
          <w:lang w:val="es-ES"/>
        </w:rPr>
        <w:t xml:space="preserve"> fueron condenadas 4 personas, una de las cuales se encontraría prófuga de la justicia.</w:t>
      </w:r>
    </w:p>
    <w:p w:rsidR="00CD148F" w:rsidRPr="004D4B3F" w:rsidRDefault="00CD148F" w:rsidP="003730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rsidR="00167F4A" w:rsidRPr="004D4B3F" w:rsidRDefault="0013201A" w:rsidP="0037309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eastAsia="Times New Roman" w:hAnsiTheme="majorHAnsi"/>
          <w:color w:val="auto"/>
          <w:sz w:val="20"/>
          <w:szCs w:val="20"/>
          <w:bdr w:val="none" w:sz="0" w:space="0" w:color="auto"/>
          <w:lang w:val="es-ES"/>
        </w:rPr>
      </w:pPr>
      <w:r w:rsidRPr="004D4B3F">
        <w:rPr>
          <w:rFonts w:asciiTheme="majorHAnsi" w:eastAsia="Times New Roman" w:hAnsiTheme="majorHAnsi"/>
          <w:sz w:val="20"/>
          <w:szCs w:val="20"/>
          <w:bdr w:val="none" w:sz="0" w:space="0" w:color="auto"/>
          <w:lang w:val="es-ES"/>
        </w:rPr>
        <w:t xml:space="preserve">Observa la CIDH que </w:t>
      </w:r>
      <w:r w:rsidR="00FC7FB5" w:rsidRPr="004D4B3F">
        <w:rPr>
          <w:rFonts w:asciiTheme="majorHAnsi" w:eastAsia="Times New Roman" w:hAnsiTheme="majorHAnsi"/>
          <w:sz w:val="20"/>
          <w:szCs w:val="20"/>
          <w:bdr w:val="none" w:sz="0" w:space="0" w:color="auto"/>
          <w:lang w:val="es-ES"/>
        </w:rPr>
        <w:t xml:space="preserve">la Comisión de la Verdad documentó </w:t>
      </w:r>
      <w:r w:rsidR="00102B3D" w:rsidRPr="004D4B3F">
        <w:rPr>
          <w:rFonts w:asciiTheme="majorHAnsi" w:eastAsia="Times New Roman" w:hAnsiTheme="majorHAnsi"/>
          <w:sz w:val="20"/>
          <w:szCs w:val="20"/>
          <w:bdr w:val="none" w:sz="0" w:space="0" w:color="auto"/>
          <w:lang w:val="es-ES"/>
        </w:rPr>
        <w:t xml:space="preserve">todos </w:t>
      </w:r>
      <w:r w:rsidR="00FC7FB5" w:rsidRPr="004D4B3F">
        <w:rPr>
          <w:rFonts w:asciiTheme="majorHAnsi" w:eastAsia="Times New Roman" w:hAnsiTheme="majorHAnsi"/>
          <w:sz w:val="20"/>
          <w:szCs w:val="20"/>
          <w:bdr w:val="none" w:sz="0" w:space="0" w:color="auto"/>
          <w:lang w:val="es-ES"/>
        </w:rPr>
        <w:t xml:space="preserve">los casos descritos en la presente petición </w:t>
      </w:r>
      <w:r w:rsidR="00E836E2" w:rsidRPr="004D4B3F">
        <w:rPr>
          <w:rFonts w:asciiTheme="majorHAnsi" w:eastAsia="Times New Roman" w:hAnsiTheme="majorHAnsi"/>
          <w:sz w:val="20"/>
          <w:szCs w:val="20"/>
          <w:bdr w:val="none" w:sz="0" w:space="0" w:color="auto"/>
          <w:lang w:val="es-ES"/>
        </w:rPr>
        <w:t>en su Informe F</w:t>
      </w:r>
      <w:r w:rsidR="00FC7FB5" w:rsidRPr="004D4B3F">
        <w:rPr>
          <w:rFonts w:asciiTheme="majorHAnsi" w:eastAsia="Times New Roman" w:hAnsiTheme="majorHAnsi"/>
          <w:sz w:val="20"/>
          <w:szCs w:val="20"/>
          <w:bdr w:val="none" w:sz="0" w:space="0" w:color="auto"/>
          <w:lang w:val="es-ES"/>
        </w:rPr>
        <w:t>inal publicado en 2002</w:t>
      </w:r>
      <w:r w:rsidR="00FC7FB5" w:rsidRPr="004D4B3F">
        <w:rPr>
          <w:rStyle w:val="FootnoteReference"/>
          <w:rFonts w:asciiTheme="majorHAnsi" w:hAnsiTheme="majorHAnsi"/>
          <w:sz w:val="20"/>
          <w:szCs w:val="20"/>
          <w:lang w:val="es-ES"/>
        </w:rPr>
        <w:footnoteReference w:id="18"/>
      </w:r>
      <w:r w:rsidR="00FC7FB5" w:rsidRPr="004D4B3F">
        <w:rPr>
          <w:rFonts w:asciiTheme="majorHAnsi" w:eastAsia="Times New Roman" w:hAnsiTheme="majorHAnsi"/>
          <w:sz w:val="20"/>
          <w:szCs w:val="20"/>
          <w:bdr w:val="none" w:sz="0" w:space="0" w:color="auto"/>
          <w:lang w:val="es-ES"/>
        </w:rPr>
        <w:t xml:space="preserve">. </w:t>
      </w:r>
      <w:r w:rsidR="00377FD6" w:rsidRPr="004D4B3F">
        <w:rPr>
          <w:rFonts w:asciiTheme="majorHAnsi" w:eastAsia="Times New Roman" w:hAnsiTheme="majorHAnsi"/>
          <w:sz w:val="20"/>
          <w:szCs w:val="20"/>
          <w:bdr w:val="none" w:sz="0" w:space="0" w:color="auto"/>
          <w:lang w:val="es-ES"/>
        </w:rPr>
        <w:t>S</w:t>
      </w:r>
      <w:r w:rsidR="005E42C6" w:rsidRPr="004D4B3F">
        <w:rPr>
          <w:rFonts w:asciiTheme="majorHAnsi" w:eastAsia="Times New Roman" w:hAnsiTheme="majorHAnsi"/>
          <w:sz w:val="20"/>
          <w:szCs w:val="20"/>
          <w:bdr w:val="none" w:sz="0" w:space="0" w:color="auto"/>
          <w:lang w:val="es-ES"/>
        </w:rPr>
        <w:t>e observa que</w:t>
      </w:r>
      <w:r w:rsidR="00377FD6" w:rsidRPr="004D4B3F">
        <w:rPr>
          <w:rFonts w:asciiTheme="majorHAnsi" w:eastAsia="Times New Roman" w:hAnsiTheme="majorHAnsi"/>
          <w:sz w:val="20"/>
          <w:szCs w:val="20"/>
          <w:bdr w:val="none" w:sz="0" w:space="0" w:color="auto"/>
          <w:lang w:val="es-ES"/>
        </w:rPr>
        <w:t>,</w:t>
      </w:r>
      <w:r w:rsidR="005E42C6" w:rsidRPr="004D4B3F">
        <w:rPr>
          <w:rFonts w:asciiTheme="majorHAnsi" w:eastAsia="Times New Roman" w:hAnsiTheme="majorHAnsi"/>
          <w:sz w:val="20"/>
          <w:szCs w:val="20"/>
          <w:bdr w:val="none" w:sz="0" w:space="0" w:color="auto"/>
          <w:lang w:val="es-ES"/>
        </w:rPr>
        <w:t xml:space="preserve"> a pesar de los múltiples recursos interpuestos por </w:t>
      </w:r>
      <w:r w:rsidR="00C36B2B" w:rsidRPr="004D4B3F">
        <w:rPr>
          <w:rFonts w:asciiTheme="majorHAnsi" w:eastAsia="Times New Roman" w:hAnsiTheme="majorHAnsi"/>
          <w:sz w:val="20"/>
          <w:szCs w:val="20"/>
          <w:bdr w:val="none" w:sz="0" w:space="0" w:color="auto"/>
          <w:lang w:val="es-ES"/>
        </w:rPr>
        <w:t xml:space="preserve">los </w:t>
      </w:r>
      <w:r w:rsidR="005E42C6" w:rsidRPr="004D4B3F">
        <w:rPr>
          <w:rFonts w:asciiTheme="majorHAnsi" w:eastAsia="Times New Roman" w:hAnsiTheme="majorHAnsi"/>
          <w:sz w:val="20"/>
          <w:szCs w:val="20"/>
          <w:bdr w:val="none" w:sz="0" w:space="0" w:color="auto"/>
          <w:lang w:val="es-ES"/>
        </w:rPr>
        <w:t>familiares</w:t>
      </w:r>
      <w:r w:rsidR="00C36B2B" w:rsidRPr="004D4B3F">
        <w:rPr>
          <w:rFonts w:asciiTheme="majorHAnsi" w:eastAsia="Times New Roman" w:hAnsiTheme="majorHAnsi"/>
          <w:sz w:val="20"/>
          <w:szCs w:val="20"/>
          <w:bdr w:val="none" w:sz="0" w:space="0" w:color="auto"/>
          <w:lang w:val="es-ES"/>
        </w:rPr>
        <w:t xml:space="preserve"> de las víctimas</w:t>
      </w:r>
      <w:r w:rsidR="00373098" w:rsidRPr="004D4B3F">
        <w:rPr>
          <w:rFonts w:asciiTheme="majorHAnsi" w:eastAsia="Times New Roman" w:hAnsiTheme="majorHAnsi"/>
          <w:sz w:val="20"/>
          <w:szCs w:val="20"/>
          <w:bdr w:val="none" w:sz="0" w:space="0" w:color="auto"/>
          <w:lang w:val="es-ES"/>
        </w:rPr>
        <w:t xml:space="preserve"> y las conclusiones y recomendaciones de la Comisión de la Verdad</w:t>
      </w:r>
      <w:r w:rsidR="005E42C6" w:rsidRPr="004D4B3F">
        <w:rPr>
          <w:rFonts w:asciiTheme="majorHAnsi" w:eastAsia="Times New Roman" w:hAnsiTheme="majorHAnsi"/>
          <w:sz w:val="20"/>
          <w:szCs w:val="20"/>
          <w:bdr w:val="none" w:sz="0" w:space="0" w:color="auto"/>
          <w:lang w:val="es-ES"/>
        </w:rPr>
        <w:t xml:space="preserve">, </w:t>
      </w:r>
      <w:r w:rsidR="003D7C1B" w:rsidRPr="004D4B3F">
        <w:rPr>
          <w:rFonts w:asciiTheme="majorHAnsi" w:eastAsia="Times New Roman" w:hAnsiTheme="majorHAnsi"/>
          <w:sz w:val="20"/>
          <w:szCs w:val="20"/>
          <w:bdr w:val="none" w:sz="0" w:space="0" w:color="auto"/>
          <w:lang w:val="es-ES"/>
        </w:rPr>
        <w:t xml:space="preserve">bajo el estándar </w:t>
      </w:r>
      <w:r w:rsidR="003D7C1B" w:rsidRPr="004D4B3F">
        <w:rPr>
          <w:rFonts w:asciiTheme="majorHAnsi" w:eastAsia="Times New Roman" w:hAnsiTheme="majorHAnsi"/>
          <w:i/>
          <w:sz w:val="20"/>
          <w:szCs w:val="20"/>
          <w:bdr w:val="none" w:sz="0" w:space="0" w:color="auto"/>
          <w:lang w:val="es-ES"/>
        </w:rPr>
        <w:t>prima facie</w:t>
      </w:r>
      <w:r w:rsidR="003D7C1B" w:rsidRPr="004D4B3F">
        <w:rPr>
          <w:rFonts w:asciiTheme="majorHAnsi" w:eastAsia="Times New Roman" w:hAnsiTheme="majorHAnsi"/>
          <w:sz w:val="20"/>
          <w:szCs w:val="20"/>
          <w:bdr w:val="none" w:sz="0" w:space="0" w:color="auto"/>
          <w:lang w:val="es-ES"/>
        </w:rPr>
        <w:t xml:space="preserve"> del análisis de admisibilidad, </w:t>
      </w:r>
      <w:r w:rsidR="005E42C6" w:rsidRPr="004D4B3F">
        <w:rPr>
          <w:rFonts w:asciiTheme="majorHAnsi" w:eastAsia="Times New Roman" w:hAnsiTheme="majorHAnsi"/>
          <w:sz w:val="20"/>
          <w:szCs w:val="20"/>
          <w:bdr w:val="none" w:sz="0" w:space="0" w:color="auto"/>
          <w:lang w:val="es-ES"/>
        </w:rPr>
        <w:t>el sistema judicial panameño no ha adoptado las medidas necesarias para e</w:t>
      </w:r>
      <w:r w:rsidR="00821A99" w:rsidRPr="004D4B3F">
        <w:rPr>
          <w:rFonts w:asciiTheme="majorHAnsi" w:eastAsia="Times New Roman" w:hAnsiTheme="majorHAnsi"/>
          <w:sz w:val="20"/>
          <w:szCs w:val="20"/>
          <w:bdr w:val="none" w:sz="0" w:space="0" w:color="auto"/>
          <w:lang w:val="es-ES"/>
        </w:rPr>
        <w:t>l esclarecimiento de los hechos</w:t>
      </w:r>
      <w:r w:rsidR="005E42C6" w:rsidRPr="004D4B3F">
        <w:rPr>
          <w:rFonts w:asciiTheme="majorHAnsi" w:eastAsia="Times New Roman" w:hAnsiTheme="majorHAnsi"/>
          <w:sz w:val="20"/>
          <w:szCs w:val="20"/>
          <w:bdr w:val="none" w:sz="0" w:space="0" w:color="auto"/>
          <w:lang w:val="es-ES"/>
        </w:rPr>
        <w:t xml:space="preserve"> ni la identificació</w:t>
      </w:r>
      <w:r w:rsidR="00821A99" w:rsidRPr="004D4B3F">
        <w:rPr>
          <w:rFonts w:asciiTheme="majorHAnsi" w:eastAsia="Times New Roman" w:hAnsiTheme="majorHAnsi"/>
          <w:sz w:val="20"/>
          <w:szCs w:val="20"/>
          <w:bdr w:val="none" w:sz="0" w:space="0" w:color="auto"/>
          <w:lang w:val="es-ES"/>
        </w:rPr>
        <w:t xml:space="preserve">n y sanción de los </w:t>
      </w:r>
      <w:r w:rsidR="00821A99" w:rsidRPr="004D4B3F">
        <w:rPr>
          <w:rFonts w:asciiTheme="majorHAnsi" w:eastAsia="Times New Roman" w:hAnsiTheme="majorHAnsi"/>
          <w:sz w:val="20"/>
          <w:szCs w:val="20"/>
          <w:bdr w:val="none" w:sz="0" w:space="0" w:color="auto"/>
          <w:lang w:val="es-ES"/>
        </w:rPr>
        <w:lastRenderedPageBreak/>
        <w:t>responsables</w:t>
      </w:r>
      <w:r w:rsidR="002A72AE" w:rsidRPr="004D4B3F">
        <w:rPr>
          <w:rFonts w:asciiTheme="majorHAnsi" w:eastAsia="Times New Roman" w:hAnsiTheme="majorHAnsi"/>
          <w:sz w:val="20"/>
          <w:szCs w:val="20"/>
          <w:bdr w:val="none" w:sz="0" w:space="0" w:color="auto"/>
          <w:lang w:val="es-ES"/>
        </w:rPr>
        <w:t>.</w:t>
      </w:r>
      <w:r w:rsidR="005E42C6" w:rsidRPr="004D4B3F">
        <w:rPr>
          <w:rFonts w:asciiTheme="majorHAnsi" w:eastAsia="Times New Roman" w:hAnsiTheme="majorHAnsi"/>
          <w:sz w:val="20"/>
          <w:szCs w:val="20"/>
          <w:bdr w:val="none" w:sz="0" w:space="0" w:color="auto"/>
          <w:lang w:val="es-ES"/>
        </w:rPr>
        <w:t xml:space="preserve"> Por lo anterior, considera la CIDH procedente la aplicación de la excepció</w:t>
      </w:r>
      <w:r w:rsidR="003E2325" w:rsidRPr="004D4B3F">
        <w:rPr>
          <w:rFonts w:asciiTheme="majorHAnsi" w:eastAsia="Times New Roman" w:hAnsiTheme="majorHAnsi"/>
          <w:sz w:val="20"/>
          <w:szCs w:val="20"/>
          <w:bdr w:val="none" w:sz="0" w:space="0" w:color="auto"/>
          <w:lang w:val="es-ES"/>
        </w:rPr>
        <w:t>n contemplada en el artículo 46(</w:t>
      </w:r>
      <w:r w:rsidR="005E42C6" w:rsidRPr="004D4B3F">
        <w:rPr>
          <w:rFonts w:asciiTheme="majorHAnsi" w:eastAsia="Times New Roman" w:hAnsiTheme="majorHAnsi"/>
          <w:sz w:val="20"/>
          <w:szCs w:val="20"/>
          <w:bdr w:val="none" w:sz="0" w:space="0" w:color="auto"/>
          <w:lang w:val="es-ES"/>
        </w:rPr>
        <w:t>2</w:t>
      </w:r>
      <w:r w:rsidR="003E2325" w:rsidRPr="004D4B3F">
        <w:rPr>
          <w:rFonts w:asciiTheme="majorHAnsi" w:eastAsia="Times New Roman" w:hAnsiTheme="majorHAnsi"/>
          <w:sz w:val="20"/>
          <w:szCs w:val="20"/>
          <w:bdr w:val="none" w:sz="0" w:space="0" w:color="auto"/>
          <w:lang w:val="es-ES"/>
        </w:rPr>
        <w:t>)(</w:t>
      </w:r>
      <w:r w:rsidR="005E42C6" w:rsidRPr="004D4B3F">
        <w:rPr>
          <w:rFonts w:asciiTheme="majorHAnsi" w:eastAsia="Times New Roman" w:hAnsiTheme="majorHAnsi"/>
          <w:sz w:val="20"/>
          <w:szCs w:val="20"/>
          <w:bdr w:val="none" w:sz="0" w:space="0" w:color="auto"/>
          <w:lang w:val="es-ES"/>
        </w:rPr>
        <w:t>c</w:t>
      </w:r>
      <w:r w:rsidR="003E2325" w:rsidRPr="004D4B3F">
        <w:rPr>
          <w:rFonts w:asciiTheme="majorHAnsi" w:eastAsia="Times New Roman" w:hAnsiTheme="majorHAnsi"/>
          <w:sz w:val="20"/>
          <w:szCs w:val="20"/>
          <w:bdr w:val="none" w:sz="0" w:space="0" w:color="auto"/>
          <w:lang w:val="es-ES"/>
        </w:rPr>
        <w:t>)</w:t>
      </w:r>
      <w:r w:rsidR="005E42C6" w:rsidRPr="004D4B3F">
        <w:rPr>
          <w:rFonts w:asciiTheme="majorHAnsi" w:eastAsia="Times New Roman" w:hAnsiTheme="majorHAnsi"/>
          <w:sz w:val="20"/>
          <w:szCs w:val="20"/>
          <w:bdr w:val="none" w:sz="0" w:space="0" w:color="auto"/>
          <w:lang w:val="es-ES"/>
        </w:rPr>
        <w:t xml:space="preserve"> de la Convención.</w:t>
      </w:r>
    </w:p>
    <w:p w:rsidR="00373098" w:rsidRPr="004D4B3F" w:rsidRDefault="00373098" w:rsidP="0037309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rsidR="00DE7104" w:rsidRPr="00DE7104" w:rsidRDefault="007F3107"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eastAsia="Times New Roman" w:hAnsiTheme="majorHAnsi"/>
          <w:color w:val="auto"/>
          <w:sz w:val="20"/>
          <w:szCs w:val="20"/>
          <w:bdr w:val="none" w:sz="0" w:space="0" w:color="auto"/>
          <w:lang w:val="es-ES"/>
        </w:rPr>
      </w:pPr>
      <w:r w:rsidRPr="003D7C1B">
        <w:rPr>
          <w:rFonts w:asciiTheme="majorHAnsi" w:hAnsiTheme="majorHAnsi"/>
          <w:sz w:val="20"/>
          <w:szCs w:val="20"/>
          <w:lang w:val="es-ES"/>
        </w:rPr>
        <w:t>L</w:t>
      </w:r>
      <w:r w:rsidRPr="003D7C1B">
        <w:rPr>
          <w:rFonts w:asciiTheme="majorHAnsi" w:eastAsia="Times New Roman" w:hAnsiTheme="majorHAnsi"/>
          <w:sz w:val="20"/>
          <w:szCs w:val="20"/>
          <w:bdr w:val="none" w:sz="0" w:space="0" w:color="auto"/>
          <w:lang w:val="es-ES"/>
        </w:rPr>
        <w:t xml:space="preserve">a misma excepción se aplicaría en relación con las 6 presuntas víctimas de esta petición respecto a las cuales los peticionarios </w:t>
      </w:r>
      <w:r w:rsidR="008C3197" w:rsidRPr="003D7C1B">
        <w:rPr>
          <w:rFonts w:asciiTheme="majorHAnsi" w:eastAsia="Times New Roman" w:hAnsiTheme="majorHAnsi"/>
          <w:sz w:val="20"/>
          <w:szCs w:val="20"/>
          <w:bdr w:val="none" w:sz="0" w:space="0" w:color="auto"/>
          <w:lang w:val="es-ES"/>
        </w:rPr>
        <w:t>no indican ningún tipo de actividad</w:t>
      </w:r>
      <w:r w:rsidRPr="003D7C1B">
        <w:rPr>
          <w:rFonts w:asciiTheme="majorHAnsi" w:eastAsia="Times New Roman" w:hAnsiTheme="majorHAnsi"/>
          <w:sz w:val="20"/>
          <w:szCs w:val="20"/>
          <w:bdr w:val="none" w:sz="0" w:space="0" w:color="auto"/>
          <w:lang w:val="es-ES"/>
        </w:rPr>
        <w:t xml:space="preserve"> </w:t>
      </w:r>
      <w:r w:rsidR="00DC7B01" w:rsidRPr="003D7C1B">
        <w:rPr>
          <w:rFonts w:asciiTheme="majorHAnsi" w:eastAsia="Times New Roman" w:hAnsiTheme="majorHAnsi"/>
          <w:sz w:val="20"/>
          <w:szCs w:val="20"/>
          <w:bdr w:val="none" w:sz="0" w:space="0" w:color="auto"/>
          <w:lang w:val="es-ES"/>
        </w:rPr>
        <w:t>judicia</w:t>
      </w:r>
      <w:r w:rsidRPr="003D7C1B">
        <w:rPr>
          <w:rFonts w:asciiTheme="majorHAnsi" w:eastAsia="Times New Roman" w:hAnsiTheme="majorHAnsi"/>
          <w:sz w:val="20"/>
          <w:szCs w:val="20"/>
          <w:bdr w:val="none" w:sz="0" w:space="0" w:color="auto"/>
          <w:lang w:val="es-ES"/>
        </w:rPr>
        <w:t>l</w:t>
      </w:r>
      <w:r w:rsidR="008C3197" w:rsidRPr="003D7C1B">
        <w:rPr>
          <w:rFonts w:asciiTheme="majorHAnsi" w:eastAsia="Times New Roman" w:hAnsiTheme="majorHAnsi"/>
          <w:sz w:val="20"/>
          <w:szCs w:val="20"/>
          <w:bdr w:val="none" w:sz="0" w:space="0" w:color="auto"/>
          <w:lang w:val="es-ES"/>
        </w:rPr>
        <w:t xml:space="preserve">: </w:t>
      </w:r>
      <w:r w:rsidRPr="003D7C1B">
        <w:rPr>
          <w:rFonts w:asciiTheme="majorHAnsi" w:eastAsia="Times New Roman" w:hAnsiTheme="majorHAnsi"/>
          <w:sz w:val="20"/>
          <w:szCs w:val="20"/>
          <w:bdr w:val="none" w:sz="0" w:space="0" w:color="auto"/>
          <w:lang w:val="es-ES"/>
        </w:rPr>
        <w:t>Javier Sánchez, Carlos Milar González</w:t>
      </w:r>
      <w:r w:rsidR="008C3197" w:rsidRPr="003D7C1B">
        <w:rPr>
          <w:rFonts w:asciiTheme="majorHAnsi" w:eastAsia="Times New Roman" w:hAnsiTheme="majorHAnsi"/>
          <w:sz w:val="20"/>
          <w:szCs w:val="20"/>
          <w:bdr w:val="none" w:sz="0" w:space="0" w:color="auto"/>
          <w:lang w:val="es-ES"/>
        </w:rPr>
        <w:t xml:space="preserve"> Caballero, Marta Morán Jiménez (presuntas víctimas desaparecidas); y</w:t>
      </w:r>
      <w:r w:rsidRPr="003D7C1B">
        <w:rPr>
          <w:rFonts w:asciiTheme="majorHAnsi" w:eastAsia="Times New Roman" w:hAnsiTheme="majorHAnsi"/>
          <w:sz w:val="20"/>
          <w:szCs w:val="20"/>
          <w:bdr w:val="none" w:sz="0" w:space="0" w:color="auto"/>
          <w:lang w:val="es-ES"/>
        </w:rPr>
        <w:t xml:space="preserve"> Leopoldo Rafael Allen Serracín, Walter Sandiñas Iguini y Tomás Rojas Hinestroza</w:t>
      </w:r>
      <w:r w:rsidR="008C3197" w:rsidRPr="003D7C1B">
        <w:rPr>
          <w:rFonts w:asciiTheme="majorHAnsi" w:eastAsia="Times New Roman" w:hAnsiTheme="majorHAnsi"/>
          <w:sz w:val="20"/>
          <w:szCs w:val="20"/>
          <w:bdr w:val="none" w:sz="0" w:space="0" w:color="auto"/>
          <w:lang w:val="es-ES"/>
        </w:rPr>
        <w:t xml:space="preserve"> (presuntas víctimas ejecutadas</w:t>
      </w:r>
      <w:r w:rsidRPr="003D7C1B">
        <w:rPr>
          <w:rFonts w:asciiTheme="majorHAnsi" w:eastAsia="Times New Roman" w:hAnsiTheme="majorHAnsi"/>
          <w:sz w:val="20"/>
          <w:szCs w:val="20"/>
          <w:bdr w:val="none" w:sz="0" w:space="0" w:color="auto"/>
          <w:lang w:val="es-ES"/>
        </w:rPr>
        <w:t>)</w:t>
      </w:r>
      <w:r w:rsidR="001A4A4E" w:rsidRPr="003D7C1B">
        <w:rPr>
          <w:rStyle w:val="FootnoteReference"/>
          <w:rFonts w:asciiTheme="majorHAnsi" w:eastAsia="Times New Roman" w:hAnsiTheme="majorHAnsi"/>
          <w:sz w:val="20"/>
          <w:szCs w:val="20"/>
          <w:bdr w:val="none" w:sz="0" w:space="0" w:color="auto"/>
          <w:lang w:val="es-ES"/>
        </w:rPr>
        <w:footnoteReference w:id="19"/>
      </w:r>
      <w:r w:rsidR="008C3197" w:rsidRPr="003D7C1B">
        <w:rPr>
          <w:rFonts w:asciiTheme="majorHAnsi" w:eastAsia="Times New Roman" w:hAnsiTheme="majorHAnsi"/>
          <w:sz w:val="20"/>
          <w:szCs w:val="20"/>
          <w:bdr w:val="none" w:sz="0" w:space="0" w:color="auto"/>
          <w:lang w:val="es-ES"/>
        </w:rPr>
        <w:t>.</w:t>
      </w:r>
      <w:r w:rsidR="00377FD6" w:rsidRPr="00167F4A">
        <w:rPr>
          <w:rFonts w:asciiTheme="majorHAnsi" w:eastAsia="Times New Roman" w:hAnsiTheme="majorHAnsi"/>
          <w:sz w:val="20"/>
          <w:szCs w:val="20"/>
          <w:bdr w:val="none" w:sz="0" w:space="0" w:color="auto"/>
          <w:lang w:val="es-ES"/>
        </w:rPr>
        <w:t xml:space="preserve"> </w:t>
      </w:r>
      <w:r w:rsidR="008C3197">
        <w:rPr>
          <w:rFonts w:asciiTheme="majorHAnsi" w:eastAsia="Times New Roman" w:hAnsiTheme="majorHAnsi"/>
          <w:sz w:val="20"/>
          <w:szCs w:val="20"/>
          <w:bdr w:val="none" w:sz="0" w:space="0" w:color="auto"/>
          <w:lang w:val="es-ES"/>
        </w:rPr>
        <w:t xml:space="preserve">Lo anterior, </w:t>
      </w:r>
      <w:r w:rsidR="009C3A96" w:rsidRPr="00167F4A">
        <w:rPr>
          <w:rFonts w:asciiTheme="majorHAnsi" w:eastAsia="Times New Roman" w:hAnsiTheme="majorHAnsi"/>
          <w:sz w:val="20"/>
          <w:szCs w:val="20"/>
          <w:bdr w:val="none" w:sz="0" w:space="0" w:color="auto"/>
          <w:lang w:val="es-ES"/>
        </w:rPr>
        <w:t xml:space="preserve">considerando que dichas presuntas víctimas fueron individualizadas en el Informe de la Comisión de la Verdad y </w:t>
      </w:r>
      <w:r w:rsidR="005A1127" w:rsidRPr="00167F4A">
        <w:rPr>
          <w:rFonts w:asciiTheme="majorHAnsi" w:eastAsia="Times New Roman" w:hAnsiTheme="majorHAnsi"/>
          <w:sz w:val="20"/>
          <w:szCs w:val="20"/>
          <w:bdr w:val="none" w:sz="0" w:space="0" w:color="auto"/>
          <w:lang w:val="es-ES"/>
        </w:rPr>
        <w:t xml:space="preserve">teniendo presente </w:t>
      </w:r>
      <w:r w:rsidR="005A1127" w:rsidRPr="00167F4A">
        <w:rPr>
          <w:rFonts w:asciiTheme="majorHAnsi" w:hAnsiTheme="majorHAnsi"/>
          <w:sz w:val="20"/>
          <w:szCs w:val="20"/>
          <w:lang w:val="es-ES_tradnl"/>
        </w:rPr>
        <w:t>que los presuntos hechos del presente caso se traducen en presuntos delitos perseguibles de oficio y por lo tanto, es el proceso penal, impulsado por el Estado mismo, el que debe ser considerado a los efectos de determin</w:t>
      </w:r>
      <w:r w:rsidR="009C3A96" w:rsidRPr="00167F4A">
        <w:rPr>
          <w:rFonts w:asciiTheme="majorHAnsi" w:hAnsiTheme="majorHAnsi"/>
          <w:sz w:val="20"/>
          <w:szCs w:val="20"/>
          <w:lang w:val="es-ES_tradnl"/>
        </w:rPr>
        <w:t>ar la admisibilidad del reclamo</w:t>
      </w:r>
      <w:r w:rsidR="009C3A96" w:rsidRPr="00167F4A">
        <w:rPr>
          <w:rFonts w:asciiTheme="majorHAnsi" w:eastAsia="Times New Roman" w:hAnsiTheme="majorHAnsi"/>
          <w:sz w:val="20"/>
          <w:szCs w:val="20"/>
          <w:bdr w:val="none" w:sz="0" w:space="0" w:color="auto"/>
          <w:lang w:val="es-ES"/>
        </w:rPr>
        <w:t>.</w:t>
      </w:r>
      <w:r w:rsidR="00B23044" w:rsidRPr="00167F4A">
        <w:rPr>
          <w:rFonts w:asciiTheme="majorHAnsi" w:eastAsia="Times New Roman" w:hAnsiTheme="majorHAnsi"/>
          <w:sz w:val="20"/>
          <w:szCs w:val="20"/>
          <w:bdr w:val="none" w:sz="0" w:space="0" w:color="auto"/>
          <w:lang w:val="es-ES"/>
        </w:rPr>
        <w:t xml:space="preserve"> Asimismo, tomando en cuenta el contexto de impunidad en el que habrían ocurrido las presuntas violaciones.</w:t>
      </w:r>
    </w:p>
    <w:p w:rsidR="00DE7104" w:rsidRPr="00DE7104" w:rsidRDefault="00DE7104" w:rsidP="00DE7104">
      <w:pPr>
        <w:pStyle w:val="ListParagraph"/>
        <w:rPr>
          <w:rFonts w:asciiTheme="majorHAnsi" w:hAnsiTheme="majorHAnsi"/>
          <w:sz w:val="20"/>
          <w:szCs w:val="20"/>
          <w:lang w:val="es-ES"/>
        </w:rPr>
      </w:pPr>
    </w:p>
    <w:p w:rsidR="00DE7104" w:rsidRPr="00DE7104" w:rsidRDefault="00563795"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eastAsia="Times New Roman" w:hAnsiTheme="majorHAnsi"/>
          <w:color w:val="auto"/>
          <w:sz w:val="20"/>
          <w:szCs w:val="20"/>
          <w:bdr w:val="none" w:sz="0" w:space="0" w:color="auto"/>
          <w:lang w:val="es-ES"/>
        </w:rPr>
      </w:pPr>
      <w:r w:rsidRPr="00DE7104">
        <w:rPr>
          <w:rFonts w:asciiTheme="majorHAnsi" w:hAnsiTheme="majorHAnsi"/>
          <w:sz w:val="20"/>
          <w:szCs w:val="20"/>
          <w:lang w:val="es-ES"/>
        </w:rPr>
        <w:t>Con fundamento en las anteriores consideraciones y teniendo presente las características de la multiplicidad de hechos denunciados, la Comisión concluye que se aplican al presente caso las excepciones previstas en los incisos b y c del artículo 46.2 de la Convención.</w:t>
      </w:r>
    </w:p>
    <w:p w:rsidR="00DE7104" w:rsidRPr="00DE7104" w:rsidRDefault="00DE7104" w:rsidP="00DE7104">
      <w:pPr>
        <w:pStyle w:val="ListParagraph"/>
        <w:rPr>
          <w:rFonts w:asciiTheme="majorHAnsi" w:hAnsiTheme="majorHAnsi"/>
          <w:sz w:val="20"/>
          <w:szCs w:val="20"/>
          <w:lang w:val="es-ES"/>
        </w:rPr>
      </w:pPr>
    </w:p>
    <w:p w:rsidR="00563795" w:rsidRPr="00DE7104" w:rsidRDefault="00B618A9"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 w:val="left" w:pos="1440"/>
        </w:tabs>
        <w:ind w:left="0" w:firstLine="720"/>
        <w:jc w:val="both"/>
        <w:rPr>
          <w:rFonts w:asciiTheme="majorHAnsi" w:eastAsia="Times New Roman" w:hAnsiTheme="majorHAnsi"/>
          <w:color w:val="auto"/>
          <w:sz w:val="20"/>
          <w:szCs w:val="20"/>
          <w:bdr w:val="none" w:sz="0" w:space="0" w:color="auto"/>
          <w:lang w:val="es-ES"/>
        </w:rPr>
      </w:pPr>
      <w:r>
        <w:rPr>
          <w:rFonts w:asciiTheme="majorHAnsi" w:hAnsiTheme="majorHAnsi"/>
          <w:sz w:val="20"/>
          <w:szCs w:val="20"/>
          <w:lang w:val="es-ES"/>
        </w:rPr>
        <w:t>L</w:t>
      </w:r>
      <w:r w:rsidR="00563795" w:rsidRPr="00DE7104">
        <w:rPr>
          <w:rFonts w:asciiTheme="majorHAnsi" w:hAnsiTheme="majorHAnsi"/>
          <w:sz w:val="20"/>
          <w:szCs w:val="20"/>
          <w:lang w:val="es-ES"/>
        </w:rPr>
        <w:t xml:space="preserve">a invocación de las excepciones a la regla del agotamiento de los recursos internos previstas en el artículo 46.2 de la Convención se encuentra estrechamente ligada a la determinación de posibles violaciones a ciertos derechos allí consagrados, tales como las garantías de acceso a la justicia.  Sin embargo, el artículo 46.2, por su naturaleza y objeto, es una norma con contenido autónomo, </w:t>
      </w:r>
      <w:r w:rsidR="00563795" w:rsidRPr="00DE7104">
        <w:rPr>
          <w:rFonts w:asciiTheme="majorHAnsi" w:hAnsiTheme="majorHAnsi"/>
          <w:i/>
          <w:iCs/>
          <w:sz w:val="20"/>
          <w:szCs w:val="20"/>
          <w:lang w:val="es-ES"/>
        </w:rPr>
        <w:t>vis á vis</w:t>
      </w:r>
      <w:r w:rsidR="00563795" w:rsidRPr="00DE7104">
        <w:rPr>
          <w:rFonts w:asciiTheme="majorHAnsi" w:hAnsiTheme="majorHAnsi"/>
          <w:sz w:val="20"/>
          <w:szCs w:val="20"/>
          <w:lang w:val="es-ES"/>
        </w:rPr>
        <w:t xml:space="preserve"> las normas sustantivas de la Convención. Por lo tanto, la determinación de que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olor w:val="FF0000"/>
          <w:sz w:val="20"/>
          <w:szCs w:val="20"/>
          <w:bdr w:val="none" w:sz="0" w:space="0" w:color="auto"/>
          <w:lang w:val="es-ES"/>
        </w:rPr>
      </w:pP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Theme="majorHAnsi" w:eastAsia="Times New Roman" w:hAnsiTheme="majorHAnsi"/>
          <w:sz w:val="20"/>
          <w:szCs w:val="20"/>
          <w:bdr w:val="none" w:sz="0" w:space="0" w:color="auto"/>
          <w:lang w:val="es-ES"/>
        </w:rPr>
      </w:pPr>
      <w:r w:rsidRPr="006D4BF1">
        <w:rPr>
          <w:rFonts w:asciiTheme="majorHAnsi" w:eastAsia="Times New Roman" w:hAnsiTheme="majorHAnsi"/>
          <w:b/>
          <w:bCs/>
          <w:sz w:val="20"/>
          <w:szCs w:val="20"/>
          <w:bdr w:val="none" w:sz="0" w:space="0" w:color="auto"/>
          <w:lang w:val="es-ES"/>
        </w:rPr>
        <w:t>2</w:t>
      </w:r>
      <w:r w:rsidR="00153CC4">
        <w:rPr>
          <w:rFonts w:asciiTheme="majorHAnsi" w:eastAsia="Times New Roman" w:hAnsiTheme="majorHAnsi"/>
          <w:b/>
          <w:bCs/>
          <w:sz w:val="20"/>
          <w:szCs w:val="20"/>
          <w:bdr w:val="none" w:sz="0" w:space="0" w:color="auto"/>
          <w:lang w:val="es-ES"/>
        </w:rPr>
        <w:t>.</w:t>
      </w:r>
      <w:r w:rsidR="00153CC4">
        <w:rPr>
          <w:rFonts w:asciiTheme="majorHAnsi" w:eastAsia="Times New Roman" w:hAnsiTheme="majorHAnsi"/>
          <w:b/>
          <w:bCs/>
          <w:sz w:val="20"/>
          <w:szCs w:val="20"/>
          <w:bdr w:val="none" w:sz="0" w:space="0" w:color="auto"/>
          <w:lang w:val="es-ES"/>
        </w:rPr>
        <w:tab/>
      </w:r>
      <w:r w:rsidRPr="006D4BF1">
        <w:rPr>
          <w:rFonts w:asciiTheme="majorHAnsi" w:eastAsia="Times New Roman" w:hAnsiTheme="majorHAnsi"/>
          <w:b/>
          <w:bCs/>
          <w:sz w:val="20"/>
          <w:szCs w:val="20"/>
          <w:bdr w:val="none" w:sz="0" w:space="0" w:color="auto"/>
          <w:lang w:val="es-ES"/>
        </w:rPr>
        <w:t xml:space="preserve">Plazo </w:t>
      </w:r>
      <w:r w:rsidR="00DB2478" w:rsidRPr="006D4BF1">
        <w:rPr>
          <w:rFonts w:asciiTheme="majorHAnsi" w:eastAsia="Times New Roman" w:hAnsiTheme="majorHAnsi"/>
          <w:b/>
          <w:bCs/>
          <w:sz w:val="20"/>
          <w:szCs w:val="20"/>
          <w:bdr w:val="none" w:sz="0" w:space="0" w:color="auto"/>
          <w:lang w:val="es-ES"/>
        </w:rPr>
        <w:t>de</w:t>
      </w:r>
      <w:r w:rsidRPr="006D4BF1">
        <w:rPr>
          <w:rFonts w:asciiTheme="majorHAnsi" w:eastAsia="Times New Roman" w:hAnsiTheme="majorHAnsi"/>
          <w:b/>
          <w:bCs/>
          <w:sz w:val="20"/>
          <w:szCs w:val="20"/>
          <w:bdr w:val="none" w:sz="0" w:space="0" w:color="auto"/>
          <w:lang w:val="es-ES"/>
        </w:rPr>
        <w:t xml:space="preserve"> presentación de la petición</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rsidR="002A6114" w:rsidRPr="00DE7104" w:rsidRDefault="00FA61E4"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0"/>
        </w:tabs>
        <w:ind w:left="0" w:firstLine="720"/>
        <w:jc w:val="both"/>
        <w:rPr>
          <w:rFonts w:asciiTheme="majorHAnsi" w:eastAsia="Times New Roman" w:hAnsiTheme="majorHAnsi"/>
          <w:sz w:val="20"/>
          <w:szCs w:val="20"/>
          <w:bdr w:val="none" w:sz="0" w:space="0" w:color="auto"/>
          <w:lang w:val="es-ES"/>
        </w:rPr>
      </w:pPr>
      <w:r w:rsidRPr="00DE7104">
        <w:rPr>
          <w:rFonts w:asciiTheme="majorHAnsi" w:hAnsiTheme="majorHAnsi" w:cs="Arial"/>
          <w:sz w:val="20"/>
          <w:szCs w:val="20"/>
          <w:lang w:val="es-PE"/>
        </w:rPr>
        <w:t>El artículo 46(1)(b) de l</w:t>
      </w:r>
      <w:r w:rsidRPr="00DE7104">
        <w:rPr>
          <w:rFonts w:asciiTheme="majorHAnsi" w:hAnsiTheme="majorHAnsi"/>
          <w:sz w:val="20"/>
          <w:szCs w:val="20"/>
          <w:lang w:val="es-ES_tradnl"/>
        </w:rPr>
        <w:t>a Convención Americana establece que para que una petición resulte admisible por la Comisión se requerirá que sea presentada dentro del plazo de seis meses a partir de la fecha en que el presunto lesionado haya sido notifi</w:t>
      </w:r>
      <w:r w:rsidR="005A5CD5" w:rsidRPr="00DE7104">
        <w:rPr>
          <w:rFonts w:asciiTheme="majorHAnsi" w:hAnsiTheme="majorHAnsi"/>
          <w:sz w:val="20"/>
          <w:szCs w:val="20"/>
          <w:lang w:val="es-ES_tradnl"/>
        </w:rPr>
        <w:t>cado de la decisión definitiva.</w:t>
      </w:r>
      <w:r w:rsidRPr="00DE7104">
        <w:rPr>
          <w:rFonts w:asciiTheme="majorHAnsi" w:hAnsiTheme="majorHAnsi"/>
          <w:sz w:val="20"/>
          <w:szCs w:val="20"/>
          <w:lang w:val="es-ES_tradnl"/>
        </w:rPr>
        <w:t xml:space="preserve"> En el reclamo bajo análisis, la CIDH ha establecido la aplicación de las excepción al agotamiento de los recursos internos conforme al artículo 46(2)</w:t>
      </w:r>
      <w:r w:rsidR="005A5CD5" w:rsidRPr="00DE7104">
        <w:rPr>
          <w:rFonts w:asciiTheme="majorHAnsi" w:hAnsiTheme="majorHAnsi"/>
          <w:sz w:val="20"/>
          <w:szCs w:val="20"/>
          <w:lang w:val="es-ES_tradnl"/>
        </w:rPr>
        <w:t xml:space="preserve">(b) y </w:t>
      </w:r>
      <w:r w:rsidR="005A5CD5" w:rsidRPr="00DE7104">
        <w:rPr>
          <w:rFonts w:asciiTheme="majorHAnsi" w:hAnsiTheme="majorHAnsi"/>
          <w:sz w:val="20"/>
          <w:szCs w:val="20"/>
          <w:lang w:val="es-UY"/>
        </w:rPr>
        <w:t>(</w:t>
      </w:r>
      <w:r w:rsidRPr="00DE7104">
        <w:rPr>
          <w:rFonts w:asciiTheme="majorHAnsi" w:hAnsiTheme="majorHAnsi"/>
          <w:sz w:val="20"/>
          <w:szCs w:val="20"/>
          <w:lang w:val="es-UY"/>
        </w:rPr>
        <w:t>c)</w:t>
      </w:r>
      <w:r w:rsidRPr="00DE7104">
        <w:rPr>
          <w:rFonts w:asciiTheme="majorHAnsi" w:hAnsiTheme="majorHAnsi"/>
          <w:sz w:val="20"/>
          <w:szCs w:val="20"/>
          <w:lang w:val="es-ES_tradnl"/>
        </w:rPr>
        <w:t xml:space="preserve"> de la Convención Americana. Al respecto, el artículo 32(2) del Reglamento de la Comisión establece que en los casos en los cuales resulten aplicables las excepciones al previo agotamiento de los recursos internos, la petición deberá presentarse dentro de un plazo razonable</w:t>
      </w:r>
      <w:r w:rsidR="005A5CD5" w:rsidRPr="00DE7104">
        <w:rPr>
          <w:rFonts w:asciiTheme="majorHAnsi" w:hAnsiTheme="majorHAnsi"/>
          <w:sz w:val="20"/>
          <w:szCs w:val="20"/>
          <w:lang w:val="es-ES_tradnl"/>
        </w:rPr>
        <w:t xml:space="preserve">, a criterio de la Comisión. </w:t>
      </w:r>
      <w:r w:rsidRPr="00DE7104">
        <w:rPr>
          <w:rFonts w:asciiTheme="majorHAnsi" w:hAnsiTheme="majorHAnsi"/>
          <w:sz w:val="20"/>
          <w:szCs w:val="20"/>
          <w:lang w:val="es-ES_tradnl"/>
        </w:rPr>
        <w:t>A tal efecto, la Comisión debe considerar la fecha en que haya ocurrido la presunta violación de los derechos y las circunstancias de cada caso.</w:t>
      </w:r>
    </w:p>
    <w:p w:rsidR="002A6114" w:rsidRPr="006D4BF1" w:rsidRDefault="002A6114"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rsidR="004F671F" w:rsidRPr="006D4BF1" w:rsidRDefault="00FA61E4"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560"/>
        </w:tabs>
        <w:ind w:left="0" w:firstLine="720"/>
        <w:jc w:val="both"/>
        <w:rPr>
          <w:rFonts w:asciiTheme="majorHAnsi" w:eastAsia="Times New Roman" w:hAnsiTheme="majorHAnsi"/>
          <w:sz w:val="20"/>
          <w:szCs w:val="20"/>
          <w:bdr w:val="none" w:sz="0" w:space="0" w:color="auto"/>
          <w:lang w:val="es-ES"/>
        </w:rPr>
      </w:pPr>
      <w:r w:rsidRPr="006D4BF1">
        <w:rPr>
          <w:rFonts w:asciiTheme="majorHAnsi" w:hAnsiTheme="majorHAnsi"/>
          <w:sz w:val="20"/>
          <w:szCs w:val="20"/>
          <w:lang w:val="es-AR"/>
        </w:rPr>
        <w:t xml:space="preserve">En el caso bajo análisis, la CIDH ha establecido la aplicación de la excepción al agotamiento de los recursos internos prevista en el artículo </w:t>
      </w:r>
      <w:r w:rsidRPr="006D4BF1">
        <w:rPr>
          <w:rFonts w:asciiTheme="majorHAnsi" w:hAnsiTheme="majorHAnsi"/>
          <w:sz w:val="20"/>
          <w:szCs w:val="20"/>
          <w:lang w:val="es-ES_tradnl"/>
        </w:rPr>
        <w:t>46(2)</w:t>
      </w:r>
      <w:r w:rsidR="005A5CD5" w:rsidRPr="006D4BF1">
        <w:rPr>
          <w:rFonts w:asciiTheme="majorHAnsi" w:hAnsiTheme="majorHAnsi"/>
          <w:sz w:val="20"/>
          <w:szCs w:val="20"/>
          <w:lang w:val="es-ES_tradnl"/>
        </w:rPr>
        <w:t xml:space="preserve">(b) y </w:t>
      </w:r>
      <w:r w:rsidR="00A72418" w:rsidRPr="006D4BF1">
        <w:rPr>
          <w:rFonts w:asciiTheme="majorHAnsi" w:hAnsiTheme="majorHAnsi"/>
          <w:sz w:val="20"/>
          <w:szCs w:val="20"/>
          <w:lang w:val="es-UY"/>
        </w:rPr>
        <w:t>(</w:t>
      </w:r>
      <w:r w:rsidRPr="006D4BF1">
        <w:rPr>
          <w:rFonts w:asciiTheme="majorHAnsi" w:hAnsiTheme="majorHAnsi"/>
          <w:sz w:val="20"/>
          <w:szCs w:val="20"/>
          <w:lang w:val="es-UY"/>
        </w:rPr>
        <w:t>c)</w:t>
      </w:r>
      <w:r w:rsidRPr="006D4BF1">
        <w:rPr>
          <w:rFonts w:asciiTheme="majorHAnsi" w:hAnsiTheme="majorHAnsi"/>
          <w:sz w:val="20"/>
          <w:szCs w:val="20"/>
          <w:lang w:val="es-ES_tradnl"/>
        </w:rPr>
        <w:t xml:space="preserve"> </w:t>
      </w:r>
      <w:r w:rsidRPr="006D4BF1">
        <w:rPr>
          <w:rFonts w:asciiTheme="majorHAnsi" w:hAnsiTheme="majorHAnsi"/>
          <w:sz w:val="20"/>
          <w:szCs w:val="20"/>
          <w:lang w:val="es-AR"/>
        </w:rPr>
        <w:t xml:space="preserve">de la Convención Americana. La petición ante la CIDH fue recibida el 23 de octubre de 2003 y los presuntos hechos materia del reclamo tuvieron lugar </w:t>
      </w:r>
      <w:r w:rsidR="001C23F0" w:rsidRPr="006D4BF1">
        <w:rPr>
          <w:rFonts w:asciiTheme="majorHAnsi" w:hAnsiTheme="majorHAnsi"/>
          <w:sz w:val="20"/>
          <w:szCs w:val="20"/>
          <w:lang w:val="es-AR"/>
        </w:rPr>
        <w:t>entre los años 1968 y 1989</w:t>
      </w:r>
      <w:r w:rsidRPr="006D4BF1">
        <w:rPr>
          <w:rFonts w:asciiTheme="majorHAnsi" w:hAnsiTheme="majorHAnsi"/>
          <w:sz w:val="20"/>
          <w:szCs w:val="20"/>
          <w:lang w:val="es-AR"/>
        </w:rPr>
        <w:t xml:space="preserve"> </w:t>
      </w:r>
      <w:r w:rsidR="00DB2478" w:rsidRPr="006D4BF1">
        <w:rPr>
          <w:rFonts w:asciiTheme="majorHAnsi" w:hAnsiTheme="majorHAnsi"/>
          <w:sz w:val="20"/>
          <w:szCs w:val="20"/>
          <w:lang w:val="es-AR"/>
        </w:rPr>
        <w:t xml:space="preserve">bajo </w:t>
      </w:r>
      <w:r w:rsidR="009A22CB" w:rsidRPr="006D4BF1">
        <w:rPr>
          <w:rFonts w:asciiTheme="majorHAnsi" w:hAnsiTheme="majorHAnsi"/>
          <w:sz w:val="20"/>
          <w:szCs w:val="20"/>
          <w:lang w:val="es-ES"/>
        </w:rPr>
        <w:t xml:space="preserve">los regímenes </w:t>
      </w:r>
      <w:r w:rsidR="009A22CB" w:rsidRPr="006D4BF1">
        <w:rPr>
          <w:rFonts w:asciiTheme="majorHAnsi" w:hAnsiTheme="majorHAnsi"/>
          <w:i/>
          <w:sz w:val="20"/>
          <w:szCs w:val="20"/>
          <w:lang w:val="es-ES"/>
        </w:rPr>
        <w:t xml:space="preserve">de </w:t>
      </w:r>
      <w:r w:rsidR="009A22CB" w:rsidRPr="006D4BF1">
        <w:rPr>
          <w:rFonts w:asciiTheme="majorHAnsi" w:hAnsiTheme="majorHAnsi"/>
          <w:i/>
          <w:iCs/>
          <w:sz w:val="20"/>
          <w:szCs w:val="20"/>
          <w:lang w:val="es-ES"/>
        </w:rPr>
        <w:t>facto</w:t>
      </w:r>
      <w:r w:rsidR="009A22CB" w:rsidRPr="006D4BF1">
        <w:rPr>
          <w:rFonts w:asciiTheme="majorHAnsi" w:hAnsiTheme="majorHAnsi"/>
          <w:sz w:val="20"/>
          <w:szCs w:val="20"/>
          <w:lang w:val="es-ES"/>
        </w:rPr>
        <w:t xml:space="preserve"> </w:t>
      </w:r>
      <w:r w:rsidR="00DB2478" w:rsidRPr="006D4BF1">
        <w:rPr>
          <w:rFonts w:asciiTheme="majorHAnsi" w:hAnsiTheme="majorHAnsi"/>
          <w:sz w:val="20"/>
          <w:szCs w:val="20"/>
          <w:lang w:val="es-AR"/>
        </w:rPr>
        <w:t xml:space="preserve">de los generales Omar Torrijos (1969-1981) y Manuel Antonio Noriega (1983-1989) </w:t>
      </w:r>
      <w:r w:rsidRPr="006D4BF1">
        <w:rPr>
          <w:rFonts w:asciiTheme="majorHAnsi" w:hAnsiTheme="majorHAnsi"/>
          <w:sz w:val="20"/>
          <w:szCs w:val="20"/>
          <w:lang w:val="es-AR"/>
        </w:rPr>
        <w:t>y sus</w:t>
      </w:r>
      <w:r w:rsidR="001C7C04">
        <w:rPr>
          <w:rFonts w:asciiTheme="majorHAnsi" w:hAnsiTheme="majorHAnsi"/>
          <w:sz w:val="20"/>
          <w:szCs w:val="20"/>
          <w:lang w:val="es-AR"/>
        </w:rPr>
        <w:t xml:space="preserve"> alegados</w:t>
      </w:r>
      <w:r w:rsidRPr="006D4BF1">
        <w:rPr>
          <w:rFonts w:asciiTheme="majorHAnsi" w:hAnsiTheme="majorHAnsi"/>
          <w:sz w:val="20"/>
          <w:szCs w:val="20"/>
          <w:lang w:val="es-AR"/>
        </w:rPr>
        <w:t xml:space="preserve"> efectos se extenderían hasta el presente. Por lo tanto, en vista del contexto y las ca</w:t>
      </w:r>
      <w:r w:rsidR="001C23F0" w:rsidRPr="006D4BF1">
        <w:rPr>
          <w:rFonts w:asciiTheme="majorHAnsi" w:hAnsiTheme="majorHAnsi"/>
          <w:sz w:val="20"/>
          <w:szCs w:val="20"/>
          <w:lang w:val="es-AR"/>
        </w:rPr>
        <w:t>racterísticas del presente caso</w:t>
      </w:r>
      <w:r w:rsidR="005A5CD5" w:rsidRPr="006D4BF1">
        <w:rPr>
          <w:rFonts w:asciiTheme="majorHAnsi" w:eastAsia="Times New Roman" w:hAnsiTheme="majorHAnsi"/>
          <w:sz w:val="20"/>
          <w:szCs w:val="20"/>
          <w:bdr w:val="none" w:sz="0" w:space="0" w:color="auto"/>
          <w:lang w:val="es-ES"/>
        </w:rPr>
        <w:t xml:space="preserve">, así como </w:t>
      </w:r>
      <w:r w:rsidR="001C23F0" w:rsidRPr="006D4BF1">
        <w:rPr>
          <w:rFonts w:asciiTheme="majorHAnsi" w:eastAsia="Times New Roman" w:hAnsiTheme="majorHAnsi"/>
          <w:sz w:val="20"/>
          <w:szCs w:val="20"/>
          <w:bdr w:val="none" w:sz="0" w:space="0" w:color="auto"/>
          <w:lang w:val="es-ES"/>
        </w:rPr>
        <w:t xml:space="preserve">el hecho de que aún están pendientes las investigaciones y procesos judiciales, </w:t>
      </w:r>
      <w:r w:rsidRPr="006D4BF1">
        <w:rPr>
          <w:rFonts w:asciiTheme="majorHAnsi" w:hAnsiTheme="majorHAnsi"/>
          <w:sz w:val="20"/>
          <w:szCs w:val="20"/>
          <w:lang w:val="es-AR"/>
        </w:rPr>
        <w:t>la Comisión considera que la petición fue presentada dentro de un plazo razonable y que debe darse por satisfecho el requisito de admisibilidad referente al plazo de presentación</w:t>
      </w:r>
      <w:r w:rsidRPr="006D4BF1">
        <w:rPr>
          <w:rFonts w:asciiTheme="majorHAnsi" w:hAnsiTheme="majorHAnsi"/>
          <w:bCs/>
          <w:sz w:val="20"/>
          <w:szCs w:val="20"/>
          <w:lang w:val="es-ES"/>
        </w:rPr>
        <w:t>.</w:t>
      </w:r>
    </w:p>
    <w:p w:rsidR="002D018A" w:rsidRPr="006D4BF1" w:rsidRDefault="002D018A"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Theme="majorHAnsi" w:eastAsia="Times New Roman" w:hAnsiTheme="majorHAnsi"/>
          <w:b/>
          <w:sz w:val="20"/>
          <w:szCs w:val="20"/>
          <w:bdr w:val="none" w:sz="0" w:space="0" w:color="auto"/>
          <w:lang w:val="es-ES"/>
        </w:rPr>
      </w:pPr>
      <w:r w:rsidRPr="006D4BF1">
        <w:rPr>
          <w:rFonts w:asciiTheme="majorHAnsi" w:eastAsia="Times New Roman" w:hAnsiTheme="majorHAnsi"/>
          <w:b/>
          <w:bCs/>
          <w:sz w:val="20"/>
          <w:szCs w:val="20"/>
          <w:bdr w:val="none" w:sz="0" w:space="0" w:color="auto"/>
          <w:lang w:val="es-ES"/>
        </w:rPr>
        <w:t>3</w:t>
      </w:r>
      <w:r w:rsidR="00153CC4">
        <w:rPr>
          <w:rFonts w:asciiTheme="majorHAnsi" w:eastAsia="Times New Roman" w:hAnsiTheme="majorHAnsi"/>
          <w:b/>
          <w:bCs/>
          <w:sz w:val="20"/>
          <w:szCs w:val="20"/>
          <w:bdr w:val="none" w:sz="0" w:space="0" w:color="auto"/>
          <w:lang w:val="es-ES"/>
        </w:rPr>
        <w:t>.</w:t>
      </w:r>
      <w:r w:rsidR="00153CC4">
        <w:rPr>
          <w:rFonts w:asciiTheme="majorHAnsi" w:eastAsia="Times New Roman" w:hAnsiTheme="majorHAnsi"/>
          <w:b/>
          <w:bCs/>
          <w:sz w:val="20"/>
          <w:szCs w:val="20"/>
          <w:bdr w:val="none" w:sz="0" w:space="0" w:color="auto"/>
          <w:lang w:val="es-ES"/>
        </w:rPr>
        <w:tab/>
      </w:r>
      <w:r w:rsidRPr="006D4BF1">
        <w:rPr>
          <w:rFonts w:asciiTheme="majorHAnsi" w:eastAsia="Times New Roman" w:hAnsiTheme="majorHAnsi"/>
          <w:b/>
          <w:bCs/>
          <w:sz w:val="20"/>
          <w:szCs w:val="20"/>
          <w:bdr w:val="none" w:sz="0" w:space="0" w:color="auto"/>
          <w:lang w:val="es-ES"/>
        </w:rPr>
        <w:t xml:space="preserve">Duplicación de procedimientos </w:t>
      </w:r>
      <w:r w:rsidR="009A22CB" w:rsidRPr="006D4BF1">
        <w:rPr>
          <w:rFonts w:asciiTheme="majorHAnsi" w:eastAsia="Times New Roman" w:hAnsiTheme="majorHAnsi"/>
          <w:b/>
          <w:bCs/>
          <w:sz w:val="20"/>
          <w:szCs w:val="20"/>
          <w:bdr w:val="none" w:sz="0" w:space="0" w:color="auto"/>
          <w:lang w:val="es-ES"/>
        </w:rPr>
        <w:t xml:space="preserve">y cosa juzgada </w:t>
      </w:r>
      <w:r w:rsidRPr="006D4BF1">
        <w:rPr>
          <w:rFonts w:asciiTheme="majorHAnsi" w:eastAsia="Times New Roman" w:hAnsiTheme="majorHAnsi"/>
          <w:b/>
          <w:bCs/>
          <w:sz w:val="20"/>
          <w:szCs w:val="20"/>
          <w:bdr w:val="none" w:sz="0" w:space="0" w:color="auto"/>
          <w:lang w:val="es-ES"/>
        </w:rPr>
        <w:t>internacional</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ES"/>
        </w:rPr>
      </w:pPr>
    </w:p>
    <w:p w:rsidR="004F671F"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560"/>
        </w:tabs>
        <w:ind w:left="0" w:firstLine="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sz w:val="20"/>
          <w:szCs w:val="20"/>
          <w:bdr w:val="none" w:sz="0" w:space="0" w:color="auto"/>
          <w:lang w:val="es-ES"/>
        </w:rPr>
        <w:t>A los efectos de declarar admisible una petición, la Con</w:t>
      </w:r>
      <w:r w:rsidR="009A22CB" w:rsidRPr="006D4BF1">
        <w:rPr>
          <w:rFonts w:asciiTheme="majorHAnsi" w:eastAsia="Times New Roman" w:hAnsiTheme="majorHAnsi"/>
          <w:sz w:val="20"/>
          <w:szCs w:val="20"/>
          <w:bdr w:val="none" w:sz="0" w:space="0" w:color="auto"/>
          <w:lang w:val="es-ES"/>
        </w:rPr>
        <w:t>vención exige en su artículo 46(1)(</w:t>
      </w:r>
      <w:r w:rsidRPr="006D4BF1">
        <w:rPr>
          <w:rFonts w:asciiTheme="majorHAnsi" w:eastAsia="Times New Roman" w:hAnsiTheme="majorHAnsi"/>
          <w:sz w:val="20"/>
          <w:szCs w:val="20"/>
          <w:bdr w:val="none" w:sz="0" w:space="0" w:color="auto"/>
          <w:lang w:val="es-ES"/>
        </w:rPr>
        <w:t>c</w:t>
      </w:r>
      <w:r w:rsidR="009A22CB" w:rsidRPr="006D4BF1">
        <w:rPr>
          <w:rFonts w:asciiTheme="majorHAnsi" w:eastAsia="Times New Roman" w:hAnsiTheme="majorHAnsi"/>
          <w:sz w:val="20"/>
          <w:szCs w:val="20"/>
          <w:bdr w:val="none" w:sz="0" w:space="0" w:color="auto"/>
          <w:lang w:val="es-ES"/>
        </w:rPr>
        <w:t>)</w:t>
      </w:r>
      <w:r w:rsidRPr="006D4BF1">
        <w:rPr>
          <w:rFonts w:asciiTheme="majorHAnsi" w:eastAsia="Times New Roman" w:hAnsiTheme="majorHAnsi"/>
          <w:sz w:val="20"/>
          <w:szCs w:val="20"/>
          <w:bdr w:val="none" w:sz="0" w:space="0" w:color="auto"/>
          <w:lang w:val="es-ES"/>
        </w:rPr>
        <w:t xml:space="preserve">, que la materia de la misma no </w:t>
      </w:r>
      <w:r w:rsidR="009A22CB" w:rsidRPr="006D4BF1">
        <w:rPr>
          <w:rFonts w:asciiTheme="majorHAnsi" w:eastAsia="Times New Roman" w:hAnsiTheme="majorHAnsi"/>
          <w:sz w:val="20"/>
          <w:szCs w:val="20"/>
          <w:bdr w:val="none" w:sz="0" w:space="0" w:color="auto"/>
          <w:lang w:val="es-ES"/>
        </w:rPr>
        <w:t>esté</w:t>
      </w:r>
      <w:r w:rsidRPr="006D4BF1">
        <w:rPr>
          <w:rFonts w:asciiTheme="majorHAnsi" w:eastAsia="Times New Roman" w:hAnsiTheme="majorHAnsi"/>
          <w:sz w:val="20"/>
          <w:szCs w:val="20"/>
          <w:bdr w:val="none" w:sz="0" w:space="0" w:color="auto"/>
          <w:lang w:val="es-ES"/>
        </w:rPr>
        <w:t xml:space="preserve"> pendiente de otro procedimiento de arreglo int</w:t>
      </w:r>
      <w:r w:rsidR="009A22CB" w:rsidRPr="006D4BF1">
        <w:rPr>
          <w:rFonts w:asciiTheme="majorHAnsi" w:eastAsia="Times New Roman" w:hAnsiTheme="majorHAnsi"/>
          <w:sz w:val="20"/>
          <w:szCs w:val="20"/>
          <w:bdr w:val="none" w:sz="0" w:space="0" w:color="auto"/>
          <w:lang w:val="es-ES"/>
        </w:rPr>
        <w:t xml:space="preserve">ernacional y, en su artículo </w:t>
      </w:r>
      <w:r w:rsidR="009A22CB" w:rsidRPr="006D4BF1">
        <w:rPr>
          <w:rFonts w:asciiTheme="majorHAnsi" w:eastAsia="Times New Roman" w:hAnsiTheme="majorHAnsi"/>
          <w:sz w:val="20"/>
          <w:szCs w:val="20"/>
          <w:bdr w:val="none" w:sz="0" w:space="0" w:color="auto"/>
          <w:lang w:val="es-ES"/>
        </w:rPr>
        <w:lastRenderedPageBreak/>
        <w:t>47(</w:t>
      </w:r>
      <w:r w:rsidRPr="006D4BF1">
        <w:rPr>
          <w:rFonts w:asciiTheme="majorHAnsi" w:eastAsia="Times New Roman" w:hAnsiTheme="majorHAnsi"/>
          <w:sz w:val="20"/>
          <w:szCs w:val="20"/>
          <w:bdr w:val="none" w:sz="0" w:space="0" w:color="auto"/>
          <w:lang w:val="es-ES"/>
        </w:rPr>
        <w:t>d</w:t>
      </w:r>
      <w:r w:rsidR="009A22CB" w:rsidRPr="006D4BF1">
        <w:rPr>
          <w:rFonts w:asciiTheme="majorHAnsi" w:eastAsia="Times New Roman" w:hAnsiTheme="majorHAnsi"/>
          <w:sz w:val="20"/>
          <w:szCs w:val="20"/>
          <w:bdr w:val="none" w:sz="0" w:space="0" w:color="auto"/>
          <w:lang w:val="es-ES"/>
        </w:rPr>
        <w:t>)</w:t>
      </w:r>
      <w:r w:rsidRPr="006D4BF1">
        <w:rPr>
          <w:rFonts w:asciiTheme="majorHAnsi" w:eastAsia="Times New Roman" w:hAnsiTheme="majorHAnsi"/>
          <w:sz w:val="20"/>
          <w:szCs w:val="20"/>
          <w:bdr w:val="none" w:sz="0" w:space="0" w:color="auto"/>
          <w:lang w:val="es-ES"/>
        </w:rPr>
        <w:t>, que no reproduzca el contenido de una petición ya examinada por éste u otro organismo internacional.</w:t>
      </w:r>
      <w:r w:rsidRPr="006D4BF1">
        <w:rPr>
          <w:rFonts w:asciiTheme="majorHAnsi" w:eastAsia="Times New Roman" w:hAnsiTheme="majorHAnsi"/>
          <w:sz w:val="20"/>
          <w:szCs w:val="20"/>
          <w:bdr w:val="none" w:sz="0" w:space="0" w:color="auto"/>
          <w:lang w:val="es-AR"/>
        </w:rPr>
        <w:t xml:space="preserve"> En el caso sub examen, la Comisión observa que las partes no han alegado la existencia de ninguna de estas causales de inadmisibilidad. Asimismo, nota que, con respecto a 108 de las 109 presuntas </w:t>
      </w:r>
      <w:r w:rsidR="004B6B37" w:rsidRPr="006D4BF1">
        <w:rPr>
          <w:rFonts w:asciiTheme="majorHAnsi" w:eastAsia="Times New Roman" w:hAnsiTheme="majorHAnsi"/>
          <w:sz w:val="20"/>
          <w:szCs w:val="20"/>
          <w:bdr w:val="none" w:sz="0" w:space="0" w:color="auto"/>
          <w:lang w:val="es-AR"/>
        </w:rPr>
        <w:t>víctimas</w:t>
      </w:r>
      <w:r w:rsidRPr="006D4BF1">
        <w:rPr>
          <w:rFonts w:asciiTheme="majorHAnsi" w:eastAsia="Times New Roman" w:hAnsiTheme="majorHAnsi"/>
          <w:sz w:val="20"/>
          <w:szCs w:val="20"/>
          <w:bdr w:val="none" w:sz="0" w:space="0" w:color="auto"/>
          <w:lang w:val="es-AR"/>
        </w:rPr>
        <w:t xml:space="preserve">, no es posible deducir del expediente la existencia de impedimentos de ésta índole. Sin embargo, la Comisión observa que ya se expidió respecto a la presunta ejecución extrajudicial de Hugo Spadafora </w:t>
      </w:r>
      <w:r w:rsidR="007005B4" w:rsidRPr="006D4BF1">
        <w:rPr>
          <w:rFonts w:asciiTheme="majorHAnsi" w:eastAsia="Times New Roman" w:hAnsiTheme="majorHAnsi"/>
          <w:sz w:val="20"/>
          <w:szCs w:val="20"/>
          <w:bdr w:val="none" w:sz="0" w:space="0" w:color="auto"/>
          <w:lang w:val="es-AR"/>
        </w:rPr>
        <w:t xml:space="preserve">Franco </w:t>
      </w:r>
      <w:r w:rsidRPr="006D4BF1">
        <w:rPr>
          <w:rFonts w:asciiTheme="majorHAnsi" w:eastAsia="Times New Roman" w:hAnsiTheme="majorHAnsi"/>
          <w:sz w:val="20"/>
          <w:szCs w:val="20"/>
          <w:bdr w:val="none" w:sz="0" w:space="0" w:color="auto"/>
          <w:lang w:val="es-AR"/>
        </w:rPr>
        <w:t>en su Resolución 25/87, Caso 9726, de 23 de septiembre de 1987</w:t>
      </w:r>
      <w:r w:rsidRPr="006D4BF1">
        <w:rPr>
          <w:rFonts w:asciiTheme="majorHAnsi" w:eastAsia="Times New Roman" w:hAnsiTheme="majorHAnsi"/>
          <w:sz w:val="20"/>
          <w:szCs w:val="20"/>
          <w:bdr w:val="none" w:sz="0" w:space="0" w:color="auto"/>
          <w:vertAlign w:val="superscript"/>
          <w:lang w:val="es-AR"/>
        </w:rPr>
        <w:footnoteReference w:id="20"/>
      </w:r>
      <w:r w:rsidRPr="006D4BF1">
        <w:rPr>
          <w:rFonts w:asciiTheme="majorHAnsi" w:eastAsia="Times New Roman" w:hAnsiTheme="majorHAnsi"/>
          <w:sz w:val="20"/>
          <w:szCs w:val="20"/>
          <w:bdr w:val="none" w:sz="0" w:space="0" w:color="auto"/>
          <w:lang w:val="es-AR"/>
        </w:rPr>
        <w:t>, en virtud de lo cual el requisito contemplado en el artículo 47</w:t>
      </w:r>
      <w:r w:rsidR="009A22CB" w:rsidRPr="006D4BF1">
        <w:rPr>
          <w:rFonts w:asciiTheme="majorHAnsi" w:eastAsia="Times New Roman" w:hAnsiTheme="majorHAnsi"/>
          <w:sz w:val="20"/>
          <w:szCs w:val="20"/>
          <w:bdr w:val="none" w:sz="0" w:space="0" w:color="auto"/>
          <w:lang w:val="es-AR"/>
        </w:rPr>
        <w:t>(</w:t>
      </w:r>
      <w:r w:rsidRPr="006D4BF1">
        <w:rPr>
          <w:rFonts w:asciiTheme="majorHAnsi" w:eastAsia="Times New Roman" w:hAnsiTheme="majorHAnsi"/>
          <w:sz w:val="20"/>
          <w:szCs w:val="20"/>
          <w:bdr w:val="none" w:sz="0" w:space="0" w:color="auto"/>
          <w:lang w:val="es-AR"/>
        </w:rPr>
        <w:t>d</w:t>
      </w:r>
      <w:r w:rsidR="009A22CB" w:rsidRPr="006D4BF1">
        <w:rPr>
          <w:rFonts w:asciiTheme="majorHAnsi" w:eastAsia="Times New Roman" w:hAnsiTheme="majorHAnsi"/>
          <w:sz w:val="20"/>
          <w:szCs w:val="20"/>
          <w:bdr w:val="none" w:sz="0" w:space="0" w:color="auto"/>
          <w:lang w:val="es-AR"/>
        </w:rPr>
        <w:t>)</w:t>
      </w:r>
      <w:r w:rsidRPr="006D4BF1">
        <w:rPr>
          <w:rFonts w:asciiTheme="majorHAnsi" w:eastAsia="Times New Roman" w:hAnsiTheme="majorHAnsi"/>
          <w:sz w:val="20"/>
          <w:szCs w:val="20"/>
          <w:bdr w:val="none" w:sz="0" w:space="0" w:color="auto"/>
          <w:lang w:val="es-AR"/>
        </w:rPr>
        <w:t xml:space="preserve"> de la Convención no se encontraría satisfecho resp</w:t>
      </w:r>
      <w:r w:rsidR="00E366B2" w:rsidRPr="006D4BF1">
        <w:rPr>
          <w:rFonts w:asciiTheme="majorHAnsi" w:eastAsia="Times New Roman" w:hAnsiTheme="majorHAnsi"/>
          <w:sz w:val="20"/>
          <w:szCs w:val="20"/>
          <w:bdr w:val="none" w:sz="0" w:space="0" w:color="auto"/>
          <w:lang w:val="es-AR"/>
        </w:rPr>
        <w:t>ecto a este caso en particular.</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lang w:val="es-AR"/>
        </w:rPr>
      </w:pPr>
    </w:p>
    <w:p w:rsidR="004F671F" w:rsidRPr="006D4BF1" w:rsidRDefault="004F671F" w:rsidP="008F47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num" w:pos="1560"/>
        </w:tabs>
        <w:ind w:left="0" w:firstLine="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sz w:val="20"/>
          <w:szCs w:val="20"/>
          <w:bdr w:val="none" w:sz="0" w:space="0" w:color="auto"/>
          <w:lang w:val="es-AR"/>
        </w:rPr>
        <w:t>Por lo tanto, la CIDH considera satisfechos los requisitos e</w:t>
      </w:r>
      <w:r w:rsidR="009A22CB" w:rsidRPr="006D4BF1">
        <w:rPr>
          <w:rFonts w:asciiTheme="majorHAnsi" w:eastAsia="Times New Roman" w:hAnsiTheme="majorHAnsi"/>
          <w:sz w:val="20"/>
          <w:szCs w:val="20"/>
          <w:bdr w:val="none" w:sz="0" w:space="0" w:color="auto"/>
          <w:lang w:val="es-AR"/>
        </w:rPr>
        <w:t>stablecidos en los artículos 46(1)(</w:t>
      </w:r>
      <w:r w:rsidRPr="006D4BF1">
        <w:rPr>
          <w:rFonts w:asciiTheme="majorHAnsi" w:eastAsia="Times New Roman" w:hAnsiTheme="majorHAnsi"/>
          <w:sz w:val="20"/>
          <w:szCs w:val="20"/>
          <w:bdr w:val="none" w:sz="0" w:space="0" w:color="auto"/>
          <w:lang w:val="es-AR"/>
        </w:rPr>
        <w:t>c</w:t>
      </w:r>
      <w:r w:rsidR="009A22CB" w:rsidRPr="006D4BF1">
        <w:rPr>
          <w:rFonts w:asciiTheme="majorHAnsi" w:eastAsia="Times New Roman" w:hAnsiTheme="majorHAnsi"/>
          <w:sz w:val="20"/>
          <w:szCs w:val="20"/>
          <w:bdr w:val="none" w:sz="0" w:space="0" w:color="auto"/>
          <w:lang w:val="es-AR"/>
        </w:rPr>
        <w:t>) y 47(</w:t>
      </w:r>
      <w:r w:rsidRPr="006D4BF1">
        <w:rPr>
          <w:rFonts w:asciiTheme="majorHAnsi" w:eastAsia="Times New Roman" w:hAnsiTheme="majorHAnsi"/>
          <w:sz w:val="20"/>
          <w:szCs w:val="20"/>
          <w:bdr w:val="none" w:sz="0" w:space="0" w:color="auto"/>
          <w:lang w:val="es-AR"/>
        </w:rPr>
        <w:t>d</w:t>
      </w:r>
      <w:r w:rsidR="009A22CB" w:rsidRPr="006D4BF1">
        <w:rPr>
          <w:rFonts w:asciiTheme="majorHAnsi" w:eastAsia="Times New Roman" w:hAnsiTheme="majorHAnsi"/>
          <w:sz w:val="20"/>
          <w:szCs w:val="20"/>
          <w:bdr w:val="none" w:sz="0" w:space="0" w:color="auto"/>
          <w:lang w:val="es-AR"/>
        </w:rPr>
        <w:t>)</w:t>
      </w:r>
      <w:r w:rsidRPr="006D4BF1">
        <w:rPr>
          <w:rFonts w:asciiTheme="majorHAnsi" w:eastAsia="Times New Roman" w:hAnsiTheme="majorHAnsi"/>
          <w:sz w:val="20"/>
          <w:szCs w:val="20"/>
          <w:bdr w:val="none" w:sz="0" w:space="0" w:color="auto"/>
          <w:lang w:val="es-AR"/>
        </w:rPr>
        <w:t xml:space="preserve"> de la Convención, con excepción de la denuncia presentada en virtud de las violaciones perpetradas en perjuicio de Hugo Spadafora</w:t>
      </w:r>
      <w:r w:rsidR="007005B4" w:rsidRPr="006D4BF1">
        <w:rPr>
          <w:rFonts w:asciiTheme="majorHAnsi" w:eastAsia="Times New Roman" w:hAnsiTheme="majorHAnsi"/>
          <w:sz w:val="20"/>
          <w:szCs w:val="20"/>
          <w:bdr w:val="none" w:sz="0" w:space="0" w:color="auto"/>
          <w:lang w:val="es-AR"/>
        </w:rPr>
        <w:t xml:space="preserve"> Franco</w:t>
      </w:r>
      <w:r w:rsidRPr="006D4BF1">
        <w:rPr>
          <w:rFonts w:asciiTheme="majorHAnsi" w:eastAsia="Times New Roman" w:hAnsiTheme="majorHAnsi"/>
          <w:sz w:val="20"/>
          <w:szCs w:val="20"/>
          <w:bdr w:val="none" w:sz="0" w:space="0" w:color="auto"/>
          <w:lang w:val="es-AR"/>
        </w:rPr>
        <w:t>.</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olor w:val="FF0000"/>
          <w:sz w:val="20"/>
          <w:szCs w:val="20"/>
          <w:bdr w:val="none" w:sz="0" w:space="0" w:color="auto"/>
          <w:lang w:val="es-AR"/>
        </w:rPr>
      </w:pP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b/>
          <w:bCs/>
          <w:sz w:val="20"/>
          <w:szCs w:val="20"/>
          <w:bdr w:val="none" w:sz="0" w:space="0" w:color="auto"/>
          <w:lang w:val="es-ES"/>
        </w:rPr>
        <w:t>4</w:t>
      </w:r>
      <w:r w:rsidR="00153CC4">
        <w:rPr>
          <w:rFonts w:asciiTheme="majorHAnsi" w:eastAsia="Times New Roman" w:hAnsiTheme="majorHAnsi"/>
          <w:b/>
          <w:bCs/>
          <w:sz w:val="20"/>
          <w:szCs w:val="20"/>
          <w:bdr w:val="none" w:sz="0" w:space="0" w:color="auto"/>
          <w:lang w:val="es-ES"/>
        </w:rPr>
        <w:t>.</w:t>
      </w:r>
      <w:r w:rsidR="00153CC4">
        <w:rPr>
          <w:rFonts w:asciiTheme="majorHAnsi" w:eastAsia="Times New Roman" w:hAnsiTheme="majorHAnsi"/>
          <w:b/>
          <w:bCs/>
          <w:sz w:val="20"/>
          <w:szCs w:val="20"/>
          <w:bdr w:val="none" w:sz="0" w:space="0" w:color="auto"/>
          <w:lang w:val="es-ES"/>
        </w:rPr>
        <w:tab/>
      </w:r>
      <w:r w:rsidRPr="006D4BF1">
        <w:rPr>
          <w:rFonts w:asciiTheme="majorHAnsi" w:eastAsia="Times New Roman" w:hAnsiTheme="majorHAnsi"/>
          <w:b/>
          <w:bCs/>
          <w:sz w:val="20"/>
          <w:szCs w:val="20"/>
          <w:bdr w:val="none" w:sz="0" w:space="0" w:color="auto"/>
          <w:lang w:val="es-ES"/>
        </w:rPr>
        <w:t>Caracte</w:t>
      </w:r>
      <w:r w:rsidR="007409FA" w:rsidRPr="006D4BF1">
        <w:rPr>
          <w:rFonts w:asciiTheme="majorHAnsi" w:eastAsia="Times New Roman" w:hAnsiTheme="majorHAnsi"/>
          <w:b/>
          <w:bCs/>
          <w:sz w:val="20"/>
          <w:szCs w:val="20"/>
          <w:bdr w:val="none" w:sz="0" w:space="0" w:color="auto"/>
          <w:lang w:val="es-ES"/>
        </w:rPr>
        <w:t>rización de los hechos alegados</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color w:val="FF0000"/>
          <w:sz w:val="20"/>
          <w:szCs w:val="20"/>
          <w:bdr w:val="none" w:sz="0" w:space="0" w:color="auto"/>
          <w:lang w:val="es-AR"/>
        </w:rPr>
      </w:pPr>
    </w:p>
    <w:p w:rsidR="001E400C" w:rsidRPr="006D4BF1" w:rsidRDefault="001E400C"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Y"/>
        </w:rPr>
      </w:pPr>
      <w:r w:rsidRPr="006D4BF1">
        <w:rPr>
          <w:rFonts w:asciiTheme="majorHAnsi" w:hAnsiTheme="majorHAnsi"/>
          <w:sz w:val="20"/>
          <w:szCs w:val="20"/>
          <w:lang w:val="es-UY"/>
        </w:rPr>
        <w:t>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w:t>
      </w:r>
      <w:r w:rsidR="007409FA" w:rsidRPr="006D4BF1">
        <w:rPr>
          <w:rFonts w:asciiTheme="majorHAnsi" w:hAnsiTheme="majorHAnsi"/>
          <w:sz w:val="20"/>
          <w:szCs w:val="20"/>
          <w:lang w:val="es-UY"/>
        </w:rPr>
        <w:t>l inciso (c) de dicho artículo.</w:t>
      </w:r>
      <w:r w:rsidRPr="006D4BF1">
        <w:rPr>
          <w:rFonts w:asciiTheme="majorHAnsi" w:hAnsiTheme="majorHAnsi"/>
          <w:sz w:val="20"/>
          <w:szCs w:val="20"/>
          <w:lang w:val="es-UY"/>
        </w:rPr>
        <w:t xml:space="preserve"> El criterio para analizar la admisibilidad difiere del utilizado para el análisis del fondo de la petición dado que la Comisión sólo realiza un análisis </w:t>
      </w:r>
      <w:r w:rsidRPr="006D4BF1">
        <w:rPr>
          <w:rFonts w:asciiTheme="majorHAnsi" w:hAnsiTheme="majorHAnsi"/>
          <w:i/>
          <w:sz w:val="20"/>
          <w:szCs w:val="20"/>
          <w:lang w:val="es-UY"/>
        </w:rPr>
        <w:t>prima facie</w:t>
      </w:r>
      <w:r w:rsidRPr="006D4BF1">
        <w:rPr>
          <w:rFonts w:asciiTheme="majorHAnsi" w:hAnsiTheme="majorHAnsi"/>
          <w:sz w:val="20"/>
          <w:szCs w:val="20"/>
          <w:lang w:val="es-UY"/>
        </w:rPr>
        <w:t xml:space="preserve"> para determinar si los peticionarios establecen la aparente o posible violación de un derecho garantizado por la Convención Americana. Se trata de un análisis somero que no implica prejuzgar o emitir una opinión preli</w:t>
      </w:r>
      <w:r w:rsidR="00B82358" w:rsidRPr="006D4BF1">
        <w:rPr>
          <w:rFonts w:asciiTheme="majorHAnsi" w:hAnsiTheme="majorHAnsi"/>
          <w:sz w:val="20"/>
          <w:szCs w:val="20"/>
          <w:lang w:val="es-UY"/>
        </w:rPr>
        <w:t>minar sobre el fondo del asunto.</w:t>
      </w:r>
    </w:p>
    <w:p w:rsidR="00B82358" w:rsidRPr="006D4BF1" w:rsidRDefault="00B82358" w:rsidP="00B82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7E24EE" w:rsidRPr="006D4BF1" w:rsidRDefault="001E400C"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Y"/>
        </w:rPr>
      </w:pPr>
      <w:r w:rsidRPr="006D4BF1">
        <w:rPr>
          <w:rFonts w:asciiTheme="majorHAnsi" w:hAnsiTheme="majorHAnsi"/>
          <w:sz w:val="20"/>
          <w:szCs w:val="20"/>
          <w:lang w:val="es-UY"/>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B82358" w:rsidRPr="006D4BF1" w:rsidRDefault="00B82358" w:rsidP="00B82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0E71E4" w:rsidRPr="006D4BF1" w:rsidRDefault="00812A0C"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Y"/>
        </w:rPr>
      </w:pPr>
      <w:r w:rsidRPr="006D4BF1">
        <w:rPr>
          <w:rFonts w:asciiTheme="majorHAnsi" w:hAnsiTheme="majorHAnsi"/>
          <w:sz w:val="20"/>
          <w:szCs w:val="20"/>
          <w:lang w:val="es-ES"/>
        </w:rPr>
        <w:t xml:space="preserve">Los peticionarios alegan </w:t>
      </w:r>
      <w:r w:rsidR="000E7180" w:rsidRPr="006D4BF1">
        <w:rPr>
          <w:rFonts w:asciiTheme="majorHAnsi" w:hAnsiTheme="majorHAnsi"/>
          <w:sz w:val="20"/>
          <w:szCs w:val="20"/>
          <w:lang w:val="es-ES"/>
        </w:rPr>
        <w:t>una serie de hechos violentos -ejecuciones</w:t>
      </w:r>
      <w:r w:rsidRPr="006D4BF1">
        <w:rPr>
          <w:rFonts w:asciiTheme="majorHAnsi" w:hAnsiTheme="majorHAnsi"/>
          <w:sz w:val="20"/>
          <w:szCs w:val="20"/>
          <w:lang w:val="es-ES"/>
        </w:rPr>
        <w:t xml:space="preserve"> extrajudicial</w:t>
      </w:r>
      <w:r w:rsidR="000E7180" w:rsidRPr="006D4BF1">
        <w:rPr>
          <w:rFonts w:asciiTheme="majorHAnsi" w:hAnsiTheme="majorHAnsi"/>
          <w:sz w:val="20"/>
          <w:szCs w:val="20"/>
          <w:lang w:val="es-ES"/>
        </w:rPr>
        <w:t>es y</w:t>
      </w:r>
      <w:r w:rsidRPr="006D4BF1">
        <w:rPr>
          <w:rFonts w:asciiTheme="majorHAnsi" w:hAnsiTheme="majorHAnsi"/>
          <w:sz w:val="20"/>
          <w:szCs w:val="20"/>
          <w:lang w:val="es-ES"/>
        </w:rPr>
        <w:t xml:space="preserve"> </w:t>
      </w:r>
      <w:r w:rsidR="000E7180" w:rsidRPr="006D4BF1">
        <w:rPr>
          <w:rFonts w:asciiTheme="majorHAnsi" w:hAnsiTheme="majorHAnsi"/>
          <w:sz w:val="20"/>
          <w:szCs w:val="20"/>
          <w:lang w:val="es-ES"/>
        </w:rPr>
        <w:t>desapariciones</w:t>
      </w:r>
      <w:r w:rsidR="007E24EE" w:rsidRPr="006D4BF1">
        <w:rPr>
          <w:rFonts w:asciiTheme="majorHAnsi" w:hAnsiTheme="majorHAnsi"/>
          <w:sz w:val="20"/>
          <w:szCs w:val="20"/>
          <w:lang w:val="es-ES"/>
        </w:rPr>
        <w:t xml:space="preserve"> forzada</w:t>
      </w:r>
      <w:r w:rsidR="000E7180" w:rsidRPr="006D4BF1">
        <w:rPr>
          <w:rFonts w:asciiTheme="majorHAnsi" w:hAnsiTheme="majorHAnsi"/>
          <w:sz w:val="20"/>
          <w:szCs w:val="20"/>
          <w:lang w:val="es-ES"/>
        </w:rPr>
        <w:t>s-</w:t>
      </w:r>
      <w:r w:rsidRPr="006D4BF1">
        <w:rPr>
          <w:rFonts w:asciiTheme="majorHAnsi" w:hAnsiTheme="majorHAnsi"/>
          <w:sz w:val="20"/>
          <w:szCs w:val="20"/>
          <w:lang w:val="es-ES"/>
        </w:rPr>
        <w:t xml:space="preserve"> </w:t>
      </w:r>
      <w:r w:rsidR="007409FA" w:rsidRPr="006D4BF1">
        <w:rPr>
          <w:rFonts w:asciiTheme="majorHAnsi" w:hAnsiTheme="majorHAnsi"/>
          <w:sz w:val="20"/>
          <w:szCs w:val="20"/>
          <w:lang w:val="es-ES"/>
        </w:rPr>
        <w:t>presuntamente perpetrad</w:t>
      </w:r>
      <w:r w:rsidR="000E7180" w:rsidRPr="006D4BF1">
        <w:rPr>
          <w:rFonts w:asciiTheme="majorHAnsi" w:hAnsiTheme="majorHAnsi"/>
          <w:sz w:val="20"/>
          <w:szCs w:val="20"/>
          <w:lang w:val="es-ES"/>
        </w:rPr>
        <w:t>o</w:t>
      </w:r>
      <w:r w:rsidR="007409FA" w:rsidRPr="006D4BF1">
        <w:rPr>
          <w:rFonts w:asciiTheme="majorHAnsi" w:hAnsiTheme="majorHAnsi"/>
          <w:sz w:val="20"/>
          <w:szCs w:val="20"/>
          <w:lang w:val="es-ES"/>
        </w:rPr>
        <w:t xml:space="preserve">s por agentes del Estado </w:t>
      </w:r>
      <w:r w:rsidRPr="006D4BF1">
        <w:rPr>
          <w:rFonts w:asciiTheme="majorHAnsi" w:hAnsiTheme="majorHAnsi"/>
          <w:sz w:val="20"/>
          <w:szCs w:val="20"/>
          <w:lang w:val="es-ES"/>
        </w:rPr>
        <w:t xml:space="preserve">en el marco de una política estatal </w:t>
      </w:r>
      <w:r w:rsidR="007E24EE" w:rsidRPr="006D4BF1">
        <w:rPr>
          <w:rFonts w:asciiTheme="majorHAnsi" w:hAnsiTheme="majorHAnsi"/>
          <w:sz w:val="20"/>
          <w:szCs w:val="20"/>
          <w:lang w:val="es-ES"/>
        </w:rPr>
        <w:t>de represión</w:t>
      </w:r>
      <w:r w:rsidRPr="006D4BF1">
        <w:rPr>
          <w:rFonts w:asciiTheme="majorHAnsi" w:hAnsiTheme="majorHAnsi"/>
          <w:sz w:val="20"/>
          <w:szCs w:val="20"/>
          <w:lang w:val="es-ES"/>
        </w:rPr>
        <w:t xml:space="preserve"> </w:t>
      </w:r>
      <w:r w:rsidR="007E24EE" w:rsidRPr="006D4BF1">
        <w:rPr>
          <w:rFonts w:asciiTheme="majorHAnsi" w:hAnsiTheme="majorHAnsi"/>
          <w:sz w:val="20"/>
          <w:szCs w:val="20"/>
          <w:lang w:val="es-ES"/>
        </w:rPr>
        <w:t>en contra de los opositores al gobierno militar</w:t>
      </w:r>
      <w:r w:rsidR="000E7180" w:rsidRPr="006D4BF1">
        <w:rPr>
          <w:rFonts w:asciiTheme="majorHAnsi" w:hAnsiTheme="majorHAnsi"/>
          <w:sz w:val="20"/>
          <w:szCs w:val="20"/>
          <w:lang w:val="es-ES"/>
        </w:rPr>
        <w:t>,</w:t>
      </w:r>
      <w:r w:rsidR="007409FA" w:rsidRPr="006D4BF1">
        <w:rPr>
          <w:rFonts w:asciiTheme="majorHAnsi" w:hAnsiTheme="majorHAnsi"/>
          <w:sz w:val="20"/>
          <w:szCs w:val="20"/>
          <w:lang w:val="es-ES"/>
        </w:rPr>
        <w:t xml:space="preserve"> entre el 11 de octubre de 1968 y el 20 de diciembre de 1989</w:t>
      </w:r>
      <w:r w:rsidRPr="006D4BF1">
        <w:rPr>
          <w:rFonts w:asciiTheme="majorHAnsi" w:hAnsiTheme="majorHAnsi"/>
          <w:sz w:val="20"/>
          <w:szCs w:val="20"/>
          <w:lang w:val="es-ES"/>
        </w:rPr>
        <w:t xml:space="preserve">. Aducen que los responsables de estos crímenes no han sido identificados ni sancionados por los órganos nacionales de administración de justicia. Por su parte, el </w:t>
      </w:r>
      <w:r w:rsidR="00EC1540" w:rsidRPr="006D4BF1">
        <w:rPr>
          <w:rFonts w:asciiTheme="majorHAnsi" w:hAnsiTheme="majorHAnsi"/>
          <w:sz w:val="20"/>
          <w:szCs w:val="20"/>
          <w:lang w:val="es-MX"/>
        </w:rPr>
        <w:t>Estado expresa que habría realizado todas las diligencias para re</w:t>
      </w:r>
      <w:r w:rsidR="000E71E4" w:rsidRPr="006D4BF1">
        <w:rPr>
          <w:rFonts w:asciiTheme="majorHAnsi" w:hAnsiTheme="majorHAnsi"/>
          <w:sz w:val="20"/>
          <w:szCs w:val="20"/>
          <w:lang w:val="es-MX"/>
        </w:rPr>
        <w:t>alizar una investigación eficaz.</w:t>
      </w:r>
    </w:p>
    <w:p w:rsidR="000B5371" w:rsidRPr="007619C4" w:rsidRDefault="000B5371" w:rsidP="000B5371">
      <w:pPr>
        <w:rPr>
          <w:rFonts w:asciiTheme="majorHAnsi" w:hAnsiTheme="majorHAnsi"/>
          <w:sz w:val="20"/>
          <w:szCs w:val="20"/>
          <w:lang w:val="es-UY"/>
        </w:rPr>
      </w:pPr>
    </w:p>
    <w:p w:rsidR="000B5371" w:rsidRPr="006D4BF1" w:rsidRDefault="003B2DD4"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Y"/>
        </w:rPr>
      </w:pPr>
      <w:r w:rsidRPr="006D4BF1">
        <w:rPr>
          <w:rFonts w:asciiTheme="majorHAnsi" w:hAnsiTheme="majorHAnsi"/>
          <w:sz w:val="20"/>
          <w:szCs w:val="20"/>
          <w:lang w:val="es-ES"/>
        </w:rPr>
        <w:t xml:space="preserve">El contexto histórico en que se produjo la </w:t>
      </w:r>
      <w:r w:rsidR="001C7C04">
        <w:rPr>
          <w:rFonts w:asciiTheme="majorHAnsi" w:hAnsiTheme="majorHAnsi"/>
          <w:sz w:val="20"/>
          <w:szCs w:val="20"/>
          <w:lang w:val="es-ES"/>
        </w:rPr>
        <w:t xml:space="preserve">alegada </w:t>
      </w:r>
      <w:r w:rsidRPr="006D4BF1">
        <w:rPr>
          <w:rFonts w:asciiTheme="majorHAnsi" w:hAnsiTheme="majorHAnsi"/>
          <w:sz w:val="20"/>
          <w:szCs w:val="20"/>
          <w:lang w:val="es-ES"/>
        </w:rPr>
        <w:t xml:space="preserve">desaparición forzada </w:t>
      </w:r>
      <w:r w:rsidR="006F52CA" w:rsidRPr="006D4BF1">
        <w:rPr>
          <w:rFonts w:asciiTheme="majorHAnsi" w:hAnsiTheme="majorHAnsi"/>
          <w:sz w:val="20"/>
          <w:szCs w:val="20"/>
          <w:lang w:val="es-ES"/>
        </w:rPr>
        <w:t>o</w:t>
      </w:r>
      <w:r w:rsidRPr="006D4BF1">
        <w:rPr>
          <w:rFonts w:asciiTheme="majorHAnsi" w:hAnsiTheme="majorHAnsi"/>
          <w:sz w:val="20"/>
          <w:szCs w:val="20"/>
          <w:lang w:val="es-ES"/>
        </w:rPr>
        <w:t xml:space="preserve"> ejecución extrajudicial de las víctimas de la presente petición, así como la </w:t>
      </w:r>
      <w:r w:rsidR="001C7C04">
        <w:rPr>
          <w:rFonts w:asciiTheme="majorHAnsi" w:hAnsiTheme="majorHAnsi"/>
          <w:sz w:val="20"/>
          <w:szCs w:val="20"/>
          <w:lang w:val="es-ES"/>
        </w:rPr>
        <w:t xml:space="preserve">presunta </w:t>
      </w:r>
      <w:r w:rsidRPr="006D4BF1">
        <w:rPr>
          <w:rFonts w:asciiTheme="majorHAnsi" w:hAnsiTheme="majorHAnsi"/>
          <w:sz w:val="20"/>
          <w:szCs w:val="20"/>
          <w:lang w:val="es-ES"/>
        </w:rPr>
        <w:t>falta de debida diligencia en la investigación de los hechos, fueron descritos por la Comisión Interamericana en su Informe sobre la Situación de los Derechos Humanos en Panamá (1978)</w:t>
      </w:r>
      <w:r w:rsidRPr="006D4BF1">
        <w:rPr>
          <w:rStyle w:val="FootnoteReference"/>
          <w:rFonts w:asciiTheme="majorHAnsi" w:hAnsiTheme="majorHAnsi"/>
          <w:sz w:val="20"/>
          <w:szCs w:val="20"/>
          <w:lang w:val="es-ES"/>
        </w:rPr>
        <w:footnoteReference w:id="21"/>
      </w:r>
      <w:r w:rsidR="00751A86" w:rsidRPr="006D4BF1">
        <w:rPr>
          <w:rFonts w:asciiTheme="majorHAnsi" w:hAnsiTheme="majorHAnsi"/>
          <w:sz w:val="20"/>
          <w:szCs w:val="20"/>
          <w:lang w:val="es-ES"/>
        </w:rPr>
        <w:t>. Dicho contexto también fue descrito en el Informe de la Comisión de la Verdad de Panamá, publicado en 2002 por la Defensoría del Pueblo panameña</w:t>
      </w:r>
      <w:r w:rsidR="006F52CA" w:rsidRPr="006D4BF1">
        <w:rPr>
          <w:rFonts w:asciiTheme="majorHAnsi" w:hAnsiTheme="majorHAnsi"/>
          <w:sz w:val="20"/>
          <w:szCs w:val="20"/>
          <w:lang w:val="es-ES"/>
        </w:rPr>
        <w:t xml:space="preserve">. </w:t>
      </w:r>
      <w:r w:rsidR="00896D45">
        <w:rPr>
          <w:rFonts w:asciiTheme="majorHAnsi" w:hAnsiTheme="majorHAnsi"/>
          <w:sz w:val="20"/>
          <w:szCs w:val="20"/>
          <w:lang w:val="es-ES"/>
        </w:rPr>
        <w:t>Asimismo, e</w:t>
      </w:r>
      <w:r w:rsidR="006F52CA" w:rsidRPr="006D4BF1">
        <w:rPr>
          <w:rFonts w:asciiTheme="majorHAnsi" w:hAnsiTheme="majorHAnsi"/>
          <w:sz w:val="20"/>
          <w:szCs w:val="20"/>
          <w:lang w:val="es-ES"/>
        </w:rPr>
        <w:t xml:space="preserve">n el Caso de Heliodoro Portugal, la CIDH </w:t>
      </w:r>
      <w:r w:rsidR="00227950" w:rsidRPr="006D4BF1">
        <w:rPr>
          <w:rFonts w:asciiTheme="majorHAnsi" w:hAnsiTheme="majorHAnsi"/>
          <w:sz w:val="20"/>
          <w:szCs w:val="20"/>
          <w:lang w:val="es-ES"/>
        </w:rPr>
        <w:t>tom</w:t>
      </w:r>
      <w:r w:rsidR="006F52CA" w:rsidRPr="006D4BF1">
        <w:rPr>
          <w:rFonts w:asciiTheme="majorHAnsi" w:hAnsiTheme="majorHAnsi"/>
          <w:sz w:val="20"/>
          <w:szCs w:val="20"/>
          <w:lang w:val="es-ES"/>
        </w:rPr>
        <w:t>ó</w:t>
      </w:r>
      <w:r w:rsidR="00227950" w:rsidRPr="006D4BF1">
        <w:rPr>
          <w:rFonts w:asciiTheme="majorHAnsi" w:hAnsiTheme="majorHAnsi"/>
          <w:sz w:val="20"/>
          <w:szCs w:val="20"/>
          <w:lang w:val="es-ES"/>
        </w:rPr>
        <w:t xml:space="preserve"> nota de</w:t>
      </w:r>
      <w:r w:rsidR="006F52CA" w:rsidRPr="006D4BF1">
        <w:rPr>
          <w:rFonts w:asciiTheme="majorHAnsi" w:hAnsiTheme="majorHAnsi"/>
          <w:sz w:val="20"/>
          <w:szCs w:val="20"/>
          <w:lang w:val="es-ES"/>
        </w:rPr>
        <w:t xml:space="preserve"> que </w:t>
      </w:r>
      <w:r w:rsidR="00227950" w:rsidRPr="006D4BF1">
        <w:rPr>
          <w:rFonts w:asciiTheme="majorHAnsi" w:hAnsiTheme="majorHAnsi"/>
          <w:sz w:val="20"/>
          <w:szCs w:val="20"/>
          <w:lang w:val="es-ES"/>
        </w:rPr>
        <w:t xml:space="preserve">“las víctimas de la represión militar en su mayoría desaparecieron o fueron ejecutadas en situación de indefensión y clara desventaja frente a los perpetradores”. También </w:t>
      </w:r>
      <w:r w:rsidR="00A96C21">
        <w:rPr>
          <w:rFonts w:asciiTheme="majorHAnsi" w:hAnsiTheme="majorHAnsi"/>
          <w:sz w:val="20"/>
          <w:szCs w:val="20"/>
          <w:lang w:val="es-ES"/>
        </w:rPr>
        <w:t xml:space="preserve">se </w:t>
      </w:r>
      <w:r w:rsidR="00227950" w:rsidRPr="006D4BF1">
        <w:rPr>
          <w:rFonts w:asciiTheme="majorHAnsi" w:hAnsiTheme="majorHAnsi"/>
          <w:sz w:val="20"/>
          <w:szCs w:val="20"/>
          <w:lang w:val="es-ES"/>
        </w:rPr>
        <w:t>indica que el</w:t>
      </w:r>
      <w:r w:rsidR="006F52CA" w:rsidRPr="006D4BF1">
        <w:rPr>
          <w:rFonts w:asciiTheme="majorHAnsi" w:hAnsiTheme="majorHAnsi"/>
          <w:sz w:val="20"/>
          <w:szCs w:val="20"/>
          <w:lang w:val="es-ES"/>
        </w:rPr>
        <w:t xml:space="preserve"> informe </w:t>
      </w:r>
      <w:r w:rsidR="00227950" w:rsidRPr="006D4BF1">
        <w:rPr>
          <w:rFonts w:asciiTheme="majorHAnsi" w:hAnsiTheme="majorHAnsi"/>
          <w:sz w:val="20"/>
          <w:szCs w:val="20"/>
          <w:lang w:val="es-ES"/>
        </w:rPr>
        <w:t xml:space="preserve">final de la Comisión de la Verdad </w:t>
      </w:r>
      <w:r w:rsidR="006F52CA" w:rsidRPr="006D4BF1">
        <w:rPr>
          <w:rFonts w:asciiTheme="majorHAnsi" w:hAnsiTheme="majorHAnsi"/>
          <w:sz w:val="20"/>
          <w:szCs w:val="20"/>
          <w:lang w:val="es-ES"/>
        </w:rPr>
        <w:t>“</w:t>
      </w:r>
      <w:r w:rsidR="00751A86" w:rsidRPr="006D4BF1">
        <w:rPr>
          <w:rFonts w:asciiTheme="majorHAnsi" w:hAnsiTheme="majorHAnsi"/>
          <w:sz w:val="20"/>
          <w:szCs w:val="20"/>
          <w:lang w:val="es-ES"/>
        </w:rPr>
        <w:t>constituye un aporte al esclarecimiento de las graves violaciones a los derechos humanos ocurridas en Panamá durante las dictaduras militares que gobernaron el país entre 1968 y 1989. El método aplicado para la investigación de los hechos, la determinación de patrones de violaciones de derechos humanos, la identificación y cuantificación de las víctimas, la construcción de un mapa de violencia, entre otros, significó la recolección de datos y evidencias que permitirán a las víctimas y a la sociedad panameña, conocer lo que ocurrió, recuperar la memoria histórica y llegar a la verdad</w:t>
      </w:r>
      <w:r w:rsidR="006F52CA" w:rsidRPr="006D4BF1">
        <w:rPr>
          <w:rFonts w:asciiTheme="majorHAnsi" w:hAnsiTheme="majorHAnsi"/>
          <w:sz w:val="20"/>
          <w:szCs w:val="20"/>
          <w:lang w:val="es-ES"/>
        </w:rPr>
        <w:t>”</w:t>
      </w:r>
      <w:r w:rsidR="006F52CA" w:rsidRPr="006D4BF1">
        <w:rPr>
          <w:rStyle w:val="FootnoteReference"/>
          <w:rFonts w:asciiTheme="majorHAnsi" w:hAnsiTheme="majorHAnsi"/>
          <w:sz w:val="20"/>
          <w:szCs w:val="20"/>
          <w:lang w:val="es-ES"/>
        </w:rPr>
        <w:t xml:space="preserve"> </w:t>
      </w:r>
      <w:r w:rsidR="006F52CA" w:rsidRPr="006D4BF1">
        <w:rPr>
          <w:rStyle w:val="FootnoteReference"/>
          <w:rFonts w:asciiTheme="majorHAnsi" w:hAnsiTheme="majorHAnsi"/>
          <w:sz w:val="20"/>
          <w:szCs w:val="20"/>
          <w:lang w:val="es-ES"/>
        </w:rPr>
        <w:footnoteReference w:id="22"/>
      </w:r>
      <w:r w:rsidR="00751A86" w:rsidRPr="006D4BF1">
        <w:rPr>
          <w:rFonts w:asciiTheme="majorHAnsi" w:hAnsiTheme="majorHAnsi"/>
          <w:sz w:val="20"/>
          <w:szCs w:val="20"/>
          <w:lang w:val="es-ES"/>
        </w:rPr>
        <w:t>.</w:t>
      </w:r>
    </w:p>
    <w:p w:rsidR="00B82358" w:rsidRPr="006D4BF1" w:rsidRDefault="00B82358" w:rsidP="00B82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0E71E4" w:rsidRPr="006D4BF1" w:rsidRDefault="0002234C"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Y"/>
        </w:rPr>
      </w:pPr>
      <w:r w:rsidRPr="006D4BF1">
        <w:rPr>
          <w:rFonts w:asciiTheme="majorHAnsi" w:hAnsiTheme="majorHAnsi"/>
          <w:sz w:val="20"/>
          <w:szCs w:val="20"/>
          <w:lang w:val="es-AR"/>
        </w:rPr>
        <w:t>En vista de los elementos de hecho y de derecho presentados por las partes y la naturaleza del asunto puesto bajo su conocimiento, la CIDH considera que,</w:t>
      </w:r>
      <w:r w:rsidRPr="006D4BF1">
        <w:rPr>
          <w:rFonts w:asciiTheme="majorHAnsi" w:hAnsiTheme="majorHAnsi"/>
          <w:sz w:val="20"/>
          <w:szCs w:val="20"/>
          <w:lang w:val="es-ES"/>
        </w:rPr>
        <w:t xml:space="preserve"> en el presente caso corresponde establecer que las alegaciones de los peticionarios relativas a la falta de esclarecimiento judicia</w:t>
      </w:r>
      <w:r w:rsidR="004938DC" w:rsidRPr="006D4BF1">
        <w:rPr>
          <w:rFonts w:asciiTheme="majorHAnsi" w:hAnsiTheme="majorHAnsi"/>
          <w:sz w:val="20"/>
          <w:szCs w:val="20"/>
          <w:lang w:val="es-ES"/>
        </w:rPr>
        <w:t xml:space="preserve">l de los hechos que rodearon la </w:t>
      </w:r>
      <w:r w:rsidRPr="006D4BF1">
        <w:rPr>
          <w:rFonts w:asciiTheme="majorHAnsi" w:hAnsiTheme="majorHAnsi"/>
          <w:sz w:val="20"/>
          <w:szCs w:val="20"/>
          <w:lang w:val="es-ES"/>
        </w:rPr>
        <w:t>desaparición forzada y ejecución extrajudicial de 10</w:t>
      </w:r>
      <w:r w:rsidR="00563795" w:rsidRPr="006D4BF1">
        <w:rPr>
          <w:rFonts w:asciiTheme="majorHAnsi" w:hAnsiTheme="majorHAnsi"/>
          <w:sz w:val="20"/>
          <w:szCs w:val="20"/>
          <w:lang w:val="es-ES"/>
        </w:rPr>
        <w:t>6</w:t>
      </w:r>
      <w:r w:rsidRPr="006D4BF1">
        <w:rPr>
          <w:rFonts w:asciiTheme="majorHAnsi" w:hAnsiTheme="majorHAnsi"/>
          <w:sz w:val="20"/>
          <w:szCs w:val="20"/>
          <w:lang w:val="es-ES"/>
        </w:rPr>
        <w:t xml:space="preserve"> personas presuntamente por agentes del Estado, así como la alegada falta de debida diligencia del Estado en la investigación y sanción de los responsables, entre otros, podrían caracterizar posibles violaciones</w:t>
      </w:r>
      <w:r w:rsidR="001D1E0E" w:rsidRPr="006D4BF1">
        <w:rPr>
          <w:rFonts w:asciiTheme="majorHAnsi" w:hAnsiTheme="majorHAnsi"/>
          <w:sz w:val="20"/>
          <w:szCs w:val="20"/>
          <w:lang w:val="es-ES"/>
        </w:rPr>
        <w:t xml:space="preserve"> de los siguientes artículos: i) 3, 4, 5, 7, 8 y 25 de la Convención Americana, en relación con las obligaciones establecidas en los artículos 1.1 y 2 de dicho instrumento, en perjuicio de las 39 presuntas víctimas </w:t>
      </w:r>
      <w:r w:rsidR="007F6469">
        <w:rPr>
          <w:rFonts w:asciiTheme="majorHAnsi" w:hAnsiTheme="majorHAnsi"/>
          <w:sz w:val="20"/>
          <w:szCs w:val="20"/>
          <w:lang w:val="es-ES"/>
        </w:rPr>
        <w:t xml:space="preserve">presuntamente </w:t>
      </w:r>
      <w:r w:rsidR="001D1E0E" w:rsidRPr="006D4BF1">
        <w:rPr>
          <w:rFonts w:asciiTheme="majorHAnsi" w:hAnsiTheme="majorHAnsi"/>
          <w:sz w:val="20"/>
          <w:szCs w:val="20"/>
          <w:lang w:val="es-ES"/>
        </w:rPr>
        <w:t>desaparecidas</w:t>
      </w:r>
      <w:r w:rsidR="002264DF" w:rsidRPr="006D4BF1">
        <w:rPr>
          <w:rFonts w:asciiTheme="majorHAnsi" w:hAnsiTheme="majorHAnsi"/>
          <w:sz w:val="20"/>
          <w:szCs w:val="20"/>
          <w:lang w:val="es-ES"/>
        </w:rPr>
        <w:t xml:space="preserve">; ii) I, III y XI de la Convención Interamericana sobre Desaparición Forzada de Personas, en perjuicio de las 39 presuntas víctimas </w:t>
      </w:r>
      <w:r w:rsidR="007F6469">
        <w:rPr>
          <w:rFonts w:asciiTheme="majorHAnsi" w:hAnsiTheme="majorHAnsi"/>
          <w:sz w:val="20"/>
          <w:szCs w:val="20"/>
          <w:lang w:val="es-ES"/>
        </w:rPr>
        <w:t xml:space="preserve">presuntamente </w:t>
      </w:r>
      <w:r w:rsidR="002264DF" w:rsidRPr="006D4BF1">
        <w:rPr>
          <w:rFonts w:asciiTheme="majorHAnsi" w:hAnsiTheme="majorHAnsi"/>
          <w:sz w:val="20"/>
          <w:szCs w:val="20"/>
          <w:lang w:val="es-ES"/>
        </w:rPr>
        <w:t xml:space="preserve">desaparecidas; iii) </w:t>
      </w:r>
      <w:r w:rsidR="001D1E0E" w:rsidRPr="006D4BF1">
        <w:rPr>
          <w:rFonts w:asciiTheme="majorHAnsi" w:hAnsiTheme="majorHAnsi"/>
          <w:sz w:val="20"/>
          <w:szCs w:val="20"/>
          <w:lang w:val="es-ES"/>
        </w:rPr>
        <w:t xml:space="preserve">19 de la Convención </w:t>
      </w:r>
      <w:r w:rsidR="007619C4">
        <w:rPr>
          <w:rFonts w:asciiTheme="majorHAnsi" w:hAnsiTheme="majorHAnsi"/>
          <w:sz w:val="20"/>
          <w:szCs w:val="20"/>
          <w:lang w:val="es-ES"/>
        </w:rPr>
        <w:t xml:space="preserve">Americana </w:t>
      </w:r>
      <w:r w:rsidR="001D1E0E" w:rsidRPr="006D4BF1">
        <w:rPr>
          <w:rFonts w:asciiTheme="majorHAnsi" w:hAnsiTheme="majorHAnsi"/>
          <w:sz w:val="20"/>
          <w:szCs w:val="20"/>
          <w:lang w:val="es-ES"/>
        </w:rPr>
        <w:t xml:space="preserve">en perjuicio de los dos </w:t>
      </w:r>
      <w:r w:rsidR="00C95BB7" w:rsidRPr="006D4BF1">
        <w:rPr>
          <w:rFonts w:asciiTheme="majorHAnsi" w:hAnsiTheme="majorHAnsi"/>
          <w:sz w:val="20"/>
          <w:szCs w:val="20"/>
          <w:lang w:val="es-ES"/>
        </w:rPr>
        <w:t>menores de edad</w:t>
      </w:r>
      <w:r w:rsidR="001D1E0E" w:rsidRPr="006D4BF1">
        <w:rPr>
          <w:rFonts w:asciiTheme="majorHAnsi" w:hAnsiTheme="majorHAnsi"/>
          <w:sz w:val="20"/>
          <w:szCs w:val="20"/>
          <w:lang w:val="es-ES"/>
        </w:rPr>
        <w:t xml:space="preserve"> </w:t>
      </w:r>
      <w:r w:rsidR="001C7C04">
        <w:rPr>
          <w:rFonts w:asciiTheme="majorHAnsi" w:hAnsiTheme="majorHAnsi"/>
          <w:sz w:val="20"/>
          <w:szCs w:val="20"/>
          <w:lang w:val="es-ES"/>
        </w:rPr>
        <w:t xml:space="preserve">presuntamente </w:t>
      </w:r>
      <w:r w:rsidR="001D1E0E" w:rsidRPr="006D4BF1">
        <w:rPr>
          <w:rFonts w:asciiTheme="majorHAnsi" w:hAnsiTheme="majorHAnsi"/>
          <w:sz w:val="20"/>
          <w:szCs w:val="20"/>
          <w:lang w:val="es-ES"/>
        </w:rPr>
        <w:t>desaparecidos; i</w:t>
      </w:r>
      <w:r w:rsidR="002264DF" w:rsidRPr="006D4BF1">
        <w:rPr>
          <w:rFonts w:asciiTheme="majorHAnsi" w:hAnsiTheme="majorHAnsi"/>
          <w:sz w:val="20"/>
          <w:szCs w:val="20"/>
          <w:lang w:val="es-ES"/>
        </w:rPr>
        <w:t>v</w:t>
      </w:r>
      <w:r w:rsidR="001D1E0E" w:rsidRPr="006D4BF1">
        <w:rPr>
          <w:rFonts w:asciiTheme="majorHAnsi" w:hAnsiTheme="majorHAnsi"/>
          <w:sz w:val="20"/>
          <w:szCs w:val="20"/>
          <w:lang w:val="es-ES"/>
        </w:rPr>
        <w:t xml:space="preserve">) </w:t>
      </w:r>
      <w:r w:rsidR="004938DC" w:rsidRPr="006D4BF1">
        <w:rPr>
          <w:rFonts w:asciiTheme="majorHAnsi" w:hAnsiTheme="majorHAnsi"/>
          <w:sz w:val="20"/>
          <w:szCs w:val="20"/>
          <w:lang w:val="es-ES"/>
        </w:rPr>
        <w:t>I, XXV y XXVI de la Declaración Americana</w:t>
      </w:r>
      <w:r w:rsidR="00B05E8C" w:rsidRPr="006D4BF1">
        <w:rPr>
          <w:rFonts w:asciiTheme="majorHAnsi" w:hAnsiTheme="majorHAnsi"/>
          <w:sz w:val="20"/>
          <w:szCs w:val="20"/>
          <w:lang w:val="es-ES"/>
        </w:rPr>
        <w:t xml:space="preserve">, en perjuicio de </w:t>
      </w:r>
      <w:r w:rsidR="002264DF" w:rsidRPr="006D4BF1">
        <w:rPr>
          <w:rFonts w:asciiTheme="majorHAnsi" w:hAnsiTheme="majorHAnsi"/>
          <w:sz w:val="20"/>
          <w:szCs w:val="20"/>
          <w:lang w:val="es-ES"/>
        </w:rPr>
        <w:t xml:space="preserve">las </w:t>
      </w:r>
      <w:r w:rsidR="00B05E8C" w:rsidRPr="006D4BF1">
        <w:rPr>
          <w:rFonts w:asciiTheme="majorHAnsi" w:hAnsiTheme="majorHAnsi"/>
          <w:sz w:val="20"/>
          <w:szCs w:val="20"/>
          <w:lang w:val="es-ES"/>
        </w:rPr>
        <w:t xml:space="preserve">28 presuntas </w:t>
      </w:r>
      <w:r w:rsidR="00731480" w:rsidRPr="006D4BF1">
        <w:rPr>
          <w:rFonts w:asciiTheme="majorHAnsi" w:hAnsiTheme="majorHAnsi"/>
          <w:sz w:val="20"/>
          <w:szCs w:val="20"/>
          <w:lang w:val="es-ES"/>
        </w:rPr>
        <w:t>víctimas</w:t>
      </w:r>
      <w:r w:rsidR="00B05E8C" w:rsidRPr="006D4BF1">
        <w:rPr>
          <w:rFonts w:asciiTheme="majorHAnsi" w:hAnsiTheme="majorHAnsi"/>
          <w:sz w:val="20"/>
          <w:szCs w:val="20"/>
          <w:lang w:val="es-ES"/>
        </w:rPr>
        <w:t xml:space="preserve"> </w:t>
      </w:r>
      <w:r w:rsidR="007F6469">
        <w:rPr>
          <w:rFonts w:asciiTheme="majorHAnsi" w:hAnsiTheme="majorHAnsi"/>
          <w:sz w:val="20"/>
          <w:szCs w:val="20"/>
          <w:lang w:val="es-ES"/>
        </w:rPr>
        <w:t xml:space="preserve">presuntamente </w:t>
      </w:r>
      <w:r w:rsidR="00B05E8C" w:rsidRPr="006D4BF1">
        <w:rPr>
          <w:rFonts w:asciiTheme="majorHAnsi" w:hAnsiTheme="majorHAnsi"/>
          <w:sz w:val="20"/>
          <w:szCs w:val="20"/>
          <w:lang w:val="es-ES"/>
        </w:rPr>
        <w:t xml:space="preserve">ejecutadas antes de </w:t>
      </w:r>
      <w:r w:rsidR="002264DF" w:rsidRPr="006D4BF1">
        <w:rPr>
          <w:rFonts w:asciiTheme="majorHAnsi" w:hAnsiTheme="majorHAnsi"/>
          <w:sz w:val="20"/>
          <w:szCs w:val="20"/>
          <w:lang w:val="es-ES"/>
        </w:rPr>
        <w:t xml:space="preserve">junio de 1978; </w:t>
      </w:r>
      <w:r w:rsidR="00B05E8C" w:rsidRPr="006D4BF1">
        <w:rPr>
          <w:rFonts w:asciiTheme="majorHAnsi" w:hAnsiTheme="majorHAnsi"/>
          <w:sz w:val="20"/>
          <w:szCs w:val="20"/>
          <w:lang w:val="es-ES"/>
        </w:rPr>
        <w:t xml:space="preserve">v) </w:t>
      </w:r>
      <w:r w:rsidR="00731480" w:rsidRPr="006D4BF1">
        <w:rPr>
          <w:rFonts w:asciiTheme="majorHAnsi" w:hAnsiTheme="majorHAnsi"/>
          <w:sz w:val="20"/>
          <w:szCs w:val="20"/>
          <w:lang w:val="es-ES"/>
        </w:rPr>
        <w:t>4, 5,</w:t>
      </w:r>
      <w:r w:rsidR="00C469E0" w:rsidRPr="006D4BF1">
        <w:rPr>
          <w:rFonts w:asciiTheme="majorHAnsi" w:hAnsiTheme="majorHAnsi"/>
          <w:sz w:val="20"/>
          <w:szCs w:val="20"/>
          <w:lang w:val="es-ES"/>
        </w:rPr>
        <w:t xml:space="preserve"> 7,</w:t>
      </w:r>
      <w:r w:rsidR="00731480" w:rsidRPr="006D4BF1">
        <w:rPr>
          <w:rFonts w:asciiTheme="majorHAnsi" w:hAnsiTheme="majorHAnsi"/>
          <w:sz w:val="20"/>
          <w:szCs w:val="20"/>
          <w:lang w:val="es-ES"/>
        </w:rPr>
        <w:t xml:space="preserve"> 8 y 25 de la Convención en perjuicio de </w:t>
      </w:r>
      <w:r w:rsidR="002264DF" w:rsidRPr="006D4BF1">
        <w:rPr>
          <w:rFonts w:asciiTheme="majorHAnsi" w:hAnsiTheme="majorHAnsi"/>
          <w:sz w:val="20"/>
          <w:szCs w:val="20"/>
          <w:lang w:val="es-ES"/>
        </w:rPr>
        <w:t xml:space="preserve">las </w:t>
      </w:r>
      <w:r w:rsidR="00731480" w:rsidRPr="006D4BF1">
        <w:rPr>
          <w:rFonts w:asciiTheme="majorHAnsi" w:hAnsiTheme="majorHAnsi"/>
          <w:sz w:val="20"/>
          <w:szCs w:val="20"/>
          <w:lang w:val="es-ES"/>
        </w:rPr>
        <w:t xml:space="preserve">39 presuntas víctimas </w:t>
      </w:r>
      <w:r w:rsidR="007F6469">
        <w:rPr>
          <w:rFonts w:asciiTheme="majorHAnsi" w:hAnsiTheme="majorHAnsi"/>
          <w:sz w:val="20"/>
          <w:szCs w:val="20"/>
          <w:lang w:val="es-ES"/>
        </w:rPr>
        <w:t xml:space="preserve">presuntamente </w:t>
      </w:r>
      <w:r w:rsidR="00731480" w:rsidRPr="006D4BF1">
        <w:rPr>
          <w:rFonts w:asciiTheme="majorHAnsi" w:hAnsiTheme="majorHAnsi"/>
          <w:sz w:val="20"/>
          <w:szCs w:val="20"/>
          <w:lang w:val="es-ES"/>
        </w:rPr>
        <w:t xml:space="preserve">ejecutadas después de junio 1978; </w:t>
      </w:r>
      <w:r w:rsidR="002264DF" w:rsidRPr="006D4BF1">
        <w:rPr>
          <w:rFonts w:asciiTheme="majorHAnsi" w:hAnsiTheme="majorHAnsi"/>
          <w:sz w:val="20"/>
          <w:szCs w:val="20"/>
          <w:lang w:val="es-ES"/>
        </w:rPr>
        <w:t xml:space="preserve">y </w:t>
      </w:r>
      <w:r w:rsidR="00731480" w:rsidRPr="006D4BF1">
        <w:rPr>
          <w:rFonts w:asciiTheme="majorHAnsi" w:hAnsiTheme="majorHAnsi"/>
          <w:sz w:val="20"/>
          <w:szCs w:val="20"/>
          <w:lang w:val="es-ES"/>
        </w:rPr>
        <w:t>v</w:t>
      </w:r>
      <w:r w:rsidR="002264DF" w:rsidRPr="006D4BF1">
        <w:rPr>
          <w:rFonts w:asciiTheme="majorHAnsi" w:hAnsiTheme="majorHAnsi"/>
          <w:sz w:val="20"/>
          <w:szCs w:val="20"/>
          <w:lang w:val="es-ES"/>
        </w:rPr>
        <w:t>i</w:t>
      </w:r>
      <w:r w:rsidR="00731480" w:rsidRPr="006D4BF1">
        <w:rPr>
          <w:rFonts w:asciiTheme="majorHAnsi" w:hAnsiTheme="majorHAnsi"/>
          <w:sz w:val="20"/>
          <w:szCs w:val="20"/>
          <w:lang w:val="es-ES"/>
        </w:rPr>
        <w:t xml:space="preserve">) 19 de la Convención </w:t>
      </w:r>
      <w:r w:rsidR="007619C4">
        <w:rPr>
          <w:rFonts w:asciiTheme="majorHAnsi" w:hAnsiTheme="majorHAnsi"/>
          <w:sz w:val="20"/>
          <w:szCs w:val="20"/>
          <w:lang w:val="es-ES"/>
        </w:rPr>
        <w:t xml:space="preserve">Americana </w:t>
      </w:r>
      <w:r w:rsidR="00731480" w:rsidRPr="006D4BF1">
        <w:rPr>
          <w:rFonts w:asciiTheme="majorHAnsi" w:hAnsiTheme="majorHAnsi"/>
          <w:sz w:val="20"/>
          <w:szCs w:val="20"/>
          <w:lang w:val="es-ES"/>
        </w:rPr>
        <w:t xml:space="preserve">en perjuicio de la </w:t>
      </w:r>
      <w:r w:rsidR="00C95BB7" w:rsidRPr="006D4BF1">
        <w:rPr>
          <w:rFonts w:asciiTheme="majorHAnsi" w:hAnsiTheme="majorHAnsi"/>
          <w:sz w:val="20"/>
          <w:szCs w:val="20"/>
          <w:lang w:val="es-ES"/>
        </w:rPr>
        <w:t>menor</w:t>
      </w:r>
      <w:r w:rsidR="00731480" w:rsidRPr="006D4BF1">
        <w:rPr>
          <w:rFonts w:asciiTheme="majorHAnsi" w:hAnsiTheme="majorHAnsi"/>
          <w:sz w:val="20"/>
          <w:szCs w:val="20"/>
          <w:lang w:val="es-ES"/>
        </w:rPr>
        <w:t xml:space="preserve"> Marisol del Carmen Aguilar Cortes</w:t>
      </w:r>
      <w:r w:rsidR="001C7C04">
        <w:rPr>
          <w:rFonts w:asciiTheme="majorHAnsi" w:hAnsiTheme="majorHAnsi"/>
          <w:sz w:val="20"/>
          <w:szCs w:val="20"/>
          <w:lang w:val="es-ES"/>
        </w:rPr>
        <w:t>, presuntamente</w:t>
      </w:r>
      <w:r w:rsidR="00731480" w:rsidRPr="006D4BF1">
        <w:rPr>
          <w:rFonts w:asciiTheme="majorHAnsi" w:hAnsiTheme="majorHAnsi"/>
          <w:sz w:val="20"/>
          <w:szCs w:val="20"/>
          <w:lang w:val="es-ES"/>
        </w:rPr>
        <w:t xml:space="preserve"> ejecutada extrajudicialmente</w:t>
      </w:r>
      <w:r w:rsidR="002264DF" w:rsidRPr="006D4BF1">
        <w:rPr>
          <w:rFonts w:asciiTheme="majorHAnsi" w:hAnsiTheme="majorHAnsi"/>
          <w:sz w:val="20"/>
          <w:szCs w:val="20"/>
          <w:lang w:val="es-ES"/>
        </w:rPr>
        <w:t>.</w:t>
      </w:r>
    </w:p>
    <w:p w:rsidR="00B82358" w:rsidRPr="006D4BF1" w:rsidRDefault="00B82358" w:rsidP="00B82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3314DB" w:rsidRPr="003314DB" w:rsidRDefault="0002234C"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UY"/>
        </w:rPr>
      </w:pPr>
      <w:r w:rsidRPr="006D4BF1">
        <w:rPr>
          <w:rFonts w:asciiTheme="majorHAnsi" w:hAnsiTheme="majorHAnsi"/>
          <w:sz w:val="20"/>
          <w:szCs w:val="20"/>
          <w:lang w:val="es-ES"/>
        </w:rPr>
        <w:t xml:space="preserve">Asimismo, </w:t>
      </w:r>
      <w:r w:rsidR="000E7180" w:rsidRPr="006D4BF1">
        <w:rPr>
          <w:rFonts w:asciiTheme="majorHAnsi" w:eastAsia="Times New Roman" w:hAnsiTheme="majorHAnsi"/>
          <w:color w:val="auto"/>
          <w:sz w:val="20"/>
          <w:szCs w:val="20"/>
          <w:bdr w:val="none" w:sz="0" w:space="0" w:color="auto"/>
          <w:lang w:val="es-ES"/>
        </w:rPr>
        <w:t>c</w:t>
      </w:r>
      <w:r w:rsidR="000E71E4" w:rsidRPr="006D4BF1">
        <w:rPr>
          <w:rFonts w:asciiTheme="majorHAnsi" w:eastAsia="Times New Roman" w:hAnsiTheme="majorHAnsi"/>
          <w:color w:val="auto"/>
          <w:sz w:val="20"/>
          <w:szCs w:val="20"/>
          <w:bdr w:val="none" w:sz="0" w:space="0" w:color="auto"/>
          <w:lang w:val="es-ES"/>
        </w:rPr>
        <w:t>on respecto a la alegada ineficacia de los recursos sustanciados en el ámbito jurisdiccional interno, la presunta falta de investigación de los hechos denunciados y la ausente identificación y sanción de los responsables,</w:t>
      </w:r>
      <w:r w:rsidR="000E71E4" w:rsidRPr="006D4BF1">
        <w:rPr>
          <w:rFonts w:asciiTheme="majorHAnsi" w:eastAsia="Times New Roman" w:hAnsiTheme="majorHAnsi"/>
          <w:sz w:val="20"/>
          <w:szCs w:val="20"/>
          <w:bdr w:val="none" w:sz="0" w:space="0" w:color="auto"/>
          <w:lang w:val="es-ES"/>
        </w:rPr>
        <w:t xml:space="preserve"> </w:t>
      </w:r>
      <w:r w:rsidRPr="006D4BF1">
        <w:rPr>
          <w:rFonts w:asciiTheme="majorHAnsi" w:hAnsiTheme="majorHAnsi"/>
          <w:sz w:val="20"/>
          <w:szCs w:val="20"/>
          <w:lang w:val="es-ES"/>
        </w:rPr>
        <w:t>la Comisión con</w:t>
      </w:r>
      <w:r w:rsidR="000E71E4" w:rsidRPr="006D4BF1">
        <w:rPr>
          <w:rFonts w:asciiTheme="majorHAnsi" w:hAnsiTheme="majorHAnsi"/>
          <w:sz w:val="20"/>
          <w:szCs w:val="20"/>
          <w:lang w:val="es-ES"/>
        </w:rPr>
        <w:t xml:space="preserve">cluye que tienden a </w:t>
      </w:r>
      <w:r w:rsidRPr="006D4BF1">
        <w:rPr>
          <w:rFonts w:asciiTheme="majorHAnsi" w:hAnsiTheme="majorHAnsi"/>
          <w:sz w:val="20"/>
          <w:szCs w:val="20"/>
          <w:lang w:val="es-ES"/>
        </w:rPr>
        <w:t>caracterizar la violación de los derechos consagrados en los artículos 5, 8 y 25 de la Convención Americana en relación con las obligaciones establecidas en los artículo</w:t>
      </w:r>
      <w:r w:rsidR="000E71E4" w:rsidRPr="006D4BF1">
        <w:rPr>
          <w:rFonts w:asciiTheme="majorHAnsi" w:hAnsiTheme="majorHAnsi"/>
          <w:sz w:val="20"/>
          <w:szCs w:val="20"/>
          <w:lang w:val="es-ES"/>
        </w:rPr>
        <w:t>s 1.1 y 2 de dicho instrumento</w:t>
      </w:r>
      <w:r w:rsidR="00C469E0" w:rsidRPr="006D4BF1">
        <w:rPr>
          <w:rFonts w:asciiTheme="majorHAnsi" w:hAnsiTheme="majorHAnsi"/>
          <w:sz w:val="20"/>
          <w:szCs w:val="20"/>
          <w:lang w:val="es-ES"/>
        </w:rPr>
        <w:t xml:space="preserve"> </w:t>
      </w:r>
      <w:r w:rsidR="00C469E0" w:rsidRPr="006D4BF1">
        <w:rPr>
          <w:rFonts w:asciiTheme="majorHAnsi" w:hAnsiTheme="majorHAnsi"/>
          <w:sz w:val="20"/>
          <w:szCs w:val="20"/>
          <w:lang w:val="es-ES_tradnl"/>
        </w:rPr>
        <w:t>y el artículo XVIII de la Declaración Americana,</w:t>
      </w:r>
      <w:r w:rsidR="000E71E4" w:rsidRPr="006D4BF1">
        <w:rPr>
          <w:rFonts w:asciiTheme="majorHAnsi" w:hAnsiTheme="majorHAnsi"/>
          <w:sz w:val="20"/>
          <w:szCs w:val="20"/>
          <w:lang w:val="es-ES"/>
        </w:rPr>
        <w:t xml:space="preserve"> </w:t>
      </w:r>
      <w:r w:rsidRPr="006D4BF1">
        <w:rPr>
          <w:rFonts w:asciiTheme="majorHAnsi" w:hAnsiTheme="majorHAnsi"/>
          <w:sz w:val="20"/>
          <w:szCs w:val="20"/>
          <w:lang w:val="es-ES"/>
        </w:rPr>
        <w:t>en perjuicio de los familiares de</w:t>
      </w:r>
      <w:r w:rsidR="002264DF" w:rsidRPr="006D4BF1">
        <w:rPr>
          <w:rFonts w:asciiTheme="majorHAnsi" w:hAnsiTheme="majorHAnsi"/>
          <w:sz w:val="20"/>
          <w:szCs w:val="20"/>
          <w:lang w:val="es-ES"/>
        </w:rPr>
        <w:t xml:space="preserve"> todas</w:t>
      </w:r>
      <w:r w:rsidRPr="006D4BF1">
        <w:rPr>
          <w:rFonts w:asciiTheme="majorHAnsi" w:hAnsiTheme="majorHAnsi"/>
          <w:sz w:val="20"/>
          <w:szCs w:val="20"/>
          <w:lang w:val="es-ES"/>
        </w:rPr>
        <w:t xml:space="preserve"> las presuntas víctimas.</w:t>
      </w:r>
    </w:p>
    <w:p w:rsidR="003314DB" w:rsidRPr="003314DB" w:rsidRDefault="003314DB" w:rsidP="003314DB">
      <w:pPr>
        <w:pStyle w:val="ListParagraph"/>
        <w:jc w:val="both"/>
        <w:rPr>
          <w:bdr w:val="none" w:sz="0" w:space="0" w:color="auto"/>
          <w:lang w:val="es-ES"/>
        </w:rPr>
      </w:pPr>
    </w:p>
    <w:p w:rsidR="004F671F" w:rsidRPr="003314DB" w:rsidRDefault="005735A3" w:rsidP="003314DB">
      <w:pPr>
        <w:pStyle w:val="NoSpacing"/>
      </w:pPr>
      <w:r w:rsidRPr="003314DB">
        <w:rPr>
          <w:bdr w:val="none" w:sz="0" w:space="0" w:color="auto"/>
        </w:rPr>
        <w:t>CONCLUSIO</w:t>
      </w:r>
      <w:r w:rsidR="004F671F" w:rsidRPr="003314DB">
        <w:rPr>
          <w:bdr w:val="none" w:sz="0" w:space="0" w:color="auto"/>
        </w:rPr>
        <w:t>N</w:t>
      </w:r>
      <w:r w:rsidRPr="003314DB">
        <w:rPr>
          <w:bdr w:val="none" w:sz="0" w:space="0" w:color="auto"/>
        </w:rPr>
        <w:t>ES</w:t>
      </w:r>
    </w:p>
    <w:p w:rsidR="004F671F" w:rsidRPr="006D4BF1" w:rsidRDefault="00EC1540" w:rsidP="008F471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eastAsia="Arial Unicode MS" w:hAnsiTheme="majorHAnsi"/>
          <w:sz w:val="20"/>
          <w:szCs w:val="20"/>
          <w:lang w:val="es-AR"/>
        </w:rPr>
      </w:pPr>
      <w:r w:rsidRPr="006D4BF1">
        <w:rPr>
          <w:rFonts w:asciiTheme="majorHAnsi" w:hAnsiTheme="majorHAnsi"/>
          <w:sz w:val="20"/>
          <w:szCs w:val="20"/>
          <w:lang w:val="es-AR"/>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r w:rsidR="004F671F" w:rsidRPr="006D4BF1">
        <w:rPr>
          <w:rFonts w:asciiTheme="majorHAnsi" w:eastAsia="Times New Roman" w:hAnsiTheme="majorHAnsi"/>
          <w:b/>
          <w:bCs/>
          <w:caps/>
          <w:sz w:val="20"/>
          <w:szCs w:val="20"/>
          <w:bdr w:val="none" w:sz="0" w:space="0" w:color="auto"/>
          <w:lang w:val="es-ES"/>
        </w:rPr>
        <w:t> </w:t>
      </w:r>
    </w:p>
    <w:p w:rsidR="007C0DEF" w:rsidRDefault="004F671F" w:rsidP="007C0DE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20"/>
          <w:szCs w:val="20"/>
          <w:bdr w:val="none" w:sz="0" w:space="0" w:color="auto"/>
          <w:lang w:val="es-AR"/>
        </w:rPr>
      </w:pPr>
      <w:r w:rsidRPr="006D4BF1">
        <w:rPr>
          <w:rFonts w:asciiTheme="majorHAnsi" w:eastAsia="Times New Roman" w:hAnsiTheme="majorHAnsi"/>
          <w:b/>
          <w:bCs/>
          <w:caps/>
          <w:sz w:val="20"/>
          <w:szCs w:val="20"/>
          <w:bdr w:val="none" w:sz="0" w:space="0" w:color="auto"/>
          <w:lang w:val="es-ES"/>
        </w:rPr>
        <w:t>LA COMISIÓN INTERAMERICANA DE DERECHOS HUMANOS,</w:t>
      </w:r>
    </w:p>
    <w:p w:rsidR="004F671F" w:rsidRPr="006D4BF1" w:rsidRDefault="004F671F" w:rsidP="007C0DE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20"/>
          <w:szCs w:val="20"/>
          <w:bdr w:val="none" w:sz="0" w:space="0" w:color="auto"/>
          <w:lang w:val="es-AR"/>
        </w:rPr>
      </w:pPr>
      <w:r w:rsidRPr="006D4BF1">
        <w:rPr>
          <w:rFonts w:asciiTheme="majorHAnsi" w:eastAsia="Times New Roman" w:hAnsiTheme="majorHAnsi"/>
          <w:b/>
          <w:bCs/>
          <w:caps/>
          <w:sz w:val="20"/>
          <w:szCs w:val="20"/>
          <w:bdr w:val="none" w:sz="0" w:space="0" w:color="auto"/>
          <w:lang w:val="es-ES"/>
        </w:rPr>
        <w:t>DECIDE:</w:t>
      </w:r>
    </w:p>
    <w:p w:rsidR="004F671F" w:rsidRPr="006D4BF1" w:rsidRDefault="004F671F" w:rsidP="00B823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sz w:val="20"/>
          <w:szCs w:val="20"/>
          <w:bdr w:val="none" w:sz="0" w:space="0" w:color="auto"/>
          <w:lang w:val="es-ES"/>
        </w:rPr>
        <w:t> </w:t>
      </w:r>
    </w:p>
    <w:p w:rsidR="00ED6A4C" w:rsidRPr="006D4BF1" w:rsidRDefault="004F671F" w:rsidP="008F471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hAnsiTheme="majorHAnsi"/>
          <w:sz w:val="20"/>
          <w:szCs w:val="20"/>
          <w:lang w:val="es-UY"/>
        </w:rPr>
      </w:pPr>
      <w:r w:rsidRPr="006D4BF1">
        <w:rPr>
          <w:rFonts w:asciiTheme="majorHAnsi" w:eastAsia="Times New Roman" w:hAnsiTheme="majorHAnsi"/>
          <w:sz w:val="20"/>
          <w:szCs w:val="20"/>
          <w:bdr w:val="none" w:sz="0" w:space="0" w:color="auto"/>
          <w:lang w:val="es-ES"/>
        </w:rPr>
        <w:t xml:space="preserve">Declarar </w:t>
      </w:r>
      <w:r w:rsidR="00E366B2" w:rsidRPr="006D4BF1">
        <w:rPr>
          <w:rFonts w:asciiTheme="majorHAnsi" w:eastAsia="Times New Roman" w:hAnsiTheme="majorHAnsi"/>
          <w:sz w:val="20"/>
          <w:szCs w:val="20"/>
          <w:bdr w:val="none" w:sz="0" w:space="0" w:color="auto"/>
          <w:lang w:val="es-ES"/>
        </w:rPr>
        <w:t>admisible la presente petición en relación con los artículos</w:t>
      </w:r>
      <w:r w:rsidR="000B164A" w:rsidRPr="006D4BF1">
        <w:rPr>
          <w:rFonts w:asciiTheme="majorHAnsi" w:eastAsia="Times New Roman" w:hAnsiTheme="majorHAnsi"/>
          <w:sz w:val="20"/>
          <w:szCs w:val="20"/>
          <w:bdr w:val="none" w:sz="0" w:space="0" w:color="auto"/>
          <w:lang w:val="es-ES"/>
        </w:rPr>
        <w:t>:</w:t>
      </w:r>
      <w:r w:rsidR="00E366B2" w:rsidRPr="006D4BF1">
        <w:rPr>
          <w:rFonts w:asciiTheme="majorHAnsi" w:eastAsia="Times New Roman" w:hAnsiTheme="majorHAnsi"/>
          <w:sz w:val="20"/>
          <w:szCs w:val="20"/>
          <w:bdr w:val="none" w:sz="0" w:space="0" w:color="auto"/>
          <w:lang w:val="es-ES"/>
        </w:rPr>
        <w:t xml:space="preserve"> </w:t>
      </w:r>
      <w:r w:rsidR="000B164A" w:rsidRPr="006D4BF1">
        <w:rPr>
          <w:rFonts w:asciiTheme="majorHAnsi" w:hAnsiTheme="majorHAnsi"/>
          <w:sz w:val="20"/>
          <w:szCs w:val="20"/>
          <w:lang w:val="es-ES"/>
        </w:rPr>
        <w:t xml:space="preserve">i) 3, 4, 5, 7, 8 y 25 de la Convención Americana, en relación con las obligaciones establecidas en los artículos 1.1 y 2 de dicho instrumento, en perjuicio de las 39 presuntas víctimas </w:t>
      </w:r>
      <w:r w:rsidR="007F6469" w:rsidRPr="007F6469">
        <w:rPr>
          <w:rFonts w:asciiTheme="majorHAnsi" w:hAnsiTheme="majorHAnsi"/>
          <w:sz w:val="20"/>
          <w:szCs w:val="20"/>
          <w:lang w:val="es-ES"/>
        </w:rPr>
        <w:t xml:space="preserve">presuntamente </w:t>
      </w:r>
      <w:r w:rsidR="000B164A" w:rsidRPr="006D4BF1">
        <w:rPr>
          <w:rFonts w:asciiTheme="majorHAnsi" w:hAnsiTheme="majorHAnsi"/>
          <w:sz w:val="20"/>
          <w:szCs w:val="20"/>
          <w:lang w:val="es-ES"/>
        </w:rPr>
        <w:t>desaparecidas; ii) I, III y XI de la Convención Interamericana sobre Desaparición Forzada de Personas, en perjuicio de las 39 presuntas víctimas desaparecidas; iii) 19 de la Convención</w:t>
      </w:r>
      <w:r w:rsidR="007619C4">
        <w:rPr>
          <w:rFonts w:asciiTheme="majorHAnsi" w:hAnsiTheme="majorHAnsi"/>
          <w:sz w:val="20"/>
          <w:szCs w:val="20"/>
          <w:lang w:val="es-ES"/>
        </w:rPr>
        <w:t xml:space="preserve"> Americana</w:t>
      </w:r>
      <w:r w:rsidR="000B164A" w:rsidRPr="006D4BF1">
        <w:rPr>
          <w:rFonts w:asciiTheme="majorHAnsi" w:hAnsiTheme="majorHAnsi"/>
          <w:sz w:val="20"/>
          <w:szCs w:val="20"/>
          <w:lang w:val="es-ES"/>
        </w:rPr>
        <w:t xml:space="preserve"> en perjuicio de los dos </w:t>
      </w:r>
      <w:r w:rsidR="00C95BB7" w:rsidRPr="006D4BF1">
        <w:rPr>
          <w:rFonts w:asciiTheme="majorHAnsi" w:hAnsiTheme="majorHAnsi"/>
          <w:sz w:val="20"/>
          <w:szCs w:val="20"/>
          <w:lang w:val="es-ES"/>
        </w:rPr>
        <w:t>menores de edad</w:t>
      </w:r>
      <w:r w:rsidR="000B164A" w:rsidRPr="006D4BF1">
        <w:rPr>
          <w:rFonts w:asciiTheme="majorHAnsi" w:hAnsiTheme="majorHAnsi"/>
          <w:sz w:val="20"/>
          <w:szCs w:val="20"/>
          <w:lang w:val="es-ES"/>
        </w:rPr>
        <w:t xml:space="preserve"> </w:t>
      </w:r>
      <w:r w:rsidR="007F6469" w:rsidRPr="007F6469">
        <w:rPr>
          <w:rFonts w:asciiTheme="majorHAnsi" w:hAnsiTheme="majorHAnsi"/>
          <w:sz w:val="20"/>
          <w:szCs w:val="20"/>
          <w:lang w:val="es-ES"/>
        </w:rPr>
        <w:t xml:space="preserve">presuntamente </w:t>
      </w:r>
      <w:r w:rsidR="000B164A" w:rsidRPr="006D4BF1">
        <w:rPr>
          <w:rFonts w:asciiTheme="majorHAnsi" w:hAnsiTheme="majorHAnsi"/>
          <w:sz w:val="20"/>
          <w:szCs w:val="20"/>
          <w:lang w:val="es-ES"/>
        </w:rPr>
        <w:t xml:space="preserve">desaparecidos; iv) I, XXV y XXVI de la Declaración Americana, en perjuicio de las 28 presuntas víctimas </w:t>
      </w:r>
      <w:r w:rsidR="007F6469" w:rsidRPr="007F6469">
        <w:rPr>
          <w:rFonts w:asciiTheme="majorHAnsi" w:hAnsiTheme="majorHAnsi"/>
          <w:sz w:val="20"/>
          <w:szCs w:val="20"/>
          <w:lang w:val="es-ES"/>
        </w:rPr>
        <w:t xml:space="preserve">presuntamente </w:t>
      </w:r>
      <w:r w:rsidR="000B164A" w:rsidRPr="006D4BF1">
        <w:rPr>
          <w:rFonts w:asciiTheme="majorHAnsi" w:hAnsiTheme="majorHAnsi"/>
          <w:sz w:val="20"/>
          <w:szCs w:val="20"/>
          <w:lang w:val="es-ES"/>
        </w:rPr>
        <w:t xml:space="preserve">ejecutadas antes de junio de 1978; v) 4, 5, 7, 8 y 25 de la Convención en perjuicio de las 39 presuntas víctimas </w:t>
      </w:r>
      <w:r w:rsidR="007F6469" w:rsidRPr="007F6469">
        <w:rPr>
          <w:rFonts w:asciiTheme="majorHAnsi" w:hAnsiTheme="majorHAnsi"/>
          <w:sz w:val="20"/>
          <w:szCs w:val="20"/>
          <w:lang w:val="es-ES"/>
        </w:rPr>
        <w:t xml:space="preserve">presuntamente </w:t>
      </w:r>
      <w:r w:rsidR="000B164A" w:rsidRPr="006D4BF1">
        <w:rPr>
          <w:rFonts w:asciiTheme="majorHAnsi" w:hAnsiTheme="majorHAnsi"/>
          <w:sz w:val="20"/>
          <w:szCs w:val="20"/>
          <w:lang w:val="es-ES"/>
        </w:rPr>
        <w:t xml:space="preserve">ejecutadas después </w:t>
      </w:r>
      <w:r w:rsidR="00ED6A4C" w:rsidRPr="006D4BF1">
        <w:rPr>
          <w:rFonts w:asciiTheme="majorHAnsi" w:hAnsiTheme="majorHAnsi"/>
          <w:sz w:val="20"/>
          <w:szCs w:val="20"/>
          <w:lang w:val="es-ES"/>
        </w:rPr>
        <w:t>de junio 1978;</w:t>
      </w:r>
      <w:r w:rsidR="000B164A" w:rsidRPr="006D4BF1">
        <w:rPr>
          <w:rFonts w:asciiTheme="majorHAnsi" w:hAnsiTheme="majorHAnsi"/>
          <w:sz w:val="20"/>
          <w:szCs w:val="20"/>
          <w:lang w:val="es-ES"/>
        </w:rPr>
        <w:t xml:space="preserve"> vi) 19 de la Convención </w:t>
      </w:r>
      <w:r w:rsidR="007619C4">
        <w:rPr>
          <w:rFonts w:asciiTheme="majorHAnsi" w:hAnsiTheme="majorHAnsi"/>
          <w:sz w:val="20"/>
          <w:szCs w:val="20"/>
          <w:lang w:val="es-ES"/>
        </w:rPr>
        <w:t xml:space="preserve">Americana </w:t>
      </w:r>
      <w:r w:rsidR="000B164A" w:rsidRPr="006D4BF1">
        <w:rPr>
          <w:rFonts w:asciiTheme="majorHAnsi" w:hAnsiTheme="majorHAnsi"/>
          <w:sz w:val="20"/>
          <w:szCs w:val="20"/>
          <w:lang w:val="es-ES"/>
        </w:rPr>
        <w:t xml:space="preserve">en perjuicio de la </w:t>
      </w:r>
      <w:r w:rsidR="00C95BB7" w:rsidRPr="006D4BF1">
        <w:rPr>
          <w:rFonts w:asciiTheme="majorHAnsi" w:hAnsiTheme="majorHAnsi"/>
          <w:sz w:val="20"/>
          <w:szCs w:val="20"/>
          <w:lang w:val="es-ES"/>
        </w:rPr>
        <w:t>menor</w:t>
      </w:r>
      <w:r w:rsidR="000B164A" w:rsidRPr="006D4BF1">
        <w:rPr>
          <w:rFonts w:asciiTheme="majorHAnsi" w:hAnsiTheme="majorHAnsi"/>
          <w:sz w:val="20"/>
          <w:szCs w:val="20"/>
          <w:lang w:val="es-ES"/>
        </w:rPr>
        <w:t xml:space="preserve"> </w:t>
      </w:r>
      <w:r w:rsidR="007F6469" w:rsidRPr="007F6469">
        <w:rPr>
          <w:rFonts w:asciiTheme="majorHAnsi" w:hAnsiTheme="majorHAnsi"/>
          <w:sz w:val="20"/>
          <w:szCs w:val="20"/>
          <w:lang w:val="es-ES"/>
        </w:rPr>
        <w:t xml:space="preserve">presuntamente </w:t>
      </w:r>
      <w:r w:rsidR="000B164A" w:rsidRPr="006D4BF1">
        <w:rPr>
          <w:rFonts w:asciiTheme="majorHAnsi" w:hAnsiTheme="majorHAnsi"/>
          <w:sz w:val="20"/>
          <w:szCs w:val="20"/>
          <w:lang w:val="es-ES"/>
        </w:rPr>
        <w:t>ejecutada extrajudicialmente; vii) 5, 8 y 25 de la Convención Americana en relación con las obligaciones establecidas en los artículos 1.1 y 2 de dicho instrumento</w:t>
      </w:r>
      <w:r w:rsidR="0067410A">
        <w:rPr>
          <w:rFonts w:asciiTheme="majorHAnsi" w:hAnsiTheme="majorHAnsi"/>
          <w:sz w:val="20"/>
          <w:szCs w:val="20"/>
          <w:lang w:val="es-ES"/>
        </w:rPr>
        <w:t>;</w:t>
      </w:r>
      <w:r w:rsidR="000B164A" w:rsidRPr="006D4BF1">
        <w:rPr>
          <w:rFonts w:asciiTheme="majorHAnsi" w:hAnsiTheme="majorHAnsi"/>
          <w:sz w:val="20"/>
          <w:szCs w:val="20"/>
          <w:lang w:val="es-ES"/>
        </w:rPr>
        <w:t xml:space="preserve"> </w:t>
      </w:r>
      <w:r w:rsidR="000B164A" w:rsidRPr="006D4BF1">
        <w:rPr>
          <w:rFonts w:asciiTheme="majorHAnsi" w:hAnsiTheme="majorHAnsi"/>
          <w:sz w:val="20"/>
          <w:szCs w:val="20"/>
          <w:lang w:val="es-ES_tradnl"/>
        </w:rPr>
        <w:t>y</w:t>
      </w:r>
      <w:r w:rsidR="00FF1B94" w:rsidRPr="006D4BF1">
        <w:rPr>
          <w:rFonts w:asciiTheme="majorHAnsi" w:hAnsiTheme="majorHAnsi"/>
          <w:sz w:val="20"/>
          <w:szCs w:val="20"/>
          <w:lang w:val="es-ES_tradnl"/>
        </w:rPr>
        <w:t xml:space="preserve"> viii)</w:t>
      </w:r>
      <w:r w:rsidR="000B164A" w:rsidRPr="006D4BF1">
        <w:rPr>
          <w:rFonts w:asciiTheme="majorHAnsi" w:hAnsiTheme="majorHAnsi"/>
          <w:sz w:val="20"/>
          <w:szCs w:val="20"/>
          <w:lang w:val="es-ES_tradnl"/>
        </w:rPr>
        <w:t xml:space="preserve"> XVIII de la Declaración Americana,</w:t>
      </w:r>
      <w:r w:rsidR="000B164A" w:rsidRPr="006D4BF1">
        <w:rPr>
          <w:rFonts w:asciiTheme="majorHAnsi" w:hAnsiTheme="majorHAnsi"/>
          <w:sz w:val="20"/>
          <w:szCs w:val="20"/>
          <w:lang w:val="es-ES"/>
        </w:rPr>
        <w:t xml:space="preserve"> en perjuicio de los familiares de todas las</w:t>
      </w:r>
      <w:r w:rsidR="00ED6A4C" w:rsidRPr="006D4BF1">
        <w:rPr>
          <w:rFonts w:asciiTheme="majorHAnsi" w:hAnsiTheme="majorHAnsi"/>
          <w:sz w:val="20"/>
          <w:szCs w:val="20"/>
          <w:lang w:val="es-ES"/>
        </w:rPr>
        <w:t xml:space="preserve"> 106</w:t>
      </w:r>
      <w:r w:rsidR="000B164A" w:rsidRPr="006D4BF1">
        <w:rPr>
          <w:rFonts w:asciiTheme="majorHAnsi" w:hAnsiTheme="majorHAnsi"/>
          <w:sz w:val="20"/>
          <w:szCs w:val="20"/>
          <w:lang w:val="es-ES"/>
        </w:rPr>
        <w:t xml:space="preserve"> presuntas víctimas</w:t>
      </w:r>
      <w:r w:rsidR="00ED6A4C" w:rsidRPr="006D4BF1">
        <w:rPr>
          <w:rFonts w:asciiTheme="majorHAnsi" w:hAnsiTheme="majorHAnsi"/>
          <w:sz w:val="20"/>
          <w:szCs w:val="20"/>
          <w:lang w:val="es-ES"/>
        </w:rPr>
        <w:t>.</w:t>
      </w:r>
    </w:p>
    <w:p w:rsidR="00ED6A4C" w:rsidRPr="006D4BF1" w:rsidRDefault="00ED6A4C" w:rsidP="00ED6A4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UY"/>
        </w:rPr>
      </w:pPr>
    </w:p>
    <w:p w:rsidR="000B164A" w:rsidRPr="006D4BF1" w:rsidRDefault="000B164A" w:rsidP="008F471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hAnsiTheme="majorHAnsi"/>
          <w:sz w:val="20"/>
          <w:szCs w:val="20"/>
          <w:lang w:val="es-UY"/>
        </w:rPr>
      </w:pPr>
      <w:r w:rsidRPr="006D4BF1">
        <w:rPr>
          <w:rFonts w:asciiTheme="majorHAnsi" w:eastAsia="Times New Roman" w:hAnsiTheme="majorHAnsi"/>
          <w:sz w:val="20"/>
          <w:szCs w:val="20"/>
          <w:bdr w:val="none" w:sz="0" w:space="0" w:color="auto"/>
          <w:lang w:val="es-ES"/>
        </w:rPr>
        <w:t xml:space="preserve">Declarar inadmisible la presente petición en </w:t>
      </w:r>
      <w:r w:rsidR="00ED6A4C" w:rsidRPr="006D4BF1">
        <w:rPr>
          <w:rFonts w:asciiTheme="majorHAnsi" w:eastAsia="Times New Roman" w:hAnsiTheme="majorHAnsi"/>
          <w:sz w:val="20"/>
          <w:szCs w:val="20"/>
          <w:bdr w:val="none" w:sz="0" w:space="0" w:color="auto"/>
          <w:lang w:val="es-ES"/>
        </w:rPr>
        <w:t>lo que</w:t>
      </w:r>
      <w:r w:rsidRPr="006D4BF1">
        <w:rPr>
          <w:rFonts w:asciiTheme="majorHAnsi" w:eastAsia="Times New Roman" w:hAnsiTheme="majorHAnsi"/>
          <w:sz w:val="20"/>
          <w:szCs w:val="20"/>
          <w:bdr w:val="none" w:sz="0" w:space="0" w:color="auto"/>
          <w:lang w:val="es-ES"/>
        </w:rPr>
        <w:t xml:space="preserve"> se refiere a </w:t>
      </w:r>
      <w:r w:rsidR="00ED6A4C" w:rsidRPr="006D4BF1">
        <w:rPr>
          <w:rFonts w:asciiTheme="majorHAnsi" w:eastAsia="Times New Roman" w:hAnsiTheme="majorHAnsi"/>
          <w:sz w:val="20"/>
          <w:szCs w:val="20"/>
          <w:bdr w:val="none" w:sz="0" w:space="0" w:color="auto"/>
          <w:lang w:val="es-ES"/>
        </w:rPr>
        <w:t>Walter Sandiñas Iguini, Ernesto Castillo Cubilla y Hugo Spadafora Franco;</w:t>
      </w:r>
    </w:p>
    <w:p w:rsidR="00E366B2" w:rsidRPr="006D4BF1" w:rsidRDefault="00E366B2" w:rsidP="00B82358">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Times New Roman" w:hAnsiTheme="majorHAnsi"/>
          <w:sz w:val="20"/>
          <w:szCs w:val="20"/>
          <w:bdr w:val="none" w:sz="0" w:space="0" w:color="auto"/>
          <w:lang w:val="es-ES"/>
        </w:rPr>
      </w:pPr>
    </w:p>
    <w:p w:rsidR="00E366B2" w:rsidRPr="006D4BF1" w:rsidRDefault="00E366B2" w:rsidP="008F47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eastAsia="Times New Roman" w:hAnsiTheme="majorHAnsi"/>
          <w:sz w:val="20"/>
          <w:szCs w:val="20"/>
          <w:bdr w:val="none" w:sz="0" w:space="0" w:color="auto"/>
          <w:lang w:val="es-ES"/>
        </w:rPr>
      </w:pPr>
      <w:r w:rsidRPr="006D4BF1">
        <w:rPr>
          <w:rFonts w:asciiTheme="majorHAnsi" w:eastAsia="Times New Roman" w:hAnsiTheme="majorHAnsi"/>
          <w:sz w:val="20"/>
          <w:szCs w:val="20"/>
          <w:bdr w:val="none" w:sz="0" w:space="0" w:color="auto"/>
          <w:lang w:val="es-ES"/>
        </w:rPr>
        <w:t>Notificar a las partes la presente decisión;</w:t>
      </w:r>
    </w:p>
    <w:p w:rsidR="00E366B2" w:rsidRPr="006D4BF1" w:rsidRDefault="00E366B2" w:rsidP="00B82358">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Times New Roman" w:hAnsiTheme="majorHAnsi"/>
          <w:sz w:val="20"/>
          <w:szCs w:val="20"/>
          <w:bdr w:val="none" w:sz="0" w:space="0" w:color="auto"/>
          <w:lang w:val="es-ES"/>
        </w:rPr>
      </w:pPr>
    </w:p>
    <w:p w:rsidR="00E366B2" w:rsidRPr="006D4BF1" w:rsidRDefault="00E366B2" w:rsidP="008F471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eastAsia="Times New Roman" w:hAnsiTheme="majorHAnsi"/>
          <w:sz w:val="20"/>
          <w:szCs w:val="20"/>
          <w:bdr w:val="none" w:sz="0" w:space="0" w:color="auto"/>
          <w:lang w:val="es-ES"/>
        </w:rPr>
      </w:pPr>
      <w:r w:rsidRPr="006D4BF1">
        <w:rPr>
          <w:rFonts w:asciiTheme="majorHAnsi" w:eastAsia="Times New Roman" w:hAnsiTheme="majorHAnsi"/>
          <w:sz w:val="20"/>
          <w:szCs w:val="20"/>
          <w:bdr w:val="none" w:sz="0" w:space="0" w:color="auto"/>
          <w:lang w:val="es-ES"/>
        </w:rPr>
        <w:t>Continuar con el análisis del fondo de la cuestión; y</w:t>
      </w:r>
    </w:p>
    <w:p w:rsidR="00E366B2" w:rsidRPr="006D4BF1" w:rsidRDefault="00E366B2" w:rsidP="00B82358">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Times New Roman" w:hAnsiTheme="majorHAnsi"/>
          <w:sz w:val="20"/>
          <w:szCs w:val="20"/>
          <w:bdr w:val="none" w:sz="0" w:space="0" w:color="auto"/>
          <w:lang w:val="es-ES"/>
        </w:rPr>
      </w:pPr>
    </w:p>
    <w:p w:rsidR="00995235" w:rsidRPr="00034F0E" w:rsidRDefault="00E366B2" w:rsidP="0099523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ind w:left="0" w:firstLine="720"/>
        <w:jc w:val="both"/>
        <w:rPr>
          <w:rFonts w:asciiTheme="majorHAnsi" w:eastAsia="Times New Roman" w:hAnsiTheme="majorHAnsi"/>
          <w:sz w:val="20"/>
          <w:szCs w:val="20"/>
          <w:bdr w:val="none" w:sz="0" w:space="0" w:color="auto"/>
          <w:lang w:val="es-AR"/>
        </w:rPr>
      </w:pPr>
      <w:r w:rsidRPr="006D4BF1">
        <w:rPr>
          <w:rFonts w:asciiTheme="majorHAnsi" w:eastAsia="Times New Roman" w:hAnsiTheme="majorHAnsi"/>
          <w:sz w:val="20"/>
          <w:szCs w:val="20"/>
          <w:bdr w:val="none" w:sz="0" w:space="0" w:color="auto"/>
          <w:lang w:val="es-ES"/>
        </w:rPr>
        <w:lastRenderedPageBreak/>
        <w:t>Publicar esta decisión e incluirla en su Informe Anual a la Asamblea General de la Organización de los Estados Americanos.</w:t>
      </w:r>
    </w:p>
    <w:p w:rsidR="00034F0E" w:rsidRDefault="00034F0E" w:rsidP="00034F0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sz w:val="20"/>
          <w:szCs w:val="20"/>
          <w:bdr w:val="none" w:sz="0" w:space="0" w:color="auto"/>
          <w:lang w:val="es-AR"/>
        </w:rPr>
      </w:pPr>
    </w:p>
    <w:p w:rsidR="00B47D59" w:rsidRPr="00804A84" w:rsidRDefault="00B47D59" w:rsidP="00B47D59">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27</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octubre</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 xml:space="preserve">5. </w:t>
      </w:r>
      <w:r w:rsidRPr="00804A84">
        <w:rPr>
          <w:rFonts w:ascii="Cambria" w:hAnsi="Cambria" w:cs="Arial"/>
          <w:noProof/>
          <w:spacing w:val="-2"/>
          <w:sz w:val="20"/>
          <w:szCs w:val="20"/>
          <w:lang w:val="es-CL"/>
        </w:rPr>
        <w:t xml:space="preserve">(Firmado):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B47D59" w:rsidRPr="00804A84" w:rsidRDefault="00B47D59" w:rsidP="00B47D59">
      <w:pPr>
        <w:suppressAutoHyphens/>
        <w:ind w:firstLine="720"/>
        <w:jc w:val="both"/>
        <w:rPr>
          <w:rFonts w:ascii="Cambria" w:hAnsi="Cambria" w:cs="Arial"/>
          <w:noProof/>
          <w:spacing w:val="-2"/>
          <w:sz w:val="20"/>
          <w:szCs w:val="20"/>
          <w:lang w:val="es-CL"/>
        </w:rPr>
      </w:pPr>
    </w:p>
    <w:p w:rsidR="00B47D59" w:rsidRPr="00B47D59" w:rsidRDefault="00B47D59" w:rsidP="00E32D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CL"/>
        </w:rPr>
      </w:pPr>
    </w:p>
    <w:sectPr w:rsidR="00B47D59" w:rsidRPr="00B47D59" w:rsidSect="00E348E1">
      <w:type w:val="oddPage"/>
      <w:pgSz w:w="12240" w:h="15840"/>
      <w:pgMar w:top="1440" w:right="1440" w:bottom="135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E1A" w:rsidRDefault="00095E1A">
      <w:r>
        <w:separator/>
      </w:r>
    </w:p>
  </w:endnote>
  <w:endnote w:type="continuationSeparator" w:id="0">
    <w:p w:rsidR="00095E1A" w:rsidRDefault="0009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4F" w:rsidRDefault="008F19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1F09BB" w:rsidRPr="00934A2C" w:rsidRDefault="001F09B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F194F">
          <w:rPr>
            <w:noProof/>
            <w:sz w:val="16"/>
            <w:szCs w:val="22"/>
          </w:rPr>
          <w:t>1</w:t>
        </w:r>
        <w:r w:rsidRPr="00934A2C">
          <w:rPr>
            <w:noProof/>
            <w:sz w:val="16"/>
            <w:szCs w:val="22"/>
          </w:rPr>
          <w:fldChar w:fldCharType="end"/>
        </w:r>
      </w:p>
    </w:sdtContent>
  </w:sdt>
  <w:p w:rsidR="001F09BB" w:rsidRDefault="001F09BB">
    <w:pPr>
      <w:pStyle w:val="Footer"/>
    </w:pPr>
  </w:p>
  <w:p w:rsidR="001F09BB" w:rsidRDefault="001F09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BB" w:rsidRPr="00934A2C" w:rsidRDefault="001F09BB">
    <w:pPr>
      <w:pStyle w:val="Footer"/>
      <w:jc w:val="center"/>
      <w:rPr>
        <w:sz w:val="16"/>
        <w:szCs w:val="22"/>
      </w:rPr>
    </w:pPr>
  </w:p>
  <w:p w:rsidR="001F09BB" w:rsidRDefault="001F0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E1A" w:rsidRPr="000F35ED" w:rsidRDefault="00095E1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95E1A" w:rsidRPr="000F35ED" w:rsidRDefault="00095E1A" w:rsidP="000F35ED">
      <w:pPr>
        <w:rPr>
          <w:rFonts w:asciiTheme="majorHAnsi" w:hAnsiTheme="majorHAnsi"/>
          <w:sz w:val="16"/>
          <w:szCs w:val="16"/>
        </w:rPr>
      </w:pPr>
      <w:r w:rsidRPr="000F35ED">
        <w:rPr>
          <w:rFonts w:asciiTheme="majorHAnsi" w:hAnsiTheme="majorHAnsi"/>
          <w:sz w:val="16"/>
          <w:szCs w:val="16"/>
        </w:rPr>
        <w:separator/>
      </w:r>
    </w:p>
    <w:p w:rsidR="00095E1A" w:rsidRPr="000F35ED" w:rsidRDefault="00095E1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095E1A" w:rsidRPr="000F35ED" w:rsidRDefault="00095E1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1F09BB" w:rsidRPr="006D4BF1" w:rsidRDefault="001F09BB" w:rsidP="006D4BF1">
      <w:pPr>
        <w:pStyle w:val="FootnoteText"/>
        <w:spacing w:after="120"/>
        <w:ind w:firstLine="720"/>
        <w:jc w:val="both"/>
        <w:rPr>
          <w:lang w:val="es-ES"/>
        </w:rPr>
      </w:pPr>
      <w:r w:rsidRPr="006D4BF1">
        <w:rPr>
          <w:rStyle w:val="FootnoteReference"/>
          <w:sz w:val="16"/>
        </w:rPr>
        <w:footnoteRef/>
      </w:r>
      <w:r w:rsidRPr="006D4BF1">
        <w:rPr>
          <w:sz w:val="16"/>
          <w:lang w:val="es-ES"/>
        </w:rPr>
        <w:t xml:space="preserve"> Los peticionarios presentaron la denuncia en nombre de 111 presuntas víctimas. Dado que dos nombres están repetidos en el listado de víctimas, el total de presuntas víctimas es de 109 personas.</w:t>
      </w:r>
    </w:p>
  </w:footnote>
  <w:footnote w:id="3">
    <w:p w:rsidR="005A6012" w:rsidRPr="006D4BF1" w:rsidRDefault="005A6012" w:rsidP="006D4BF1">
      <w:pPr>
        <w:pStyle w:val="FootnoteText"/>
        <w:spacing w:after="120"/>
        <w:ind w:firstLine="720"/>
        <w:jc w:val="both"/>
        <w:rPr>
          <w:sz w:val="16"/>
          <w:szCs w:val="16"/>
          <w:lang w:val="es-ES"/>
        </w:rPr>
      </w:pPr>
      <w:r w:rsidRPr="006D4BF1">
        <w:rPr>
          <w:rStyle w:val="FootnoteReference"/>
          <w:sz w:val="16"/>
          <w:szCs w:val="16"/>
        </w:rPr>
        <w:footnoteRef/>
      </w:r>
      <w:r w:rsidRPr="006D4BF1">
        <w:rPr>
          <w:sz w:val="16"/>
          <w:szCs w:val="16"/>
          <w:lang w:val="es-ES"/>
        </w:rPr>
        <w:t xml:space="preserve"> En el lapso de tiempo entre 2006 y 2015, se abrió </w:t>
      </w:r>
      <w:r w:rsidR="003347F8" w:rsidRPr="006D4BF1">
        <w:rPr>
          <w:sz w:val="16"/>
          <w:szCs w:val="16"/>
          <w:lang w:val="es-ES"/>
        </w:rPr>
        <w:t>una Mesa de E</w:t>
      </w:r>
      <w:r w:rsidRPr="006D4BF1">
        <w:rPr>
          <w:sz w:val="16"/>
          <w:szCs w:val="16"/>
          <w:lang w:val="es-ES"/>
        </w:rPr>
        <w:t>ntendimiento entre el Estado y los peticionarios</w:t>
      </w:r>
      <w:r w:rsidR="009E4CF2">
        <w:rPr>
          <w:sz w:val="16"/>
          <w:szCs w:val="16"/>
          <w:lang w:val="es-ES"/>
        </w:rPr>
        <w:t xml:space="preserve"> con el fin de buscar un acuerdo de solución amistosa</w:t>
      </w:r>
      <w:r w:rsidRPr="006D4BF1">
        <w:rPr>
          <w:sz w:val="16"/>
          <w:szCs w:val="16"/>
          <w:lang w:val="es-ES"/>
        </w:rPr>
        <w:t>, que fue oficialmente reconocida en diciembre de 2011</w:t>
      </w:r>
      <w:r w:rsidR="003347F8" w:rsidRPr="006D4BF1">
        <w:rPr>
          <w:sz w:val="16"/>
          <w:szCs w:val="16"/>
          <w:lang w:val="es-ES"/>
        </w:rPr>
        <w:t>,</w:t>
      </w:r>
      <w:r w:rsidRPr="006D4BF1">
        <w:rPr>
          <w:sz w:val="16"/>
          <w:szCs w:val="16"/>
          <w:lang w:val="es-ES"/>
        </w:rPr>
        <w:t xml:space="preserve"> con decreto Ejecutivo N. 449. En su última comunicación, los peticionarios indican que durante los años transcurridos no ha habido ningún avance en la agenda acordada. </w:t>
      </w:r>
    </w:p>
  </w:footnote>
  <w:footnote w:id="4">
    <w:p w:rsidR="001F09BB" w:rsidRPr="006D4BF1" w:rsidRDefault="001F09BB" w:rsidP="006D4BF1">
      <w:pPr>
        <w:pStyle w:val="FootnoteText"/>
        <w:spacing w:after="120"/>
        <w:ind w:firstLine="720"/>
        <w:jc w:val="both"/>
        <w:rPr>
          <w:rFonts w:asciiTheme="minorHAnsi" w:hAnsiTheme="minorHAnsi"/>
          <w:sz w:val="16"/>
          <w:szCs w:val="16"/>
          <w:lang w:val="es-AR"/>
        </w:rPr>
      </w:pPr>
      <w:r w:rsidRPr="006D4BF1">
        <w:rPr>
          <w:rStyle w:val="FootnoteReference"/>
          <w:rFonts w:asciiTheme="minorHAnsi" w:hAnsiTheme="minorHAnsi"/>
          <w:sz w:val="16"/>
          <w:szCs w:val="16"/>
        </w:rPr>
        <w:footnoteRef/>
      </w:r>
      <w:r w:rsidR="004F5F12">
        <w:rPr>
          <w:rFonts w:asciiTheme="minorHAnsi" w:hAnsiTheme="minorHAnsi"/>
          <w:sz w:val="16"/>
          <w:szCs w:val="16"/>
          <w:lang w:val="es-ES"/>
        </w:rPr>
        <w:t xml:space="preserve"> Según la petición, e</w:t>
      </w:r>
      <w:r w:rsidRPr="006D4BF1">
        <w:rPr>
          <w:rFonts w:asciiTheme="minorHAnsi" w:hAnsiTheme="minorHAnsi"/>
          <w:sz w:val="16"/>
          <w:szCs w:val="16"/>
          <w:lang w:val="es-ES"/>
        </w:rPr>
        <w:t>l Frente Cívico se hallaba integrado por los seguidores del derrocado presidente panameño Arnulfo Arias, también conocidos como “arnulfistas”.</w:t>
      </w:r>
    </w:p>
  </w:footnote>
  <w:footnote w:id="5">
    <w:p w:rsidR="001F09BB" w:rsidRPr="006D4BF1" w:rsidRDefault="001F09BB" w:rsidP="006D4BF1">
      <w:pPr>
        <w:pStyle w:val="FootnoteText"/>
        <w:spacing w:after="120"/>
        <w:ind w:firstLine="720"/>
        <w:jc w:val="both"/>
        <w:rPr>
          <w:lang w:val="es-ES"/>
        </w:rPr>
      </w:pPr>
      <w:r w:rsidRPr="006D4BF1">
        <w:rPr>
          <w:rStyle w:val="FootnoteReference"/>
          <w:sz w:val="16"/>
        </w:rPr>
        <w:footnoteRef/>
      </w:r>
      <w:r w:rsidR="001B0408">
        <w:rPr>
          <w:sz w:val="16"/>
          <w:lang w:val="es-ES"/>
        </w:rPr>
        <w:t xml:space="preserve"> Según la petición, n</w:t>
      </w:r>
      <w:r w:rsidRPr="006D4BF1">
        <w:rPr>
          <w:sz w:val="16"/>
          <w:lang w:val="es-ES"/>
        </w:rPr>
        <w:t>o habría existido proceso judicial en relación con las presuntas víctimas: Javier Sánchez, desaparecido en 1969; Carlos Milar González Caballero, desaparecido en 1969; Marta Morán Jiménez, desaparecida en 1989; Leopoldo Rafael Allen Serracín, ejecutado en 1969; Walter Sandiñas Iguini, ejecutado en 1970; y Tomás Rojas Hinestroza, ejecutado en 1979.</w:t>
      </w:r>
    </w:p>
  </w:footnote>
  <w:footnote w:id="6">
    <w:p w:rsidR="001F09BB" w:rsidRPr="006D4BF1" w:rsidRDefault="001F09BB" w:rsidP="006D4BF1">
      <w:pPr>
        <w:pStyle w:val="FootnoteText"/>
        <w:spacing w:after="120"/>
        <w:ind w:firstLine="720"/>
        <w:jc w:val="both"/>
        <w:rPr>
          <w:sz w:val="16"/>
          <w:szCs w:val="16"/>
          <w:lang w:val="es-ES"/>
        </w:rPr>
      </w:pPr>
      <w:r w:rsidRPr="006D4BF1">
        <w:rPr>
          <w:rStyle w:val="FootnoteReference"/>
          <w:sz w:val="16"/>
          <w:szCs w:val="16"/>
        </w:rPr>
        <w:footnoteRef/>
      </w:r>
      <w:r w:rsidR="00C16D60">
        <w:rPr>
          <w:sz w:val="16"/>
          <w:szCs w:val="16"/>
          <w:lang w:val="es-ES"/>
        </w:rPr>
        <w:t xml:space="preserve"> </w:t>
      </w:r>
      <w:r w:rsidR="001B0408">
        <w:rPr>
          <w:sz w:val="16"/>
          <w:szCs w:val="16"/>
          <w:lang w:val="es-ES"/>
        </w:rPr>
        <w:t xml:space="preserve">Los peticionarios indican que </w:t>
      </w:r>
      <w:r w:rsidRPr="006D4BF1">
        <w:rPr>
          <w:bCs/>
          <w:sz w:val="16"/>
          <w:szCs w:val="16"/>
          <w:lang w:val="es-AR"/>
        </w:rPr>
        <w:t>9 presuntas víctimas fueron ejecutadas después de un intento golpista</w:t>
      </w:r>
      <w:r w:rsidRPr="006D4BF1">
        <w:rPr>
          <w:bCs/>
          <w:sz w:val="16"/>
          <w:szCs w:val="16"/>
          <w:lang w:val="es-ES"/>
        </w:rPr>
        <w:t xml:space="preserve"> para derrocar al general Noriega</w:t>
      </w:r>
      <w:r w:rsidRPr="006D4BF1">
        <w:rPr>
          <w:bCs/>
          <w:sz w:val="16"/>
          <w:szCs w:val="16"/>
          <w:lang w:val="es-AR"/>
        </w:rPr>
        <w:t xml:space="preserve">, el 3 de octubre de 1989, en la llamada Masacre de Albrook, por la que fueron condenados </w:t>
      </w:r>
      <w:r w:rsidRPr="006D4BF1">
        <w:rPr>
          <w:bCs/>
          <w:sz w:val="16"/>
          <w:szCs w:val="16"/>
          <w:lang w:val="es-ES"/>
        </w:rPr>
        <w:t>a 20 años de prisión Manuel Antonio Noriega y otros altos mandos militares, mediante sentencia de 4 de octubre de 1994</w:t>
      </w:r>
      <w:r w:rsidRPr="006D4BF1">
        <w:rPr>
          <w:bCs/>
          <w:sz w:val="16"/>
          <w:szCs w:val="16"/>
          <w:lang w:val="es-AR"/>
        </w:rPr>
        <w:t xml:space="preserve">. Los nombres de las presuntas victimas </w:t>
      </w:r>
      <w:r w:rsidRPr="006D4BF1">
        <w:rPr>
          <w:sz w:val="16"/>
          <w:szCs w:val="16"/>
          <w:lang w:val="es-ES"/>
        </w:rPr>
        <w:t>son: Moises Giroldi Vera (mayor), León Tejada Gonzalez (capitán), Juan José Arza Aguilera (capitán), Edgardo Estanislao Sandoval Alba (capitán), Eric Alberto Murillo Echevers (capitán), Jorge Bonilla Arboleda (teniente), Ismael Vicente Ortega Caballeros (subteniente), Francisco Concepción Espinoza (subteniente) y Deoclides Julio (sargento primero).</w:t>
      </w:r>
    </w:p>
  </w:footnote>
  <w:footnote w:id="7">
    <w:p w:rsidR="001F09BB" w:rsidRPr="006D4BF1" w:rsidRDefault="001F09BB" w:rsidP="006D4BF1">
      <w:pPr>
        <w:pStyle w:val="FootnoteText"/>
        <w:spacing w:after="120"/>
        <w:ind w:firstLine="720"/>
        <w:jc w:val="both"/>
        <w:rPr>
          <w:sz w:val="16"/>
          <w:szCs w:val="16"/>
          <w:lang w:val="es-ES"/>
        </w:rPr>
      </w:pPr>
      <w:r w:rsidRPr="006D4BF1">
        <w:rPr>
          <w:rStyle w:val="FootnoteReference"/>
          <w:sz w:val="16"/>
          <w:szCs w:val="16"/>
        </w:rPr>
        <w:footnoteRef/>
      </w:r>
      <w:r w:rsidRPr="006D4BF1">
        <w:rPr>
          <w:sz w:val="16"/>
          <w:szCs w:val="16"/>
          <w:lang w:val="es-ES"/>
        </w:rPr>
        <w:t xml:space="preserve"> </w:t>
      </w:r>
      <w:r w:rsidR="001B0408" w:rsidRPr="001B0408">
        <w:rPr>
          <w:sz w:val="16"/>
          <w:szCs w:val="16"/>
          <w:lang w:val="es-ES"/>
        </w:rPr>
        <w:t xml:space="preserve">Los peticionarios indican que </w:t>
      </w:r>
      <w:r w:rsidR="001B0408">
        <w:rPr>
          <w:sz w:val="16"/>
          <w:szCs w:val="16"/>
          <w:lang w:val="es-ES"/>
        </w:rPr>
        <w:t>l</w:t>
      </w:r>
      <w:r w:rsidRPr="006D4BF1">
        <w:rPr>
          <w:sz w:val="16"/>
          <w:szCs w:val="16"/>
          <w:lang w:val="es-ES"/>
        </w:rPr>
        <w:t>os 5 restantes casos que tuvieron sentencia de condena son: la ejecución de padre Nicolás Johannes Van Kleef Filcz, mediante sentencia de 1992 se condenó al imputado Olmedo Espinoza Espinoza a la pena de 16 años de prisión, la cual fue confirmada par la Corte Suprema de Justicia; la desaparición forzada de padre Jesús Héctor Gallego Herrera, en el año 1993 un jurado de conciencia condenó a 15 años de prisión a tres militares; la ejecución de Daniel Simoné Hernández, se dictó sentencia condenatoria en rebeldía en 1995; la ejecución de Hugo Spadafora Franco, sentencia condenatoria dictada por el Tribunal Superior del Tercer Distrito Judicial, Chiriquí; la ejecución de Yito Barrante Méndez, sentencia de condena en rebeldía del imputado.</w:t>
      </w:r>
    </w:p>
  </w:footnote>
  <w:footnote w:id="8">
    <w:p w:rsidR="001F09BB" w:rsidRPr="006D4BF1" w:rsidRDefault="001F09BB" w:rsidP="006D4BF1">
      <w:pPr>
        <w:pStyle w:val="FootnoteText"/>
        <w:spacing w:after="120"/>
        <w:ind w:firstLine="720"/>
        <w:jc w:val="both"/>
        <w:rPr>
          <w:lang w:val="es-ES"/>
        </w:rPr>
      </w:pPr>
      <w:r w:rsidRPr="006D4BF1">
        <w:rPr>
          <w:rStyle w:val="FootnoteReference"/>
          <w:sz w:val="16"/>
          <w:szCs w:val="16"/>
        </w:rPr>
        <w:footnoteRef/>
      </w:r>
      <w:r w:rsidRPr="006D4BF1">
        <w:rPr>
          <w:sz w:val="16"/>
          <w:szCs w:val="16"/>
          <w:lang w:val="es-ES"/>
        </w:rPr>
        <w:t xml:space="preserve"> El Informe del Estado indica un listado de 82 víctimas. Dado que dos nombres resultan repetidos, el total de los casos es de 80.</w:t>
      </w:r>
      <w:r w:rsidRPr="006D4BF1">
        <w:rPr>
          <w:sz w:val="16"/>
          <w:lang w:val="es-ES"/>
        </w:rPr>
        <w:t xml:space="preserve"> </w:t>
      </w:r>
    </w:p>
  </w:footnote>
  <w:footnote w:id="9">
    <w:p w:rsidR="001F09BB" w:rsidRPr="00F16207" w:rsidRDefault="001F09BB" w:rsidP="006D4BF1">
      <w:pPr>
        <w:spacing w:after="120"/>
        <w:ind w:firstLine="720"/>
        <w:jc w:val="both"/>
        <w:rPr>
          <w:rFonts w:asciiTheme="minorHAnsi" w:hAnsiTheme="minorHAnsi"/>
          <w:sz w:val="16"/>
          <w:szCs w:val="16"/>
          <w:lang w:val="es-ES"/>
        </w:rPr>
      </w:pPr>
      <w:r w:rsidRPr="006D4BF1">
        <w:rPr>
          <w:rStyle w:val="FootnoteReference"/>
          <w:rFonts w:asciiTheme="minorHAnsi" w:hAnsiTheme="minorHAnsi"/>
          <w:sz w:val="16"/>
          <w:szCs w:val="16"/>
        </w:rPr>
        <w:footnoteRef/>
      </w:r>
      <w:r w:rsidRPr="006D4BF1">
        <w:rPr>
          <w:rFonts w:asciiTheme="minorHAnsi" w:hAnsiTheme="minorHAnsi"/>
          <w:sz w:val="16"/>
          <w:szCs w:val="16"/>
          <w:lang w:val="es-ES_tradnl"/>
        </w:rPr>
        <w:t xml:space="preserve"> CIDH. Informe No. 109/99, Caso 10.951, </w:t>
      </w:r>
      <w:r w:rsidRPr="006D4BF1">
        <w:rPr>
          <w:rFonts w:asciiTheme="minorHAnsi" w:hAnsiTheme="minorHAnsi"/>
          <w:i/>
          <w:sz w:val="16"/>
          <w:szCs w:val="16"/>
          <w:lang w:val="es-ES_tradnl"/>
        </w:rPr>
        <w:t>Coard y otros</w:t>
      </w:r>
      <w:r w:rsidRPr="006D4BF1">
        <w:rPr>
          <w:rFonts w:asciiTheme="minorHAnsi" w:hAnsiTheme="minorHAnsi"/>
          <w:sz w:val="16"/>
          <w:szCs w:val="16"/>
          <w:lang w:val="es-ES_tradnl"/>
        </w:rPr>
        <w:t xml:space="preserve"> (Estados Unidos). 29 de septiembre de 1999, párr. 37; CIDH. Informe No. 14/94, Petición 10.951, </w:t>
      </w:r>
      <w:r w:rsidRPr="006D4BF1">
        <w:rPr>
          <w:rFonts w:asciiTheme="minorHAnsi" w:hAnsiTheme="minorHAnsi"/>
          <w:i/>
          <w:sz w:val="16"/>
          <w:szCs w:val="16"/>
          <w:lang w:val="es-ES_tradnl"/>
        </w:rPr>
        <w:t>Callistus Bernard y otros</w:t>
      </w:r>
      <w:r w:rsidR="00F16207">
        <w:rPr>
          <w:rFonts w:asciiTheme="minorHAnsi" w:hAnsiTheme="minorHAnsi"/>
          <w:sz w:val="16"/>
          <w:szCs w:val="16"/>
          <w:lang w:val="es-ES_tradnl"/>
        </w:rPr>
        <w:t xml:space="preserve"> (Estados Unidos),</w:t>
      </w:r>
      <w:r w:rsidRPr="006D4BF1">
        <w:rPr>
          <w:rFonts w:asciiTheme="minorHAnsi" w:hAnsiTheme="minorHAnsi"/>
          <w:sz w:val="16"/>
          <w:szCs w:val="16"/>
          <w:lang w:val="es-ES_tradnl"/>
        </w:rPr>
        <w:t xml:space="preserve"> 7 de febrero de 1994, párrs. 6 y 8; CIDH. Informe No. 31/93 caso 10.573, </w:t>
      </w:r>
      <w:r w:rsidRPr="006D4BF1">
        <w:rPr>
          <w:rFonts w:asciiTheme="minorHAnsi" w:hAnsiTheme="minorHAnsi"/>
          <w:i/>
          <w:sz w:val="16"/>
          <w:szCs w:val="16"/>
          <w:lang w:val="es-ES_tradnl"/>
        </w:rPr>
        <w:t>Salas</w:t>
      </w:r>
      <w:r w:rsidRPr="006D4BF1">
        <w:rPr>
          <w:rFonts w:asciiTheme="minorHAnsi" w:hAnsiTheme="minorHAnsi"/>
          <w:sz w:val="16"/>
          <w:szCs w:val="16"/>
          <w:lang w:val="es-ES_tradnl"/>
        </w:rPr>
        <w:t xml:space="preserve"> (Estados Unidos), 14 de octubre de 1993, párr. </w:t>
      </w:r>
      <w:r w:rsidR="00F16207" w:rsidRPr="003D7C1B">
        <w:rPr>
          <w:rFonts w:asciiTheme="minorHAnsi" w:hAnsiTheme="minorHAnsi"/>
          <w:sz w:val="16"/>
          <w:szCs w:val="16"/>
          <w:lang w:val="es-ES_tradnl"/>
        </w:rPr>
        <w:t xml:space="preserve">6; CIDH. </w:t>
      </w:r>
      <w:r w:rsidR="00F16207" w:rsidRPr="00F16207">
        <w:rPr>
          <w:rFonts w:asciiTheme="minorHAnsi" w:hAnsiTheme="minorHAnsi"/>
          <w:sz w:val="16"/>
          <w:szCs w:val="16"/>
          <w:lang w:val="es-ES"/>
        </w:rPr>
        <w:t xml:space="preserve">Informe No. 17/12, Petición 900-08, </w:t>
      </w:r>
      <w:r w:rsidR="00F16207" w:rsidRPr="00F16207">
        <w:rPr>
          <w:rFonts w:asciiTheme="minorHAnsi" w:hAnsiTheme="minorHAnsi"/>
          <w:i/>
          <w:sz w:val="16"/>
          <w:szCs w:val="16"/>
          <w:lang w:val="es-ES"/>
        </w:rPr>
        <w:t>Djamel Ameziane</w:t>
      </w:r>
      <w:r w:rsidR="00F16207" w:rsidRPr="00F16207">
        <w:rPr>
          <w:rFonts w:asciiTheme="minorHAnsi" w:hAnsiTheme="minorHAnsi"/>
          <w:sz w:val="16"/>
          <w:szCs w:val="16"/>
          <w:lang w:val="es-ES"/>
        </w:rPr>
        <w:t xml:space="preserve"> (</w:t>
      </w:r>
      <w:r w:rsidR="00F16207">
        <w:rPr>
          <w:rFonts w:asciiTheme="minorHAnsi" w:hAnsiTheme="minorHAnsi"/>
          <w:sz w:val="16"/>
          <w:szCs w:val="16"/>
          <w:lang w:val="es-ES"/>
        </w:rPr>
        <w:t>Estados Unidos</w:t>
      </w:r>
      <w:r w:rsidR="00F16207" w:rsidRPr="00F16207">
        <w:rPr>
          <w:rFonts w:asciiTheme="minorHAnsi" w:hAnsiTheme="minorHAnsi"/>
          <w:sz w:val="16"/>
          <w:szCs w:val="16"/>
          <w:lang w:val="es-ES"/>
        </w:rPr>
        <w:t>)</w:t>
      </w:r>
      <w:r w:rsidR="00F16207">
        <w:rPr>
          <w:rFonts w:asciiTheme="minorHAnsi" w:hAnsiTheme="minorHAnsi"/>
          <w:sz w:val="16"/>
          <w:szCs w:val="16"/>
          <w:lang w:val="es-ES"/>
        </w:rPr>
        <w:t>,</w:t>
      </w:r>
      <w:r w:rsidR="00F16207" w:rsidRPr="00F16207">
        <w:rPr>
          <w:rFonts w:asciiTheme="minorHAnsi" w:hAnsiTheme="minorHAnsi"/>
          <w:sz w:val="16"/>
          <w:szCs w:val="16"/>
          <w:lang w:val="es-ES"/>
        </w:rPr>
        <w:t xml:space="preserve"> 20 de marzo de 2012, párr. 30</w:t>
      </w:r>
      <w:r w:rsidR="00F16207">
        <w:rPr>
          <w:rFonts w:asciiTheme="minorHAnsi" w:hAnsiTheme="minorHAnsi"/>
          <w:sz w:val="16"/>
          <w:szCs w:val="16"/>
          <w:lang w:val="es-ES"/>
        </w:rPr>
        <w:t>.</w:t>
      </w:r>
    </w:p>
  </w:footnote>
  <w:footnote w:id="10">
    <w:p w:rsidR="001F09BB" w:rsidRPr="006D4BF1" w:rsidRDefault="001F09BB" w:rsidP="006D4BF1">
      <w:pPr>
        <w:pStyle w:val="FootnoteText"/>
        <w:spacing w:after="120"/>
        <w:ind w:firstLine="720"/>
        <w:jc w:val="both"/>
        <w:rPr>
          <w:rFonts w:ascii="Univers" w:hAnsi="Univers"/>
          <w:sz w:val="16"/>
          <w:szCs w:val="16"/>
          <w:lang w:val="es-ES_tradnl"/>
        </w:rPr>
      </w:pPr>
      <w:r w:rsidRPr="006D4BF1">
        <w:rPr>
          <w:rFonts w:asciiTheme="minorHAnsi" w:hAnsiTheme="minorHAnsi"/>
          <w:sz w:val="16"/>
          <w:szCs w:val="16"/>
          <w:vertAlign w:val="superscript"/>
          <w:lang w:val="es-ES_tradnl"/>
        </w:rPr>
        <w:footnoteRef/>
      </w:r>
      <w:r w:rsidRPr="006D4BF1">
        <w:rPr>
          <w:rFonts w:asciiTheme="minorHAnsi" w:hAnsiTheme="minorHAnsi"/>
          <w:sz w:val="16"/>
          <w:szCs w:val="16"/>
          <w:lang w:val="es-ES_tradnl"/>
        </w:rPr>
        <w:t xml:space="preserve"> CIDH. </w:t>
      </w:r>
      <w:r w:rsidRPr="006D4BF1">
        <w:rPr>
          <w:rFonts w:asciiTheme="minorHAnsi" w:hAnsiTheme="minorHAnsi"/>
          <w:bCs/>
          <w:sz w:val="16"/>
          <w:szCs w:val="16"/>
          <w:lang w:val="es-ES_tradnl"/>
        </w:rPr>
        <w:t>Informe No. 112/10,</w:t>
      </w:r>
      <w:r w:rsidRPr="006D4BF1">
        <w:rPr>
          <w:rFonts w:asciiTheme="minorHAnsi" w:hAnsiTheme="minorHAnsi"/>
          <w:b/>
          <w:bCs/>
          <w:sz w:val="16"/>
          <w:szCs w:val="16"/>
          <w:lang w:val="es-ES_tradnl"/>
        </w:rPr>
        <w:t xml:space="preserve"> </w:t>
      </w:r>
      <w:r w:rsidRPr="006D4BF1">
        <w:rPr>
          <w:rFonts w:asciiTheme="minorHAnsi" w:hAnsiTheme="minorHAnsi"/>
          <w:sz w:val="16"/>
          <w:szCs w:val="16"/>
          <w:lang w:val="es-ES_tradnl"/>
        </w:rPr>
        <w:t xml:space="preserve">Petición Interestatal Pi-02, </w:t>
      </w:r>
      <w:r w:rsidRPr="006D4BF1">
        <w:rPr>
          <w:rFonts w:asciiTheme="minorHAnsi" w:hAnsiTheme="minorHAnsi"/>
          <w:i/>
          <w:sz w:val="16"/>
          <w:szCs w:val="16"/>
          <w:lang w:val="es-ES_tradnl"/>
        </w:rPr>
        <w:t>Franklin Guillermo Aisalla Molina</w:t>
      </w:r>
      <w:r w:rsidRPr="006D4BF1">
        <w:rPr>
          <w:rFonts w:asciiTheme="minorHAnsi" w:hAnsiTheme="minorHAnsi"/>
          <w:sz w:val="16"/>
          <w:szCs w:val="16"/>
          <w:lang w:val="es-ES_tradnl"/>
        </w:rPr>
        <w:t xml:space="preserve"> (Ecuador – Colombia). 21 de octubre de 2010, párr. 98.</w:t>
      </w:r>
    </w:p>
  </w:footnote>
  <w:footnote w:id="11">
    <w:p w:rsidR="001F09BB" w:rsidRPr="006D4BF1" w:rsidRDefault="001F09BB" w:rsidP="006D4BF1">
      <w:pPr>
        <w:pStyle w:val="FootnoteText"/>
        <w:spacing w:after="120"/>
        <w:ind w:firstLine="720"/>
        <w:jc w:val="both"/>
        <w:rPr>
          <w:rFonts w:asciiTheme="minorHAnsi" w:hAnsiTheme="minorHAnsi"/>
          <w:sz w:val="16"/>
          <w:szCs w:val="16"/>
          <w:lang w:val="es-AR"/>
        </w:rPr>
      </w:pPr>
      <w:r w:rsidRPr="006D4BF1">
        <w:rPr>
          <w:rStyle w:val="FootnoteReference"/>
          <w:rFonts w:asciiTheme="minorHAnsi" w:hAnsiTheme="minorHAnsi"/>
          <w:sz w:val="16"/>
          <w:szCs w:val="16"/>
        </w:rPr>
        <w:footnoteRef/>
      </w:r>
      <w:r w:rsidRPr="006D4BF1">
        <w:rPr>
          <w:rFonts w:asciiTheme="minorHAnsi" w:hAnsiTheme="minorHAnsi"/>
          <w:sz w:val="16"/>
          <w:szCs w:val="16"/>
          <w:lang w:val="es-ES"/>
        </w:rPr>
        <w:t xml:space="preserve"> </w:t>
      </w:r>
      <w:r w:rsidRPr="006D4BF1">
        <w:rPr>
          <w:rFonts w:asciiTheme="minorHAnsi" w:hAnsiTheme="minorHAnsi"/>
          <w:sz w:val="16"/>
          <w:szCs w:val="16"/>
          <w:lang w:val="es-US"/>
        </w:rPr>
        <w:t xml:space="preserve">Ver: CIDH, Informe No. 65/09, Petición 616-06, Admisibilidad, Juan Carlos Flores Bedregal, Bolivia, 4 de agosto de 2009, párr.45; e Informe No. </w:t>
      </w:r>
      <w:r w:rsidRPr="006D4BF1">
        <w:rPr>
          <w:rFonts w:asciiTheme="minorHAnsi" w:hAnsiTheme="minorHAnsi"/>
          <w:sz w:val="16"/>
          <w:szCs w:val="16"/>
          <w:lang w:val="es-ES"/>
        </w:rPr>
        <w:t>34/06, Petición 875-03, Rita Irene Wald Jaramillo y otros</w:t>
      </w:r>
      <w:r w:rsidRPr="006D4BF1">
        <w:rPr>
          <w:rFonts w:asciiTheme="minorHAnsi" w:hAnsiTheme="minorHAnsi"/>
          <w:i/>
          <w:sz w:val="16"/>
          <w:szCs w:val="16"/>
          <w:lang w:val="es-ES"/>
        </w:rPr>
        <w:t>,</w:t>
      </w:r>
      <w:r w:rsidRPr="006D4BF1">
        <w:rPr>
          <w:rFonts w:asciiTheme="minorHAnsi" w:hAnsiTheme="minorHAnsi"/>
          <w:sz w:val="16"/>
          <w:szCs w:val="16"/>
          <w:lang w:val="es-ES"/>
        </w:rPr>
        <w:t xml:space="preserve"> Panamá, 14 de marzo de 2006, párrafo 22.</w:t>
      </w:r>
      <w:r w:rsidRPr="006D4BF1">
        <w:rPr>
          <w:rFonts w:asciiTheme="minorHAnsi" w:hAnsiTheme="minorHAnsi"/>
          <w:sz w:val="16"/>
          <w:szCs w:val="16"/>
          <w:lang w:val="es-CO"/>
        </w:rPr>
        <w:t xml:space="preserve"> </w:t>
      </w:r>
    </w:p>
  </w:footnote>
  <w:footnote w:id="12">
    <w:p w:rsidR="001F09BB" w:rsidRPr="006D4BF1" w:rsidRDefault="001F09BB" w:rsidP="006D4BF1">
      <w:pPr>
        <w:pStyle w:val="FootnoteText"/>
        <w:spacing w:after="120"/>
        <w:ind w:firstLine="720"/>
        <w:jc w:val="both"/>
        <w:rPr>
          <w:rFonts w:asciiTheme="minorHAnsi" w:hAnsiTheme="minorHAnsi"/>
          <w:sz w:val="16"/>
          <w:lang w:val="es-AR"/>
        </w:rPr>
      </w:pPr>
      <w:r w:rsidRPr="006D4BF1">
        <w:rPr>
          <w:rStyle w:val="FootnoteReference"/>
          <w:rFonts w:asciiTheme="minorHAnsi" w:hAnsiTheme="minorHAnsi"/>
          <w:sz w:val="16"/>
          <w:szCs w:val="16"/>
        </w:rPr>
        <w:footnoteRef/>
      </w:r>
      <w:r w:rsidRPr="006D4BF1">
        <w:rPr>
          <w:rFonts w:asciiTheme="minorHAnsi" w:hAnsiTheme="minorHAnsi"/>
          <w:sz w:val="16"/>
          <w:szCs w:val="16"/>
          <w:lang w:val="es-ES"/>
        </w:rPr>
        <w:t xml:space="preserve"> Al momento de los hechos, Panamá era parte de la Carta de la OEA, y, consecuentemente, tenía la obligación de respetar los derechos amparados por la Declaración Americana.</w:t>
      </w:r>
    </w:p>
  </w:footnote>
  <w:footnote w:id="13">
    <w:p w:rsidR="003C6D97" w:rsidRPr="006D4BF1" w:rsidRDefault="003C6D97" w:rsidP="003C6D97">
      <w:pPr>
        <w:pStyle w:val="FootnoteText"/>
        <w:spacing w:after="120"/>
        <w:ind w:firstLine="720"/>
        <w:jc w:val="both"/>
        <w:rPr>
          <w:rFonts w:asciiTheme="minorHAnsi" w:hAnsiTheme="minorHAnsi"/>
          <w:color w:val="auto"/>
          <w:sz w:val="16"/>
          <w:szCs w:val="16"/>
          <w:lang w:val="es-MX"/>
        </w:rPr>
      </w:pPr>
      <w:r w:rsidRPr="006D4BF1">
        <w:rPr>
          <w:rFonts w:asciiTheme="minorHAnsi" w:hAnsiTheme="minorHAnsi"/>
          <w:color w:val="auto"/>
          <w:sz w:val="16"/>
          <w:szCs w:val="16"/>
          <w:vertAlign w:val="superscript"/>
          <w:lang w:val="es-ES"/>
        </w:rPr>
        <w:footnoteRef/>
      </w:r>
      <w:r w:rsidRPr="006D4BF1">
        <w:rPr>
          <w:rFonts w:asciiTheme="minorHAnsi" w:hAnsiTheme="minorHAnsi"/>
          <w:color w:val="auto"/>
          <w:sz w:val="16"/>
          <w:szCs w:val="16"/>
          <w:lang w:val="es-MX"/>
        </w:rPr>
        <w:t xml:space="preserve"> CIDH, Informe 56/14, P. 886-04, </w:t>
      </w:r>
      <w:r w:rsidRPr="006D4BF1">
        <w:rPr>
          <w:rFonts w:asciiTheme="minorHAnsi" w:hAnsiTheme="minorHAnsi"/>
          <w:i/>
          <w:color w:val="auto"/>
          <w:sz w:val="16"/>
          <w:szCs w:val="16"/>
          <w:lang w:val="es-MX"/>
        </w:rPr>
        <w:t>Ronal Jared Martínez y Familia y Marlón Fabricio Hernández Fúnez</w:t>
      </w:r>
      <w:r w:rsidRPr="006D4BF1">
        <w:rPr>
          <w:rFonts w:asciiTheme="minorHAnsi" w:hAnsiTheme="minorHAnsi"/>
          <w:color w:val="auto"/>
          <w:sz w:val="16"/>
          <w:szCs w:val="16"/>
          <w:lang w:val="es-MX"/>
        </w:rPr>
        <w:t xml:space="preserve">, Honduras, 21 de julio de 2014, párr. 20; CIDH, Informe No. 51/10, P. 1166-05, Admisibilidad, </w:t>
      </w:r>
      <w:r w:rsidRPr="006D4BF1">
        <w:rPr>
          <w:rFonts w:asciiTheme="minorHAnsi" w:hAnsiTheme="minorHAnsi"/>
          <w:i/>
          <w:color w:val="auto"/>
          <w:sz w:val="16"/>
          <w:szCs w:val="16"/>
          <w:lang w:val="es-MX"/>
        </w:rPr>
        <w:t>Masacres del Tibú</w:t>
      </w:r>
      <w:r w:rsidRPr="006D4BF1">
        <w:rPr>
          <w:rFonts w:asciiTheme="minorHAnsi" w:hAnsiTheme="minorHAnsi"/>
          <w:color w:val="auto"/>
          <w:sz w:val="16"/>
          <w:szCs w:val="16"/>
          <w:lang w:val="es-MX"/>
        </w:rPr>
        <w:t xml:space="preserve">, Colombia, 18 de marzo de 2010, párr. </w:t>
      </w:r>
      <w:r w:rsidRPr="006D4BF1">
        <w:rPr>
          <w:rFonts w:asciiTheme="minorHAnsi" w:hAnsiTheme="minorHAnsi"/>
          <w:color w:val="auto"/>
          <w:sz w:val="16"/>
          <w:szCs w:val="16"/>
          <w:lang w:val="pt-BR"/>
        </w:rPr>
        <w:t>110; CIDH.</w:t>
      </w:r>
      <w:r w:rsidRPr="006D4BF1">
        <w:rPr>
          <w:rFonts w:asciiTheme="minorHAnsi" w:hAnsiTheme="minorHAnsi"/>
          <w:i/>
          <w:color w:val="auto"/>
          <w:sz w:val="16"/>
          <w:szCs w:val="16"/>
          <w:lang w:val="pt-BR"/>
        </w:rPr>
        <w:t xml:space="preserve"> </w:t>
      </w:r>
      <w:r w:rsidRPr="006D4BF1">
        <w:rPr>
          <w:rFonts w:asciiTheme="minorHAnsi" w:hAnsiTheme="minorHAnsi"/>
          <w:color w:val="auto"/>
          <w:sz w:val="16"/>
          <w:szCs w:val="16"/>
          <w:lang w:val="pt-BR"/>
        </w:rPr>
        <w:t>Informe No. 52/97, Caso 11.218</w:t>
      </w:r>
      <w:r w:rsidRPr="006D4BF1">
        <w:rPr>
          <w:rFonts w:asciiTheme="minorHAnsi" w:hAnsiTheme="minorHAnsi"/>
          <w:i/>
          <w:color w:val="auto"/>
          <w:sz w:val="16"/>
          <w:szCs w:val="16"/>
          <w:lang w:val="pt-BR"/>
        </w:rPr>
        <w:t xml:space="preserve">, Arges Sequeira Mangas </w:t>
      </w:r>
      <w:r w:rsidRPr="006D4BF1">
        <w:rPr>
          <w:rFonts w:asciiTheme="minorHAnsi" w:hAnsiTheme="minorHAnsi"/>
          <w:color w:val="auto"/>
          <w:sz w:val="16"/>
          <w:szCs w:val="16"/>
          <w:lang w:val="pt-BR"/>
        </w:rPr>
        <w:t>(Nicaragua)</w:t>
      </w:r>
      <w:r w:rsidRPr="006D4BF1">
        <w:rPr>
          <w:rFonts w:asciiTheme="minorHAnsi" w:hAnsiTheme="minorHAnsi"/>
          <w:i/>
          <w:color w:val="auto"/>
          <w:sz w:val="16"/>
          <w:szCs w:val="16"/>
          <w:lang w:val="pt-BR"/>
        </w:rPr>
        <w:t xml:space="preserve">, </w:t>
      </w:r>
      <w:r w:rsidRPr="006D4BF1">
        <w:rPr>
          <w:rFonts w:asciiTheme="minorHAnsi" w:hAnsiTheme="minorHAnsi"/>
          <w:color w:val="auto"/>
          <w:sz w:val="16"/>
          <w:szCs w:val="16"/>
          <w:lang w:val="pt-BR"/>
        </w:rPr>
        <w:t>párrs. 96 y 97; Informe No. 62/00,</w:t>
      </w:r>
      <w:r w:rsidRPr="006D4BF1">
        <w:rPr>
          <w:rFonts w:asciiTheme="minorHAnsi" w:hAnsiTheme="minorHAnsi"/>
          <w:i/>
          <w:color w:val="auto"/>
          <w:sz w:val="16"/>
          <w:szCs w:val="16"/>
          <w:lang w:val="pt-BR"/>
        </w:rPr>
        <w:t xml:space="preserve"> </w:t>
      </w:r>
      <w:r w:rsidRPr="006D4BF1">
        <w:rPr>
          <w:rFonts w:asciiTheme="minorHAnsi" w:hAnsiTheme="minorHAnsi"/>
          <w:color w:val="auto"/>
          <w:sz w:val="16"/>
          <w:szCs w:val="16"/>
          <w:lang w:val="pt-BR"/>
        </w:rPr>
        <w:t>Caso 11.727,</w:t>
      </w:r>
      <w:r w:rsidRPr="006D4BF1">
        <w:rPr>
          <w:rFonts w:asciiTheme="minorHAnsi" w:hAnsiTheme="minorHAnsi"/>
          <w:i/>
          <w:color w:val="auto"/>
          <w:sz w:val="16"/>
          <w:szCs w:val="16"/>
          <w:lang w:val="pt-BR"/>
        </w:rPr>
        <w:t xml:space="preserve"> Hernando Osorio Correa</w:t>
      </w:r>
      <w:r w:rsidRPr="006D4BF1">
        <w:rPr>
          <w:rFonts w:asciiTheme="minorHAnsi" w:hAnsiTheme="minorHAnsi"/>
          <w:color w:val="auto"/>
          <w:sz w:val="16"/>
          <w:szCs w:val="16"/>
          <w:lang w:val="pt-BR"/>
        </w:rPr>
        <w:t xml:space="preserve">, párr. </w:t>
      </w:r>
      <w:r w:rsidRPr="006D4BF1">
        <w:rPr>
          <w:rFonts w:asciiTheme="minorHAnsi" w:hAnsiTheme="minorHAnsi"/>
          <w:color w:val="auto"/>
          <w:sz w:val="16"/>
          <w:szCs w:val="16"/>
          <w:lang w:val="es-MX"/>
        </w:rPr>
        <w:t xml:space="preserve">24. </w:t>
      </w:r>
    </w:p>
  </w:footnote>
  <w:footnote w:id="14">
    <w:p w:rsidR="003C6D97" w:rsidRPr="006D4BF1" w:rsidRDefault="003C6D97" w:rsidP="003C6D97">
      <w:pPr>
        <w:pStyle w:val="FootnoteText"/>
        <w:spacing w:after="120"/>
        <w:ind w:firstLine="720"/>
        <w:jc w:val="both"/>
        <w:rPr>
          <w:rFonts w:asciiTheme="minorHAnsi" w:hAnsiTheme="minorHAnsi"/>
          <w:i/>
          <w:color w:val="auto"/>
          <w:sz w:val="16"/>
          <w:szCs w:val="16"/>
          <w:lang w:val="es-MX"/>
        </w:rPr>
      </w:pPr>
      <w:r w:rsidRPr="006D4BF1">
        <w:rPr>
          <w:rStyle w:val="FootnoteReference"/>
          <w:rFonts w:asciiTheme="minorHAnsi" w:hAnsiTheme="minorHAnsi"/>
          <w:color w:val="auto"/>
          <w:sz w:val="16"/>
          <w:szCs w:val="16"/>
        </w:rPr>
        <w:footnoteRef/>
      </w:r>
      <w:r w:rsidRPr="006D4BF1">
        <w:rPr>
          <w:rFonts w:asciiTheme="minorHAnsi" w:hAnsiTheme="minorHAnsi"/>
          <w:color w:val="auto"/>
          <w:sz w:val="16"/>
          <w:szCs w:val="16"/>
          <w:lang w:val="es-MX"/>
        </w:rPr>
        <w:t xml:space="preserve"> CIDH, Informe No. 51/10, P. 1166-05, Admisibilidad, </w:t>
      </w:r>
      <w:r w:rsidRPr="006D4BF1">
        <w:rPr>
          <w:rFonts w:asciiTheme="minorHAnsi" w:hAnsiTheme="minorHAnsi"/>
          <w:i/>
          <w:color w:val="auto"/>
          <w:sz w:val="16"/>
          <w:szCs w:val="16"/>
          <w:lang w:val="es-MX"/>
        </w:rPr>
        <w:t>Masacres del Tibú</w:t>
      </w:r>
      <w:r w:rsidRPr="006D4BF1">
        <w:rPr>
          <w:rFonts w:asciiTheme="minorHAnsi" w:hAnsiTheme="minorHAnsi"/>
          <w:color w:val="auto"/>
          <w:sz w:val="16"/>
          <w:szCs w:val="16"/>
          <w:lang w:val="es-MX"/>
        </w:rPr>
        <w:t>, Colombia, 18 de marzo de 2010, párr. 110.</w:t>
      </w:r>
    </w:p>
  </w:footnote>
  <w:footnote w:id="15">
    <w:p w:rsidR="00625425" w:rsidRPr="006D4BF1" w:rsidRDefault="00625425" w:rsidP="00625425">
      <w:pPr>
        <w:pStyle w:val="FootnoteText"/>
        <w:spacing w:after="120"/>
        <w:ind w:firstLine="720"/>
        <w:jc w:val="both"/>
        <w:rPr>
          <w:lang w:val="es-ES"/>
        </w:rPr>
      </w:pPr>
      <w:r w:rsidRPr="006D4BF1">
        <w:rPr>
          <w:rStyle w:val="FootnoteReference"/>
          <w:sz w:val="16"/>
        </w:rPr>
        <w:footnoteRef/>
      </w:r>
      <w:r w:rsidRPr="006D4BF1">
        <w:rPr>
          <w:sz w:val="16"/>
          <w:lang w:val="es-ES"/>
        </w:rPr>
        <w:t xml:space="preserve"> Respecto a las presuntas víctimas Cecilio Sarracín Fuente, Alcibiades Betancourt Aparicio y Reinaldo Sanchez Tenas.</w:t>
      </w:r>
    </w:p>
  </w:footnote>
  <w:footnote w:id="16">
    <w:p w:rsidR="00625425" w:rsidRPr="004D4B3F" w:rsidRDefault="00625425" w:rsidP="00625425">
      <w:pPr>
        <w:pStyle w:val="FootnoteText"/>
        <w:spacing w:after="120"/>
        <w:ind w:firstLine="720"/>
        <w:jc w:val="both"/>
        <w:rPr>
          <w:rFonts w:asciiTheme="minorHAnsi" w:hAnsiTheme="minorHAnsi"/>
          <w:sz w:val="16"/>
          <w:szCs w:val="16"/>
          <w:lang w:val="es-ES"/>
        </w:rPr>
      </w:pPr>
      <w:r w:rsidRPr="004D4B3F">
        <w:rPr>
          <w:rStyle w:val="FootnoteReference"/>
          <w:rFonts w:asciiTheme="minorHAnsi" w:hAnsiTheme="minorHAnsi"/>
          <w:sz w:val="16"/>
          <w:szCs w:val="16"/>
          <w:lang w:val="es-ES"/>
        </w:rPr>
        <w:footnoteRef/>
      </w:r>
      <w:r w:rsidRPr="004D4B3F">
        <w:rPr>
          <w:rFonts w:asciiTheme="minorHAnsi" w:hAnsiTheme="minorHAnsi"/>
          <w:sz w:val="16"/>
          <w:szCs w:val="16"/>
          <w:lang w:val="es-ES"/>
        </w:rPr>
        <w:t xml:space="preserve"> Corte IDH. </w:t>
      </w:r>
      <w:r w:rsidRPr="004D4B3F">
        <w:rPr>
          <w:rFonts w:asciiTheme="minorHAnsi" w:hAnsiTheme="minorHAnsi"/>
          <w:bCs/>
          <w:i/>
          <w:sz w:val="16"/>
          <w:szCs w:val="16"/>
          <w:lang w:val="es-ES"/>
        </w:rPr>
        <w:t>Caso Velásquez Rodríguez Vs. Honduras</w:t>
      </w:r>
      <w:r w:rsidRPr="004D4B3F">
        <w:rPr>
          <w:rFonts w:asciiTheme="minorHAnsi" w:hAnsiTheme="minorHAnsi"/>
          <w:bCs/>
          <w:sz w:val="16"/>
          <w:szCs w:val="16"/>
          <w:lang w:val="es-ES"/>
        </w:rPr>
        <w:t xml:space="preserve">. </w:t>
      </w:r>
      <w:r w:rsidRPr="004D4B3F">
        <w:rPr>
          <w:rFonts w:asciiTheme="minorHAnsi" w:hAnsiTheme="minorHAnsi"/>
          <w:sz w:val="16"/>
          <w:szCs w:val="16"/>
          <w:lang w:val="es-ES"/>
        </w:rPr>
        <w:t>Sentencia de 29 de julio de 1988. Serie C No. 4. Párr. 181.</w:t>
      </w:r>
    </w:p>
  </w:footnote>
  <w:footnote w:id="17">
    <w:p w:rsidR="00533150" w:rsidRPr="00533150" w:rsidRDefault="00533150" w:rsidP="00533150">
      <w:pPr>
        <w:pStyle w:val="FootnoteText"/>
        <w:ind w:firstLine="720"/>
        <w:rPr>
          <w:lang w:val="es-ES"/>
        </w:rPr>
      </w:pPr>
      <w:r w:rsidRPr="004D4B3F">
        <w:rPr>
          <w:rStyle w:val="FootnoteReference"/>
          <w:sz w:val="16"/>
        </w:rPr>
        <w:footnoteRef/>
      </w:r>
      <w:r w:rsidRPr="004D4B3F">
        <w:rPr>
          <w:sz w:val="16"/>
          <w:lang w:val="es-ES"/>
        </w:rPr>
        <w:t xml:space="preserve"> Además</w:t>
      </w:r>
      <w:r w:rsidR="00102B3D" w:rsidRPr="004D4B3F">
        <w:rPr>
          <w:sz w:val="16"/>
          <w:lang w:val="es-ES"/>
        </w:rPr>
        <w:t>,</w:t>
      </w:r>
      <w:r w:rsidRPr="004D4B3F">
        <w:rPr>
          <w:sz w:val="16"/>
          <w:lang w:val="es-ES"/>
        </w:rPr>
        <w:t xml:space="preserve"> hay </w:t>
      </w:r>
      <w:r w:rsidR="00102B3D" w:rsidRPr="004D4B3F">
        <w:rPr>
          <w:sz w:val="16"/>
          <w:lang w:val="es-ES"/>
        </w:rPr>
        <w:t>3</w:t>
      </w:r>
      <w:r w:rsidRPr="004D4B3F">
        <w:rPr>
          <w:sz w:val="16"/>
          <w:lang w:val="es-ES"/>
        </w:rPr>
        <w:t xml:space="preserve"> casos en los que las partes no indican que haya existido actividad judicial, y un caso en el que el expediente </w:t>
      </w:r>
      <w:r w:rsidR="003D7C1B" w:rsidRPr="004D4B3F">
        <w:rPr>
          <w:sz w:val="16"/>
          <w:lang w:val="es-ES"/>
        </w:rPr>
        <w:t xml:space="preserve">judicial </w:t>
      </w:r>
      <w:r w:rsidRPr="004D4B3F">
        <w:rPr>
          <w:sz w:val="16"/>
          <w:lang w:val="es-ES"/>
        </w:rPr>
        <w:t>estaría extraviado.</w:t>
      </w:r>
    </w:p>
  </w:footnote>
  <w:footnote w:id="18">
    <w:p w:rsidR="00FC7FB5" w:rsidRPr="006D4BF1" w:rsidRDefault="00FC7FB5" w:rsidP="001A4A4E">
      <w:pPr>
        <w:pStyle w:val="FootnoteText"/>
        <w:spacing w:after="120"/>
        <w:ind w:firstLine="720"/>
        <w:jc w:val="both"/>
        <w:rPr>
          <w:lang w:val="es-ES"/>
        </w:rPr>
      </w:pPr>
      <w:r w:rsidRPr="006D4BF1">
        <w:rPr>
          <w:rStyle w:val="FootnoteReference"/>
          <w:sz w:val="16"/>
        </w:rPr>
        <w:footnoteRef/>
      </w:r>
      <w:r w:rsidRPr="006D4BF1">
        <w:rPr>
          <w:sz w:val="16"/>
          <w:lang w:val="es-ES"/>
        </w:rPr>
        <w:t xml:space="preserve"> La Comisión de la Verdad de Panamá fue establecida mediante Decreto Ejecutivo No. 2 de 18 de enero de 2001, con el mandato de establecer un cuadro de las violaciones del derecho a la vida, incluyendo desapariciones, cometidas durante el régimen militar desde 1968 hasta 1989. La Comisión de la Verdad reunió suficientes antecedentes que permiten individualizar a más de un centenar de víctimas entre asesinados y desaparecidos.</w:t>
      </w:r>
    </w:p>
  </w:footnote>
  <w:footnote w:id="19">
    <w:p w:rsidR="001A4A4E" w:rsidRPr="001A4A4E" w:rsidRDefault="001A4A4E" w:rsidP="001A4A4E">
      <w:pPr>
        <w:pStyle w:val="FootnoteText"/>
        <w:spacing w:after="120"/>
        <w:ind w:firstLine="720"/>
        <w:jc w:val="both"/>
        <w:rPr>
          <w:lang w:val="es-ES"/>
        </w:rPr>
      </w:pPr>
      <w:r w:rsidRPr="001A4A4E">
        <w:rPr>
          <w:rStyle w:val="FootnoteReference"/>
          <w:sz w:val="16"/>
        </w:rPr>
        <w:footnoteRef/>
      </w:r>
      <w:r w:rsidRPr="001A4A4E">
        <w:rPr>
          <w:sz w:val="16"/>
          <w:lang w:val="es-ES"/>
        </w:rPr>
        <w:t xml:space="preserve"> Ver párr. 15 del presente informe.</w:t>
      </w:r>
    </w:p>
  </w:footnote>
  <w:footnote w:id="20">
    <w:p w:rsidR="001F09BB" w:rsidRPr="006D4BF1" w:rsidRDefault="001F09BB" w:rsidP="006D4BF1">
      <w:pPr>
        <w:pStyle w:val="FootnoteText"/>
        <w:spacing w:after="120"/>
        <w:ind w:firstLine="720"/>
        <w:jc w:val="both"/>
        <w:rPr>
          <w:rFonts w:asciiTheme="minorHAnsi" w:hAnsiTheme="minorHAnsi"/>
          <w:sz w:val="16"/>
          <w:szCs w:val="16"/>
          <w:lang w:val="es-AR"/>
        </w:rPr>
      </w:pPr>
      <w:r w:rsidRPr="006D4BF1">
        <w:rPr>
          <w:rStyle w:val="FootnoteReference"/>
          <w:rFonts w:asciiTheme="minorHAnsi" w:hAnsiTheme="minorHAnsi"/>
          <w:sz w:val="16"/>
          <w:szCs w:val="16"/>
        </w:rPr>
        <w:footnoteRef/>
      </w:r>
      <w:r w:rsidRPr="006D4BF1">
        <w:rPr>
          <w:rFonts w:asciiTheme="minorHAnsi" w:hAnsiTheme="minorHAnsi"/>
          <w:sz w:val="16"/>
          <w:szCs w:val="16"/>
          <w:lang w:val="es-ES"/>
        </w:rPr>
        <w:t xml:space="preserve"> Publicada en el Informe Anual 1987-88 de la CIDH, páginas 179 a 245. </w:t>
      </w:r>
    </w:p>
  </w:footnote>
  <w:footnote w:id="21">
    <w:p w:rsidR="003B2DD4" w:rsidRPr="006D4BF1" w:rsidRDefault="003B2DD4" w:rsidP="006D4BF1">
      <w:pPr>
        <w:pStyle w:val="FootnoteText"/>
        <w:spacing w:after="120"/>
        <w:ind w:firstLine="720"/>
        <w:jc w:val="both"/>
        <w:rPr>
          <w:sz w:val="16"/>
          <w:lang w:val="es-ES"/>
        </w:rPr>
      </w:pPr>
      <w:r w:rsidRPr="006D4BF1">
        <w:rPr>
          <w:rStyle w:val="FootnoteReference"/>
          <w:sz w:val="16"/>
        </w:rPr>
        <w:footnoteRef/>
      </w:r>
      <w:r w:rsidRPr="006D4BF1">
        <w:rPr>
          <w:sz w:val="16"/>
          <w:lang w:val="es-ES"/>
        </w:rPr>
        <w:t xml:space="preserve"> CIDH, Informe sobre la situación de los Derechos Humanos en Panamá, OEA/Ser.L/V/II.44 doc. 38, rev. 1, 22 de junio de 1978.</w:t>
      </w:r>
    </w:p>
  </w:footnote>
  <w:footnote w:id="22">
    <w:p w:rsidR="006F52CA" w:rsidRPr="00751A86" w:rsidRDefault="006F52CA" w:rsidP="006D4BF1">
      <w:pPr>
        <w:pStyle w:val="FootnoteText"/>
        <w:spacing w:after="120"/>
        <w:ind w:firstLine="720"/>
        <w:jc w:val="both"/>
        <w:rPr>
          <w:sz w:val="16"/>
          <w:lang w:val="es-ES"/>
        </w:rPr>
      </w:pPr>
      <w:r w:rsidRPr="006D4BF1">
        <w:rPr>
          <w:rStyle w:val="FootnoteReference"/>
          <w:sz w:val="16"/>
        </w:rPr>
        <w:footnoteRef/>
      </w:r>
      <w:r w:rsidRPr="006D4BF1">
        <w:rPr>
          <w:sz w:val="16"/>
          <w:lang w:val="es-ES"/>
        </w:rPr>
        <w:t xml:space="preserve"> CIDH, Informe No. 103/05 (fondo), Caso 12.408, Heliodoro Portugal, Panamá, 27 de octubre de 2005</w:t>
      </w:r>
      <w:r w:rsidR="00227950" w:rsidRPr="006D4BF1">
        <w:rPr>
          <w:sz w:val="16"/>
          <w:lang w:val="es-ES"/>
        </w:rPr>
        <w:t xml:space="preserve">, </w:t>
      </w:r>
      <w:r w:rsidR="005E6132" w:rsidRPr="006D4BF1">
        <w:rPr>
          <w:sz w:val="16"/>
          <w:lang w:val="es-ES"/>
        </w:rPr>
        <w:t>párr</w:t>
      </w:r>
      <w:r w:rsidR="009F6B63">
        <w:rPr>
          <w:sz w:val="16"/>
          <w:lang w:val="es-ES"/>
        </w:rPr>
        <w:t>s</w:t>
      </w:r>
      <w:r w:rsidR="005E6132" w:rsidRPr="006D4BF1">
        <w:rPr>
          <w:sz w:val="16"/>
          <w:lang w:val="es-ES"/>
        </w:rPr>
        <w:t>.</w:t>
      </w:r>
      <w:r w:rsidR="00227950" w:rsidRPr="006D4BF1">
        <w:rPr>
          <w:sz w:val="16"/>
          <w:lang w:val="es-ES"/>
        </w:rPr>
        <w:t xml:space="preserve"> 58 y 68</w:t>
      </w:r>
      <w:r w:rsidR="009F6B63">
        <w:rPr>
          <w:sz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BB" w:rsidRDefault="001F09BB" w:rsidP="001278E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1F09BB" w:rsidRDefault="001F0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9BB" w:rsidRDefault="001F09BB" w:rsidP="00A50FCF">
    <w:pPr>
      <w:pStyle w:val="Header"/>
      <w:tabs>
        <w:tab w:val="clear" w:pos="4320"/>
        <w:tab w:val="clear" w:pos="8640"/>
      </w:tabs>
      <w:jc w:val="center"/>
      <w:rPr>
        <w:sz w:val="22"/>
        <w:szCs w:val="22"/>
      </w:rPr>
    </w:pPr>
    <w:r>
      <w:rPr>
        <w:noProof/>
        <w:sz w:val="22"/>
        <w:szCs w:val="22"/>
      </w:rPr>
      <w:drawing>
        <wp:inline distT="0" distB="0" distL="0" distR="0" wp14:anchorId="595FD5D5" wp14:editId="4C9B3AF9">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1F09BB" w:rsidRPr="00EC7D62" w:rsidRDefault="00095E1A"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4F" w:rsidRDefault="008F1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B9309F8"/>
    <w:multiLevelType w:val="hybridMultilevel"/>
    <w:tmpl w:val="BD7CB9F6"/>
    <w:lvl w:ilvl="0" w:tplc="F1D666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AB2D57"/>
    <w:multiLevelType w:val="hybridMultilevel"/>
    <w:tmpl w:val="5FC8D7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71A7BD0"/>
    <w:multiLevelType w:val="hybridMultilevel"/>
    <w:tmpl w:val="39CA889C"/>
    <w:lvl w:ilvl="0" w:tplc="F0DA957E">
      <w:start w:val="1"/>
      <w:numFmt w:val="decimal"/>
      <w:lvlText w:val="%1."/>
      <w:lvlJc w:val="left"/>
      <w:pPr>
        <w:tabs>
          <w:tab w:val="num" w:pos="720"/>
        </w:tabs>
        <w:ind w:left="720" w:hanging="360"/>
      </w:pPr>
      <w:rPr>
        <w:sz w:val="20"/>
        <w:szCs w:val="20"/>
      </w:rPr>
    </w:lvl>
    <w:lvl w:ilvl="1" w:tplc="03E853A8">
      <w:start w:val="59"/>
      <w:numFmt w:val="decimal"/>
      <w:lvlText w:val="%2."/>
      <w:lvlJc w:val="left"/>
      <w:pPr>
        <w:tabs>
          <w:tab w:val="num" w:pos="2580"/>
        </w:tabs>
        <w:ind w:left="2580" w:hanging="15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32D3A29"/>
    <w:multiLevelType w:val="hybridMultilevel"/>
    <w:tmpl w:val="2252FB86"/>
    <w:lvl w:ilvl="0" w:tplc="E8AA7AEE">
      <w:start w:val="1"/>
      <w:numFmt w:val="upperRoman"/>
      <w:pStyle w:val="NoSpacing"/>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21"/>
  </w:num>
  <w:num w:numId="5">
    <w:abstractNumId w:val="46"/>
  </w:num>
  <w:num w:numId="6">
    <w:abstractNumId w:val="26"/>
  </w:num>
  <w:num w:numId="7">
    <w:abstractNumId w:val="6"/>
  </w:num>
  <w:num w:numId="8">
    <w:abstractNumId w:val="16"/>
  </w:num>
  <w:num w:numId="9">
    <w:abstractNumId w:val="42"/>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4"/>
  </w:num>
  <w:num w:numId="38">
    <w:abstractNumId w:val="35"/>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20"/>
  </w:num>
  <w:num w:numId="52">
    <w:abstractNumId w:val="40"/>
  </w:num>
  <w:num w:numId="53">
    <w:abstractNumId w:val="49"/>
  </w:num>
  <w:num w:numId="54">
    <w:abstractNumId w:val="44"/>
  </w:num>
  <w:num w:numId="55">
    <w:abstractNumId w:val="33"/>
  </w:num>
  <w:num w:numId="56">
    <w:abstractNumId w:val="19"/>
  </w:num>
  <w:num w:numId="57">
    <w:abstractNumId w:val="5"/>
  </w:num>
  <w:num w:numId="5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5C29"/>
    <w:rsid w:val="0001788C"/>
    <w:rsid w:val="0002217C"/>
    <w:rsid w:val="0002234C"/>
    <w:rsid w:val="00034F0E"/>
    <w:rsid w:val="00040C3A"/>
    <w:rsid w:val="00042F13"/>
    <w:rsid w:val="0005075E"/>
    <w:rsid w:val="00051E4F"/>
    <w:rsid w:val="00063736"/>
    <w:rsid w:val="000670D9"/>
    <w:rsid w:val="000716C5"/>
    <w:rsid w:val="00072D86"/>
    <w:rsid w:val="00075E23"/>
    <w:rsid w:val="00076784"/>
    <w:rsid w:val="000857B3"/>
    <w:rsid w:val="000902CC"/>
    <w:rsid w:val="0009344A"/>
    <w:rsid w:val="00094137"/>
    <w:rsid w:val="00095E1A"/>
    <w:rsid w:val="00096CF9"/>
    <w:rsid w:val="000A3082"/>
    <w:rsid w:val="000A392E"/>
    <w:rsid w:val="000A3F6C"/>
    <w:rsid w:val="000A575F"/>
    <w:rsid w:val="000B0C7F"/>
    <w:rsid w:val="000B164A"/>
    <w:rsid w:val="000B1BCB"/>
    <w:rsid w:val="000B5371"/>
    <w:rsid w:val="000C283E"/>
    <w:rsid w:val="000D10DB"/>
    <w:rsid w:val="000E0EFB"/>
    <w:rsid w:val="000E1500"/>
    <w:rsid w:val="000E5EB5"/>
    <w:rsid w:val="000E7180"/>
    <w:rsid w:val="000E71E4"/>
    <w:rsid w:val="000F35ED"/>
    <w:rsid w:val="00102B3D"/>
    <w:rsid w:val="001041AD"/>
    <w:rsid w:val="00107131"/>
    <w:rsid w:val="0010736F"/>
    <w:rsid w:val="00110EC2"/>
    <w:rsid w:val="00113F73"/>
    <w:rsid w:val="001211B9"/>
    <w:rsid w:val="00121CC2"/>
    <w:rsid w:val="00123436"/>
    <w:rsid w:val="001278E9"/>
    <w:rsid w:val="0013201A"/>
    <w:rsid w:val="00133EE5"/>
    <w:rsid w:val="001364F7"/>
    <w:rsid w:val="0013791D"/>
    <w:rsid w:val="00144E1C"/>
    <w:rsid w:val="00152604"/>
    <w:rsid w:val="00153CC4"/>
    <w:rsid w:val="0015624F"/>
    <w:rsid w:val="00166BDB"/>
    <w:rsid w:val="00167A34"/>
    <w:rsid w:val="00167F4A"/>
    <w:rsid w:val="00170B1D"/>
    <w:rsid w:val="00174464"/>
    <w:rsid w:val="00177789"/>
    <w:rsid w:val="001A018C"/>
    <w:rsid w:val="001A4A4E"/>
    <w:rsid w:val="001A7870"/>
    <w:rsid w:val="001A7C89"/>
    <w:rsid w:val="001B0408"/>
    <w:rsid w:val="001C1B41"/>
    <w:rsid w:val="001C23F0"/>
    <w:rsid w:val="001C7C04"/>
    <w:rsid w:val="001D1E0E"/>
    <w:rsid w:val="001D65EF"/>
    <w:rsid w:val="001D7C46"/>
    <w:rsid w:val="001D7CD4"/>
    <w:rsid w:val="001E400C"/>
    <w:rsid w:val="001F09BB"/>
    <w:rsid w:val="001F2C72"/>
    <w:rsid w:val="001F63AF"/>
    <w:rsid w:val="0020773A"/>
    <w:rsid w:val="00207778"/>
    <w:rsid w:val="00217F40"/>
    <w:rsid w:val="0022062F"/>
    <w:rsid w:val="00223D52"/>
    <w:rsid w:val="002250A3"/>
    <w:rsid w:val="002264DF"/>
    <w:rsid w:val="00227950"/>
    <w:rsid w:val="00227C6C"/>
    <w:rsid w:val="00235217"/>
    <w:rsid w:val="00235F84"/>
    <w:rsid w:val="00242E2A"/>
    <w:rsid w:val="00244B33"/>
    <w:rsid w:val="00245A6C"/>
    <w:rsid w:val="00246D1F"/>
    <w:rsid w:val="00247403"/>
    <w:rsid w:val="00247542"/>
    <w:rsid w:val="00265695"/>
    <w:rsid w:val="00266B61"/>
    <w:rsid w:val="0026712A"/>
    <w:rsid w:val="002704DB"/>
    <w:rsid w:val="00277210"/>
    <w:rsid w:val="00294670"/>
    <w:rsid w:val="0029490F"/>
    <w:rsid w:val="00294962"/>
    <w:rsid w:val="002A04CC"/>
    <w:rsid w:val="002A0AAE"/>
    <w:rsid w:val="002A3365"/>
    <w:rsid w:val="002A5820"/>
    <w:rsid w:val="002A6114"/>
    <w:rsid w:val="002A72AE"/>
    <w:rsid w:val="002B1506"/>
    <w:rsid w:val="002B37F5"/>
    <w:rsid w:val="002D018A"/>
    <w:rsid w:val="002D2B26"/>
    <w:rsid w:val="002D7EA2"/>
    <w:rsid w:val="002E187C"/>
    <w:rsid w:val="002E7A48"/>
    <w:rsid w:val="002F6501"/>
    <w:rsid w:val="00302733"/>
    <w:rsid w:val="00314078"/>
    <w:rsid w:val="00314C65"/>
    <w:rsid w:val="0031535D"/>
    <w:rsid w:val="003217F3"/>
    <w:rsid w:val="00324292"/>
    <w:rsid w:val="003314DB"/>
    <w:rsid w:val="0033169F"/>
    <w:rsid w:val="00333950"/>
    <w:rsid w:val="003347F8"/>
    <w:rsid w:val="00336646"/>
    <w:rsid w:val="00346C95"/>
    <w:rsid w:val="00356185"/>
    <w:rsid w:val="00360380"/>
    <w:rsid w:val="00373098"/>
    <w:rsid w:val="0037519E"/>
    <w:rsid w:val="003763EB"/>
    <w:rsid w:val="00377FD6"/>
    <w:rsid w:val="00386CF0"/>
    <w:rsid w:val="00396148"/>
    <w:rsid w:val="00396436"/>
    <w:rsid w:val="003B24D7"/>
    <w:rsid w:val="003B2DD4"/>
    <w:rsid w:val="003C676B"/>
    <w:rsid w:val="003C6D97"/>
    <w:rsid w:val="003C6E3D"/>
    <w:rsid w:val="003D136A"/>
    <w:rsid w:val="003D3BC2"/>
    <w:rsid w:val="003D7C1B"/>
    <w:rsid w:val="003E0CBC"/>
    <w:rsid w:val="003E2325"/>
    <w:rsid w:val="003E352E"/>
    <w:rsid w:val="003E6344"/>
    <w:rsid w:val="003E6CA1"/>
    <w:rsid w:val="003F3FC5"/>
    <w:rsid w:val="003F51B3"/>
    <w:rsid w:val="003F6150"/>
    <w:rsid w:val="00410B0B"/>
    <w:rsid w:val="004165C2"/>
    <w:rsid w:val="004316BE"/>
    <w:rsid w:val="00435114"/>
    <w:rsid w:val="00437BE9"/>
    <w:rsid w:val="00441827"/>
    <w:rsid w:val="00441ECB"/>
    <w:rsid w:val="0044221B"/>
    <w:rsid w:val="004435B1"/>
    <w:rsid w:val="004455D9"/>
    <w:rsid w:val="00446117"/>
    <w:rsid w:val="00464A95"/>
    <w:rsid w:val="00464F4A"/>
    <w:rsid w:val="00467B7E"/>
    <w:rsid w:val="00472C6E"/>
    <w:rsid w:val="00477592"/>
    <w:rsid w:val="00480393"/>
    <w:rsid w:val="004866E2"/>
    <w:rsid w:val="00486F1C"/>
    <w:rsid w:val="004902C0"/>
    <w:rsid w:val="00491F6D"/>
    <w:rsid w:val="004938DC"/>
    <w:rsid w:val="0049419D"/>
    <w:rsid w:val="004A26DD"/>
    <w:rsid w:val="004A3443"/>
    <w:rsid w:val="004B045D"/>
    <w:rsid w:val="004B5FB7"/>
    <w:rsid w:val="004B6B37"/>
    <w:rsid w:val="004C20D2"/>
    <w:rsid w:val="004C22EF"/>
    <w:rsid w:val="004C4B62"/>
    <w:rsid w:val="004C54C9"/>
    <w:rsid w:val="004D220A"/>
    <w:rsid w:val="004D4B3F"/>
    <w:rsid w:val="004D6025"/>
    <w:rsid w:val="004E2649"/>
    <w:rsid w:val="004E7863"/>
    <w:rsid w:val="004F5F12"/>
    <w:rsid w:val="004F671F"/>
    <w:rsid w:val="00501399"/>
    <w:rsid w:val="0050633D"/>
    <w:rsid w:val="00507BC4"/>
    <w:rsid w:val="005128E4"/>
    <w:rsid w:val="005132A4"/>
    <w:rsid w:val="005133DB"/>
    <w:rsid w:val="00516CB5"/>
    <w:rsid w:val="00524AA4"/>
    <w:rsid w:val="00525322"/>
    <w:rsid w:val="00525560"/>
    <w:rsid w:val="00531384"/>
    <w:rsid w:val="00531910"/>
    <w:rsid w:val="00533150"/>
    <w:rsid w:val="0053626D"/>
    <w:rsid w:val="0054346D"/>
    <w:rsid w:val="00544C49"/>
    <w:rsid w:val="00546C5A"/>
    <w:rsid w:val="005516A1"/>
    <w:rsid w:val="00563795"/>
    <w:rsid w:val="0057171D"/>
    <w:rsid w:val="00571DBA"/>
    <w:rsid w:val="005726B5"/>
    <w:rsid w:val="005735A3"/>
    <w:rsid w:val="0057402A"/>
    <w:rsid w:val="005771D0"/>
    <w:rsid w:val="00583750"/>
    <w:rsid w:val="00585DC6"/>
    <w:rsid w:val="00586C54"/>
    <w:rsid w:val="0059191A"/>
    <w:rsid w:val="005921FF"/>
    <w:rsid w:val="00596249"/>
    <w:rsid w:val="005A1127"/>
    <w:rsid w:val="005A5CD5"/>
    <w:rsid w:val="005A6012"/>
    <w:rsid w:val="005A6D0E"/>
    <w:rsid w:val="005B1585"/>
    <w:rsid w:val="005B52B0"/>
    <w:rsid w:val="005B6806"/>
    <w:rsid w:val="005C33AF"/>
    <w:rsid w:val="005C4225"/>
    <w:rsid w:val="005C55BA"/>
    <w:rsid w:val="005D19F4"/>
    <w:rsid w:val="005D360F"/>
    <w:rsid w:val="005E42C6"/>
    <w:rsid w:val="005E6132"/>
    <w:rsid w:val="005F0DAD"/>
    <w:rsid w:val="005F0F33"/>
    <w:rsid w:val="005F486D"/>
    <w:rsid w:val="005F5F44"/>
    <w:rsid w:val="00600DEB"/>
    <w:rsid w:val="006040FB"/>
    <w:rsid w:val="0060470A"/>
    <w:rsid w:val="00605D09"/>
    <w:rsid w:val="00606162"/>
    <w:rsid w:val="00625425"/>
    <w:rsid w:val="00627C9F"/>
    <w:rsid w:val="006311E9"/>
    <w:rsid w:val="006312A1"/>
    <w:rsid w:val="00632354"/>
    <w:rsid w:val="00636B85"/>
    <w:rsid w:val="006375D9"/>
    <w:rsid w:val="00640671"/>
    <w:rsid w:val="00642810"/>
    <w:rsid w:val="00652333"/>
    <w:rsid w:val="006569B9"/>
    <w:rsid w:val="00662B02"/>
    <w:rsid w:val="00670632"/>
    <w:rsid w:val="006735BF"/>
    <w:rsid w:val="0067410A"/>
    <w:rsid w:val="00674BBC"/>
    <w:rsid w:val="0068009E"/>
    <w:rsid w:val="00692219"/>
    <w:rsid w:val="006A0E31"/>
    <w:rsid w:val="006A17D2"/>
    <w:rsid w:val="006A22BE"/>
    <w:rsid w:val="006A51DE"/>
    <w:rsid w:val="006A73E6"/>
    <w:rsid w:val="006B2D5C"/>
    <w:rsid w:val="006B63E3"/>
    <w:rsid w:val="006C1D96"/>
    <w:rsid w:val="006C4EB1"/>
    <w:rsid w:val="006C5C09"/>
    <w:rsid w:val="006C5F0B"/>
    <w:rsid w:val="006C67D5"/>
    <w:rsid w:val="006D2F0E"/>
    <w:rsid w:val="006D4BF1"/>
    <w:rsid w:val="006E0166"/>
    <w:rsid w:val="006E4665"/>
    <w:rsid w:val="006E7B34"/>
    <w:rsid w:val="006F0E68"/>
    <w:rsid w:val="006F52CA"/>
    <w:rsid w:val="007005B4"/>
    <w:rsid w:val="0070240F"/>
    <w:rsid w:val="0070697F"/>
    <w:rsid w:val="00720DAE"/>
    <w:rsid w:val="007213F5"/>
    <w:rsid w:val="0072199C"/>
    <w:rsid w:val="00721D20"/>
    <w:rsid w:val="00722C9F"/>
    <w:rsid w:val="007253B8"/>
    <w:rsid w:val="00731480"/>
    <w:rsid w:val="0073741F"/>
    <w:rsid w:val="007409FA"/>
    <w:rsid w:val="00751A86"/>
    <w:rsid w:val="007619C4"/>
    <w:rsid w:val="007626D5"/>
    <w:rsid w:val="0076643F"/>
    <w:rsid w:val="00777F63"/>
    <w:rsid w:val="00783B7C"/>
    <w:rsid w:val="00791AA7"/>
    <w:rsid w:val="007940C6"/>
    <w:rsid w:val="007A5817"/>
    <w:rsid w:val="007B60E9"/>
    <w:rsid w:val="007B6CC3"/>
    <w:rsid w:val="007C0DEF"/>
    <w:rsid w:val="007C3334"/>
    <w:rsid w:val="007C3FB8"/>
    <w:rsid w:val="007D2B98"/>
    <w:rsid w:val="007D4A6F"/>
    <w:rsid w:val="007E21BC"/>
    <w:rsid w:val="007E24EE"/>
    <w:rsid w:val="007E2EBE"/>
    <w:rsid w:val="007E43AE"/>
    <w:rsid w:val="007E44EF"/>
    <w:rsid w:val="007F0186"/>
    <w:rsid w:val="007F3107"/>
    <w:rsid w:val="007F409F"/>
    <w:rsid w:val="007F620B"/>
    <w:rsid w:val="007F6469"/>
    <w:rsid w:val="007F6CB6"/>
    <w:rsid w:val="00803F1C"/>
    <w:rsid w:val="00805761"/>
    <w:rsid w:val="00805848"/>
    <w:rsid w:val="0080600E"/>
    <w:rsid w:val="00812A0C"/>
    <w:rsid w:val="00812C77"/>
    <w:rsid w:val="00817612"/>
    <w:rsid w:val="0082048F"/>
    <w:rsid w:val="00821A99"/>
    <w:rsid w:val="00825F52"/>
    <w:rsid w:val="008338A4"/>
    <w:rsid w:val="00833B6C"/>
    <w:rsid w:val="008360AF"/>
    <w:rsid w:val="00837C45"/>
    <w:rsid w:val="00844730"/>
    <w:rsid w:val="008457C2"/>
    <w:rsid w:val="00857A82"/>
    <w:rsid w:val="008608B0"/>
    <w:rsid w:val="0086195E"/>
    <w:rsid w:val="008634F2"/>
    <w:rsid w:val="00873836"/>
    <w:rsid w:val="00875C46"/>
    <w:rsid w:val="0088465C"/>
    <w:rsid w:val="00885737"/>
    <w:rsid w:val="00886257"/>
    <w:rsid w:val="00890650"/>
    <w:rsid w:val="00896B60"/>
    <w:rsid w:val="00896D45"/>
    <w:rsid w:val="00897E12"/>
    <w:rsid w:val="008A02A2"/>
    <w:rsid w:val="008A495D"/>
    <w:rsid w:val="008A7E0F"/>
    <w:rsid w:val="008B12F5"/>
    <w:rsid w:val="008C3197"/>
    <w:rsid w:val="008D768D"/>
    <w:rsid w:val="008E2996"/>
    <w:rsid w:val="008E3759"/>
    <w:rsid w:val="008E6D3C"/>
    <w:rsid w:val="008E746D"/>
    <w:rsid w:val="008F1912"/>
    <w:rsid w:val="008F194F"/>
    <w:rsid w:val="008F4715"/>
    <w:rsid w:val="00901DE2"/>
    <w:rsid w:val="0090270B"/>
    <w:rsid w:val="009041DC"/>
    <w:rsid w:val="00912639"/>
    <w:rsid w:val="00916A7E"/>
    <w:rsid w:val="00917B5A"/>
    <w:rsid w:val="00920A58"/>
    <w:rsid w:val="00920A8C"/>
    <w:rsid w:val="00922214"/>
    <w:rsid w:val="00934A2C"/>
    <w:rsid w:val="0093799F"/>
    <w:rsid w:val="009433D8"/>
    <w:rsid w:val="009646EC"/>
    <w:rsid w:val="0096706E"/>
    <w:rsid w:val="0097530C"/>
    <w:rsid w:val="00975C4E"/>
    <w:rsid w:val="00981FBA"/>
    <w:rsid w:val="00983611"/>
    <w:rsid w:val="00994DB3"/>
    <w:rsid w:val="00995235"/>
    <w:rsid w:val="009957E7"/>
    <w:rsid w:val="00997085"/>
    <w:rsid w:val="00997BC5"/>
    <w:rsid w:val="009A053E"/>
    <w:rsid w:val="009A1389"/>
    <w:rsid w:val="009A22CB"/>
    <w:rsid w:val="009A426D"/>
    <w:rsid w:val="009A4F41"/>
    <w:rsid w:val="009B381B"/>
    <w:rsid w:val="009C3A96"/>
    <w:rsid w:val="009C5E72"/>
    <w:rsid w:val="009D0299"/>
    <w:rsid w:val="009D1753"/>
    <w:rsid w:val="009D4862"/>
    <w:rsid w:val="009D7611"/>
    <w:rsid w:val="009E0B61"/>
    <w:rsid w:val="009E4CF2"/>
    <w:rsid w:val="009E53DE"/>
    <w:rsid w:val="009E6801"/>
    <w:rsid w:val="009F6B63"/>
    <w:rsid w:val="00A01D5D"/>
    <w:rsid w:val="00A035C6"/>
    <w:rsid w:val="00A055AE"/>
    <w:rsid w:val="00A07491"/>
    <w:rsid w:val="00A14F84"/>
    <w:rsid w:val="00A1744B"/>
    <w:rsid w:val="00A25175"/>
    <w:rsid w:val="00A31E7B"/>
    <w:rsid w:val="00A328B3"/>
    <w:rsid w:val="00A32CE4"/>
    <w:rsid w:val="00A3305B"/>
    <w:rsid w:val="00A3459B"/>
    <w:rsid w:val="00A439B6"/>
    <w:rsid w:val="00A50FCF"/>
    <w:rsid w:val="00A510BF"/>
    <w:rsid w:val="00A528D1"/>
    <w:rsid w:val="00A55685"/>
    <w:rsid w:val="00A60FA4"/>
    <w:rsid w:val="00A610CD"/>
    <w:rsid w:val="00A612F2"/>
    <w:rsid w:val="00A70E14"/>
    <w:rsid w:val="00A72418"/>
    <w:rsid w:val="00A7769A"/>
    <w:rsid w:val="00A81F93"/>
    <w:rsid w:val="00A84E51"/>
    <w:rsid w:val="00A869AA"/>
    <w:rsid w:val="00A96C21"/>
    <w:rsid w:val="00AA09A2"/>
    <w:rsid w:val="00AA7996"/>
    <w:rsid w:val="00AB1478"/>
    <w:rsid w:val="00AB49BA"/>
    <w:rsid w:val="00AC08C9"/>
    <w:rsid w:val="00AC19CB"/>
    <w:rsid w:val="00AD65AE"/>
    <w:rsid w:val="00AE5488"/>
    <w:rsid w:val="00AE6F91"/>
    <w:rsid w:val="00AF1602"/>
    <w:rsid w:val="00AF5571"/>
    <w:rsid w:val="00B052E7"/>
    <w:rsid w:val="00B05E8C"/>
    <w:rsid w:val="00B07341"/>
    <w:rsid w:val="00B13EEE"/>
    <w:rsid w:val="00B23044"/>
    <w:rsid w:val="00B23F02"/>
    <w:rsid w:val="00B24015"/>
    <w:rsid w:val="00B30539"/>
    <w:rsid w:val="00B314DB"/>
    <w:rsid w:val="00B31C4C"/>
    <w:rsid w:val="00B33109"/>
    <w:rsid w:val="00B35BAB"/>
    <w:rsid w:val="00B361F2"/>
    <w:rsid w:val="00B3718B"/>
    <w:rsid w:val="00B40013"/>
    <w:rsid w:val="00B44AB3"/>
    <w:rsid w:val="00B45D8F"/>
    <w:rsid w:val="00B4632A"/>
    <w:rsid w:val="00B47D59"/>
    <w:rsid w:val="00B530F1"/>
    <w:rsid w:val="00B56FC9"/>
    <w:rsid w:val="00B57C88"/>
    <w:rsid w:val="00B618A9"/>
    <w:rsid w:val="00B668D6"/>
    <w:rsid w:val="00B82358"/>
    <w:rsid w:val="00B82A21"/>
    <w:rsid w:val="00B82BC6"/>
    <w:rsid w:val="00B95909"/>
    <w:rsid w:val="00BA276C"/>
    <w:rsid w:val="00BA33F3"/>
    <w:rsid w:val="00BB306F"/>
    <w:rsid w:val="00BB5A1C"/>
    <w:rsid w:val="00BC21F1"/>
    <w:rsid w:val="00BC7EE8"/>
    <w:rsid w:val="00BD4B89"/>
    <w:rsid w:val="00BD5269"/>
    <w:rsid w:val="00BE34F8"/>
    <w:rsid w:val="00BE5F88"/>
    <w:rsid w:val="00BF6FD8"/>
    <w:rsid w:val="00C03680"/>
    <w:rsid w:val="00C054DF"/>
    <w:rsid w:val="00C07D25"/>
    <w:rsid w:val="00C16D60"/>
    <w:rsid w:val="00C21762"/>
    <w:rsid w:val="00C229BF"/>
    <w:rsid w:val="00C24543"/>
    <w:rsid w:val="00C256A2"/>
    <w:rsid w:val="00C36B2B"/>
    <w:rsid w:val="00C4401A"/>
    <w:rsid w:val="00C45FCF"/>
    <w:rsid w:val="00C469E0"/>
    <w:rsid w:val="00C47F38"/>
    <w:rsid w:val="00C50FCF"/>
    <w:rsid w:val="00C51515"/>
    <w:rsid w:val="00C55B6A"/>
    <w:rsid w:val="00C5660B"/>
    <w:rsid w:val="00C6515F"/>
    <w:rsid w:val="00C66B72"/>
    <w:rsid w:val="00C7569E"/>
    <w:rsid w:val="00C87A03"/>
    <w:rsid w:val="00C9567A"/>
    <w:rsid w:val="00C95BB7"/>
    <w:rsid w:val="00CA0C86"/>
    <w:rsid w:val="00CA36C7"/>
    <w:rsid w:val="00CB212D"/>
    <w:rsid w:val="00CB2660"/>
    <w:rsid w:val="00CB59EA"/>
    <w:rsid w:val="00CB6FB1"/>
    <w:rsid w:val="00CC1C21"/>
    <w:rsid w:val="00CC5E90"/>
    <w:rsid w:val="00CD0452"/>
    <w:rsid w:val="00CD046C"/>
    <w:rsid w:val="00CD148F"/>
    <w:rsid w:val="00CE076C"/>
    <w:rsid w:val="00CE17D4"/>
    <w:rsid w:val="00CE5199"/>
    <w:rsid w:val="00CE66D5"/>
    <w:rsid w:val="00CE6EE7"/>
    <w:rsid w:val="00CF46A1"/>
    <w:rsid w:val="00CF637A"/>
    <w:rsid w:val="00D059DE"/>
    <w:rsid w:val="00D13FCE"/>
    <w:rsid w:val="00D210E0"/>
    <w:rsid w:val="00D212DE"/>
    <w:rsid w:val="00D23915"/>
    <w:rsid w:val="00D245BB"/>
    <w:rsid w:val="00D306D1"/>
    <w:rsid w:val="00D34786"/>
    <w:rsid w:val="00D37BFC"/>
    <w:rsid w:val="00D433C3"/>
    <w:rsid w:val="00D47A8E"/>
    <w:rsid w:val="00D52D14"/>
    <w:rsid w:val="00D64862"/>
    <w:rsid w:val="00D70025"/>
    <w:rsid w:val="00D712D3"/>
    <w:rsid w:val="00D71422"/>
    <w:rsid w:val="00D72C27"/>
    <w:rsid w:val="00D72DC6"/>
    <w:rsid w:val="00D7558D"/>
    <w:rsid w:val="00D81A32"/>
    <w:rsid w:val="00D81D92"/>
    <w:rsid w:val="00D8282F"/>
    <w:rsid w:val="00D863D8"/>
    <w:rsid w:val="00D866F8"/>
    <w:rsid w:val="00D913C8"/>
    <w:rsid w:val="00D946FF"/>
    <w:rsid w:val="00DA7B5F"/>
    <w:rsid w:val="00DB2478"/>
    <w:rsid w:val="00DB5927"/>
    <w:rsid w:val="00DC11E7"/>
    <w:rsid w:val="00DC7023"/>
    <w:rsid w:val="00DC769A"/>
    <w:rsid w:val="00DC7B01"/>
    <w:rsid w:val="00DD3D86"/>
    <w:rsid w:val="00DE579F"/>
    <w:rsid w:val="00DE7104"/>
    <w:rsid w:val="00DF17AB"/>
    <w:rsid w:val="00DF1EC4"/>
    <w:rsid w:val="00DF6273"/>
    <w:rsid w:val="00E0098F"/>
    <w:rsid w:val="00E01777"/>
    <w:rsid w:val="00E0340B"/>
    <w:rsid w:val="00E04A90"/>
    <w:rsid w:val="00E119D0"/>
    <w:rsid w:val="00E12617"/>
    <w:rsid w:val="00E130B8"/>
    <w:rsid w:val="00E20CC6"/>
    <w:rsid w:val="00E219C7"/>
    <w:rsid w:val="00E26FED"/>
    <w:rsid w:val="00E30DFC"/>
    <w:rsid w:val="00E32D6E"/>
    <w:rsid w:val="00E348E1"/>
    <w:rsid w:val="00E366B2"/>
    <w:rsid w:val="00E43157"/>
    <w:rsid w:val="00E461CE"/>
    <w:rsid w:val="00E53A70"/>
    <w:rsid w:val="00E61F17"/>
    <w:rsid w:val="00E6648D"/>
    <w:rsid w:val="00E720CA"/>
    <w:rsid w:val="00E73814"/>
    <w:rsid w:val="00E76303"/>
    <w:rsid w:val="00E77B20"/>
    <w:rsid w:val="00E81BC2"/>
    <w:rsid w:val="00E821BC"/>
    <w:rsid w:val="00E836E2"/>
    <w:rsid w:val="00E84EB5"/>
    <w:rsid w:val="00E85662"/>
    <w:rsid w:val="00E8789F"/>
    <w:rsid w:val="00E97B71"/>
    <w:rsid w:val="00EA0B9B"/>
    <w:rsid w:val="00EA22FF"/>
    <w:rsid w:val="00EA3D34"/>
    <w:rsid w:val="00EB08CF"/>
    <w:rsid w:val="00EB454D"/>
    <w:rsid w:val="00EC1540"/>
    <w:rsid w:val="00ED1E79"/>
    <w:rsid w:val="00ED6A4C"/>
    <w:rsid w:val="00ED76BE"/>
    <w:rsid w:val="00EE2D4D"/>
    <w:rsid w:val="00EF1B8F"/>
    <w:rsid w:val="00EF3EA6"/>
    <w:rsid w:val="00EF619B"/>
    <w:rsid w:val="00F00B55"/>
    <w:rsid w:val="00F02AD1"/>
    <w:rsid w:val="00F06A9F"/>
    <w:rsid w:val="00F16207"/>
    <w:rsid w:val="00F1702B"/>
    <w:rsid w:val="00F253CC"/>
    <w:rsid w:val="00F26929"/>
    <w:rsid w:val="00F27B00"/>
    <w:rsid w:val="00F35537"/>
    <w:rsid w:val="00F37106"/>
    <w:rsid w:val="00F4084B"/>
    <w:rsid w:val="00F4227C"/>
    <w:rsid w:val="00F51566"/>
    <w:rsid w:val="00F519CF"/>
    <w:rsid w:val="00F51B9B"/>
    <w:rsid w:val="00F56BA5"/>
    <w:rsid w:val="00F60E22"/>
    <w:rsid w:val="00F6257F"/>
    <w:rsid w:val="00F6666E"/>
    <w:rsid w:val="00F7509C"/>
    <w:rsid w:val="00F7513B"/>
    <w:rsid w:val="00F81395"/>
    <w:rsid w:val="00F917D1"/>
    <w:rsid w:val="00F92187"/>
    <w:rsid w:val="00F941D3"/>
    <w:rsid w:val="00F9653B"/>
    <w:rsid w:val="00F97168"/>
    <w:rsid w:val="00FA61E4"/>
    <w:rsid w:val="00FA7D18"/>
    <w:rsid w:val="00FB62CF"/>
    <w:rsid w:val="00FC676F"/>
    <w:rsid w:val="00FC7FB5"/>
    <w:rsid w:val="00FD3C3B"/>
    <w:rsid w:val="00FE34A2"/>
    <w:rsid w:val="00FE593E"/>
    <w:rsid w:val="00FE6B45"/>
    <w:rsid w:val="00FF1A31"/>
    <w:rsid w:val="00FF1B94"/>
    <w:rsid w:val="00FF55F3"/>
    <w:rsid w:val="00FF5851"/>
    <w:rsid w:val="00FF64FE"/>
    <w:rsid w:val="00FF7565"/>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4F6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4F671F"/>
    <w:rPr>
      <w:rFonts w:asciiTheme="majorHAnsi" w:eastAsiaTheme="majorEastAsia" w:hAnsiTheme="majorHAnsi" w:cstheme="majorBidi"/>
      <w:b/>
      <w:bCs/>
      <w:i/>
      <w:iCs/>
      <w:color w:val="4F81BD" w:themeColor="accent1"/>
      <w:sz w:val="24"/>
      <w:szCs w:val="24"/>
      <w:lang w:val="en-US" w:eastAsia="en-US"/>
    </w:rPr>
  </w:style>
  <w:style w:type="paragraph" w:styleId="NoSpacing">
    <w:name w:val="No Spacing"/>
    <w:basedOn w:val="Normal"/>
    <w:uiPriority w:val="1"/>
    <w:qFormat/>
    <w:rsid w:val="009A426D"/>
    <w:pPr>
      <w:numPr>
        <w:numId w:val="58"/>
      </w:numPr>
      <w:spacing w:after="240"/>
      <w:jc w:val="both"/>
    </w:pPr>
    <w:rPr>
      <w:rFonts w:asciiTheme="majorHAnsi" w:hAnsiTheme="majorHAnsi"/>
      <w:b/>
      <w:bCs/>
      <w:sz w:val="20"/>
      <w:szCs w:val="20"/>
      <w:lang w:val="es-UY"/>
    </w:rPr>
  </w:style>
  <w:style w:type="character" w:customStyle="1" w:styleId="apple-converted-space">
    <w:name w:val="apple-converted-space"/>
    <w:basedOn w:val="DefaultParagraphFont"/>
    <w:rsid w:val="00E00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4F6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4F671F"/>
    <w:rPr>
      <w:rFonts w:asciiTheme="majorHAnsi" w:eastAsiaTheme="majorEastAsia" w:hAnsiTheme="majorHAnsi" w:cstheme="majorBidi"/>
      <w:b/>
      <w:bCs/>
      <w:i/>
      <w:iCs/>
      <w:color w:val="4F81BD" w:themeColor="accent1"/>
      <w:sz w:val="24"/>
      <w:szCs w:val="24"/>
      <w:lang w:val="en-US" w:eastAsia="en-US"/>
    </w:rPr>
  </w:style>
  <w:style w:type="paragraph" w:styleId="NoSpacing">
    <w:name w:val="No Spacing"/>
    <w:basedOn w:val="Normal"/>
    <w:uiPriority w:val="1"/>
    <w:qFormat/>
    <w:rsid w:val="009A426D"/>
    <w:pPr>
      <w:numPr>
        <w:numId w:val="58"/>
      </w:numPr>
      <w:spacing w:after="240"/>
      <w:jc w:val="both"/>
    </w:pPr>
    <w:rPr>
      <w:rFonts w:asciiTheme="majorHAnsi" w:hAnsiTheme="majorHAnsi"/>
      <w:b/>
      <w:bCs/>
      <w:sz w:val="20"/>
      <w:szCs w:val="20"/>
      <w:lang w:val="es-UY"/>
    </w:rPr>
  </w:style>
  <w:style w:type="character" w:customStyle="1" w:styleId="apple-converted-space">
    <w:name w:val="apple-converted-space"/>
    <w:basedOn w:val="DefaultParagraphFont"/>
    <w:rsid w:val="00E00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11132">
      <w:bodyDiv w:val="1"/>
      <w:marLeft w:val="0"/>
      <w:marRight w:val="0"/>
      <w:marTop w:val="0"/>
      <w:marBottom w:val="0"/>
      <w:divBdr>
        <w:top w:val="none" w:sz="0" w:space="0" w:color="auto"/>
        <w:left w:val="none" w:sz="0" w:space="0" w:color="auto"/>
        <w:bottom w:val="none" w:sz="0" w:space="0" w:color="auto"/>
        <w:right w:val="none" w:sz="0" w:space="0" w:color="auto"/>
      </w:divBdr>
    </w:div>
    <w:div w:id="578296825">
      <w:bodyDiv w:val="1"/>
      <w:marLeft w:val="0"/>
      <w:marRight w:val="0"/>
      <w:marTop w:val="0"/>
      <w:marBottom w:val="0"/>
      <w:divBdr>
        <w:top w:val="none" w:sz="0" w:space="0" w:color="auto"/>
        <w:left w:val="none" w:sz="0" w:space="0" w:color="auto"/>
        <w:bottom w:val="none" w:sz="0" w:space="0" w:color="auto"/>
        <w:right w:val="none" w:sz="0" w:space="0" w:color="auto"/>
      </w:divBdr>
    </w:div>
    <w:div w:id="690492831">
      <w:bodyDiv w:val="1"/>
      <w:marLeft w:val="0"/>
      <w:marRight w:val="0"/>
      <w:marTop w:val="0"/>
      <w:marBottom w:val="0"/>
      <w:divBdr>
        <w:top w:val="none" w:sz="0" w:space="0" w:color="auto"/>
        <w:left w:val="none" w:sz="0" w:space="0" w:color="auto"/>
        <w:bottom w:val="none" w:sz="0" w:space="0" w:color="auto"/>
        <w:right w:val="none" w:sz="0" w:space="0" w:color="auto"/>
      </w:divBdr>
    </w:div>
    <w:div w:id="941840913">
      <w:bodyDiv w:val="1"/>
      <w:marLeft w:val="0"/>
      <w:marRight w:val="0"/>
      <w:marTop w:val="0"/>
      <w:marBottom w:val="0"/>
      <w:divBdr>
        <w:top w:val="none" w:sz="0" w:space="0" w:color="auto"/>
        <w:left w:val="none" w:sz="0" w:space="0" w:color="auto"/>
        <w:bottom w:val="none" w:sz="0" w:space="0" w:color="auto"/>
        <w:right w:val="none" w:sz="0" w:space="0" w:color="auto"/>
      </w:divBdr>
    </w:div>
    <w:div w:id="993605148">
      <w:bodyDiv w:val="1"/>
      <w:marLeft w:val="0"/>
      <w:marRight w:val="0"/>
      <w:marTop w:val="0"/>
      <w:marBottom w:val="0"/>
      <w:divBdr>
        <w:top w:val="none" w:sz="0" w:space="0" w:color="auto"/>
        <w:left w:val="none" w:sz="0" w:space="0" w:color="auto"/>
        <w:bottom w:val="none" w:sz="0" w:space="0" w:color="auto"/>
        <w:right w:val="none" w:sz="0" w:space="0" w:color="auto"/>
      </w:divBdr>
    </w:div>
    <w:div w:id="1068846632">
      <w:bodyDiv w:val="1"/>
      <w:marLeft w:val="0"/>
      <w:marRight w:val="0"/>
      <w:marTop w:val="0"/>
      <w:marBottom w:val="0"/>
      <w:divBdr>
        <w:top w:val="none" w:sz="0" w:space="0" w:color="auto"/>
        <w:left w:val="none" w:sz="0" w:space="0" w:color="auto"/>
        <w:bottom w:val="none" w:sz="0" w:space="0" w:color="auto"/>
        <w:right w:val="none" w:sz="0" w:space="0" w:color="auto"/>
      </w:divBdr>
    </w:div>
    <w:div w:id="1075932699">
      <w:bodyDiv w:val="1"/>
      <w:marLeft w:val="0"/>
      <w:marRight w:val="0"/>
      <w:marTop w:val="0"/>
      <w:marBottom w:val="0"/>
      <w:divBdr>
        <w:top w:val="none" w:sz="0" w:space="0" w:color="auto"/>
        <w:left w:val="none" w:sz="0" w:space="0" w:color="auto"/>
        <w:bottom w:val="none" w:sz="0" w:space="0" w:color="auto"/>
        <w:right w:val="none" w:sz="0" w:space="0" w:color="auto"/>
      </w:divBdr>
    </w:div>
    <w:div w:id="1142966553">
      <w:bodyDiv w:val="1"/>
      <w:marLeft w:val="0"/>
      <w:marRight w:val="0"/>
      <w:marTop w:val="0"/>
      <w:marBottom w:val="0"/>
      <w:divBdr>
        <w:top w:val="none" w:sz="0" w:space="0" w:color="auto"/>
        <w:left w:val="none" w:sz="0" w:space="0" w:color="auto"/>
        <w:bottom w:val="none" w:sz="0" w:space="0" w:color="auto"/>
        <w:right w:val="none" w:sz="0" w:space="0" w:color="auto"/>
      </w:divBdr>
    </w:div>
    <w:div w:id="1240600009">
      <w:bodyDiv w:val="1"/>
      <w:marLeft w:val="0"/>
      <w:marRight w:val="0"/>
      <w:marTop w:val="0"/>
      <w:marBottom w:val="0"/>
      <w:divBdr>
        <w:top w:val="none" w:sz="0" w:space="0" w:color="auto"/>
        <w:left w:val="none" w:sz="0" w:space="0" w:color="auto"/>
        <w:bottom w:val="none" w:sz="0" w:space="0" w:color="auto"/>
        <w:right w:val="none" w:sz="0" w:space="0" w:color="auto"/>
      </w:divBdr>
    </w:div>
    <w:div w:id="1245533126">
      <w:bodyDiv w:val="1"/>
      <w:marLeft w:val="0"/>
      <w:marRight w:val="0"/>
      <w:marTop w:val="0"/>
      <w:marBottom w:val="0"/>
      <w:divBdr>
        <w:top w:val="none" w:sz="0" w:space="0" w:color="auto"/>
        <w:left w:val="none" w:sz="0" w:space="0" w:color="auto"/>
        <w:bottom w:val="none" w:sz="0" w:space="0" w:color="auto"/>
        <w:right w:val="none" w:sz="0" w:space="0" w:color="auto"/>
      </w:divBdr>
    </w:div>
    <w:div w:id="1481506994">
      <w:bodyDiv w:val="1"/>
      <w:marLeft w:val="0"/>
      <w:marRight w:val="0"/>
      <w:marTop w:val="0"/>
      <w:marBottom w:val="0"/>
      <w:divBdr>
        <w:top w:val="none" w:sz="0" w:space="0" w:color="auto"/>
        <w:left w:val="none" w:sz="0" w:space="0" w:color="auto"/>
        <w:bottom w:val="none" w:sz="0" w:space="0" w:color="auto"/>
        <w:right w:val="none" w:sz="0" w:space="0" w:color="auto"/>
      </w:divBdr>
    </w:div>
    <w:div w:id="150046409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49794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3B07-756A-4037-9162-C6BD9C1D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6892</Words>
  <Characters>36598</Characters>
  <Application>Microsoft Office Word</Application>
  <DocSecurity>0</DocSecurity>
  <Lines>620</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68/15</dc:title>
  <dc:creator/>
  <cp:lastModifiedBy/>
  <cp:revision>1</cp:revision>
  <dcterms:created xsi:type="dcterms:W3CDTF">2015-12-31T15:39:00Z</dcterms:created>
  <dcterms:modified xsi:type="dcterms:W3CDTF">2015-12-31T15:39:00Z</dcterms:modified>
</cp:coreProperties>
</file>