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31B7" w:rsidRPr="004A4000" w:rsidRDefault="00C431B7" w:rsidP="00C431B7">
      <w:pPr>
        <w:tabs>
          <w:tab w:val="left" w:pos="0"/>
        </w:tabs>
        <w:spacing w:after="200"/>
        <w:ind w:firstLine="720"/>
        <w:jc w:val="both"/>
        <w:rPr>
          <w:rFonts w:asciiTheme="majorHAnsi" w:hAnsiTheme="majorHAnsi" w:cs="Univers"/>
          <w:b/>
          <w:bCs/>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7EB3AF5F" wp14:editId="4E5BCE2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4A4000">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054FDC84" wp14:editId="63CB776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Default="00C431B7" w:rsidP="00C431B7">
                            <w:r>
                              <w:rPr>
                                <w:noProof/>
                              </w:rPr>
                              <w:drawing>
                                <wp:inline distT="0" distB="0" distL="0" distR="0" wp14:anchorId="2DB5A285" wp14:editId="2C288A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431B7" w:rsidRDefault="00C431B7" w:rsidP="00C431B7">
                      <w:r>
                        <w:rPr>
                          <w:noProof/>
                        </w:rPr>
                        <w:drawing>
                          <wp:inline distT="0" distB="0" distL="0" distR="0" wp14:anchorId="2DB5A285" wp14:editId="2C288A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C431B7" w:rsidRPr="004A4000" w:rsidRDefault="00C431B7" w:rsidP="00C431B7">
      <w:pPr>
        <w:tabs>
          <w:tab w:val="left" w:pos="0"/>
          <w:tab w:val="center" w:pos="5400"/>
        </w:tabs>
        <w:suppressAutoHyphens/>
        <w:spacing w:after="200"/>
        <w:ind w:firstLine="720"/>
        <w:jc w:val="both"/>
        <w:rPr>
          <w:rFonts w:asciiTheme="majorHAnsi" w:hAnsiTheme="majorHAnsi"/>
          <w:sz w:val="20"/>
          <w:szCs w:val="20"/>
          <w:lang w:val="es-ES"/>
        </w:rPr>
      </w:pPr>
    </w:p>
    <w:p w:rsidR="00C431B7" w:rsidRPr="004A4000" w:rsidRDefault="00C431B7" w:rsidP="00C431B7">
      <w:pPr>
        <w:tabs>
          <w:tab w:val="left" w:pos="0"/>
          <w:tab w:val="center" w:pos="5400"/>
        </w:tabs>
        <w:suppressAutoHyphens/>
        <w:spacing w:after="200"/>
        <w:ind w:firstLine="720"/>
        <w:jc w:val="both"/>
        <w:rPr>
          <w:rFonts w:asciiTheme="majorHAnsi" w:hAnsiTheme="majorHAnsi"/>
          <w:sz w:val="20"/>
          <w:szCs w:val="20"/>
          <w:lang w:val="es-ES"/>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13F73805" wp14:editId="0E2CD99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4E2649" w:rsidRDefault="00C431B7" w:rsidP="00C431B7">
                            <w:pPr>
                              <w:spacing w:line="276" w:lineRule="auto"/>
                              <w:rPr>
                                <w:rFonts w:asciiTheme="majorHAnsi" w:hAnsiTheme="majorHAnsi" w:cs="Arial"/>
                                <w:b/>
                                <w:bCs/>
                                <w:color w:val="0D0D0D" w:themeColor="text1" w:themeTint="F2"/>
                                <w:sz w:val="36"/>
                                <w:lang w:val="es-ES_tradnl"/>
                              </w:rPr>
                            </w:pPr>
                            <w:r w:rsidRPr="004E2649">
                              <w:rPr>
                                <w:rFonts w:asciiTheme="majorHAnsi" w:hAnsiTheme="majorHAnsi" w:cs="Arial"/>
                                <w:b/>
                                <w:bCs/>
                                <w:color w:val="0D0D0D" w:themeColor="text1" w:themeTint="F2"/>
                                <w:sz w:val="36"/>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lang w:val="es-ES_tradnl"/>
                              </w:rPr>
                              <w:t xml:space="preserve"> </w:t>
                            </w:r>
                            <w:r w:rsidR="000118A8">
                              <w:rPr>
                                <w:rFonts w:asciiTheme="majorHAnsi" w:hAnsiTheme="majorHAnsi" w:cs="Arial"/>
                                <w:b/>
                                <w:bCs/>
                                <w:color w:val="0D0D0D" w:themeColor="text1" w:themeTint="F2"/>
                                <w:sz w:val="36"/>
                                <w:lang w:val="es-ES_tradnl"/>
                              </w:rPr>
                              <w:t>31</w:t>
                            </w:r>
                            <w:r w:rsidRPr="00B40443">
                              <w:rPr>
                                <w:rFonts w:asciiTheme="majorHAnsi" w:hAnsiTheme="majorHAnsi" w:cs="Arial"/>
                                <w:b/>
                                <w:bCs/>
                                <w:color w:val="0D0D0D" w:themeColor="text1" w:themeTint="F2"/>
                                <w:sz w:val="36"/>
                                <w:lang w:val="es-ES_tradnl"/>
                              </w:rPr>
                              <w:t>/15</w:t>
                            </w:r>
                          </w:p>
                          <w:p w:rsidR="00C431B7" w:rsidRPr="004E2649" w:rsidRDefault="00C431B7" w:rsidP="00C431B7">
                            <w:pPr>
                              <w:spacing w:line="276" w:lineRule="auto"/>
                              <w:rPr>
                                <w:rFonts w:asciiTheme="majorHAnsi" w:hAnsiTheme="majorHAnsi" w:cs="Arial"/>
                                <w:b/>
                                <w:color w:val="0D0D0D" w:themeColor="text1" w:themeTint="F2"/>
                                <w:sz w:val="36"/>
                                <w:lang w:val="es-ES_tradnl"/>
                              </w:rPr>
                            </w:pPr>
                            <w:r>
                              <w:rPr>
                                <w:rFonts w:asciiTheme="majorHAnsi" w:hAnsiTheme="majorHAnsi" w:cs="Arial"/>
                                <w:b/>
                                <w:color w:val="0D0D0D" w:themeColor="text1" w:themeTint="F2"/>
                                <w:sz w:val="36"/>
                                <w:lang w:val="es-ES_tradnl"/>
                              </w:rPr>
                              <w:t>CASO</w:t>
                            </w:r>
                            <w:r w:rsidRPr="004E2649">
                              <w:rPr>
                                <w:rFonts w:asciiTheme="majorHAnsi" w:hAnsiTheme="majorHAnsi" w:cs="Arial"/>
                                <w:b/>
                                <w:color w:val="0D0D0D" w:themeColor="text1" w:themeTint="F2"/>
                                <w:sz w:val="36"/>
                                <w:lang w:val="es-ES_tradnl"/>
                              </w:rPr>
                              <w:t xml:space="preserve"> </w:t>
                            </w:r>
                            <w:r>
                              <w:rPr>
                                <w:rFonts w:asciiTheme="majorHAnsi" w:hAnsiTheme="majorHAnsi" w:cs="Arial"/>
                                <w:b/>
                                <w:color w:val="0D0D0D" w:themeColor="text1" w:themeTint="F2"/>
                                <w:sz w:val="36"/>
                                <w:lang w:val="es-ES_tradnl"/>
                              </w:rPr>
                              <w:t>10.522</w:t>
                            </w:r>
                          </w:p>
                          <w:p w:rsidR="00C431B7" w:rsidRPr="0010736F" w:rsidRDefault="00C431B7" w:rsidP="00C431B7">
                            <w:pPr>
                              <w:spacing w:line="276" w:lineRule="auto"/>
                              <w:rPr>
                                <w:rFonts w:asciiTheme="majorHAnsi" w:hAnsiTheme="majorHAnsi" w:cs="Arial"/>
                                <w:color w:val="0D0D0D" w:themeColor="text1" w:themeTint="F2"/>
                                <w:lang w:val="es-ES_tradnl"/>
                              </w:rPr>
                            </w:pPr>
                            <w:r w:rsidRPr="0010736F">
                              <w:rPr>
                                <w:rFonts w:asciiTheme="majorHAnsi" w:hAnsiTheme="majorHAnsi" w:cs="Arial"/>
                                <w:color w:val="0D0D0D" w:themeColor="text1" w:themeTint="F2"/>
                                <w:lang w:val="es-ES_tradnl"/>
                              </w:rPr>
                              <w:t xml:space="preserve">INFORME DE ADMISIBILIDAD </w:t>
                            </w:r>
                          </w:p>
                          <w:p w:rsidR="00C431B7" w:rsidRDefault="00C431B7" w:rsidP="00C431B7">
                            <w:pPr>
                              <w:spacing w:line="276" w:lineRule="auto"/>
                              <w:rPr>
                                <w:rFonts w:asciiTheme="majorHAnsi" w:hAnsiTheme="majorHAnsi" w:cs="Arial"/>
                                <w:color w:val="0D0D0D" w:themeColor="text1" w:themeTint="F2"/>
                                <w:lang w:val="es-ES_tradnl"/>
                              </w:rPr>
                            </w:pPr>
                            <w:bookmarkStart w:id="1" w:name="_ftnref1"/>
                          </w:p>
                          <w:p w:rsidR="00C431B7" w:rsidRPr="0010736F" w:rsidRDefault="00C431B7" w:rsidP="00C431B7">
                            <w:pPr>
                              <w:spacing w:line="276" w:lineRule="auto"/>
                              <w:rPr>
                                <w:rFonts w:asciiTheme="majorHAnsi" w:hAnsiTheme="majorHAnsi" w:cs="Arial"/>
                                <w:color w:val="0D0D0D" w:themeColor="text1" w:themeTint="F2"/>
                                <w:lang w:val="es-ES_tradnl"/>
                              </w:rPr>
                            </w:pPr>
                          </w:p>
                          <w:bookmarkEnd w:id="1"/>
                          <w:p w:rsidR="00C431B7" w:rsidRPr="00C431B7" w:rsidRDefault="00C431B7" w:rsidP="00C431B7">
                            <w:pPr>
                              <w:rPr>
                                <w:rFonts w:asciiTheme="majorHAnsi" w:hAnsiTheme="majorHAnsi" w:cs="Arial"/>
                                <w:color w:val="0D0D0D" w:themeColor="text1" w:themeTint="F2"/>
                                <w:lang w:val="es-ES_tradnl"/>
                              </w:rPr>
                            </w:pPr>
                            <w:r w:rsidRPr="00C431B7">
                              <w:rPr>
                                <w:rFonts w:asciiTheme="majorHAnsi" w:hAnsiTheme="majorHAnsi" w:cs="Arial"/>
                                <w:color w:val="0D0D0D" w:themeColor="text1" w:themeTint="F2"/>
                                <w:lang w:val="es-ES_tradnl"/>
                              </w:rPr>
                              <w:t xml:space="preserve">JUAN FERNÁNDO PORRAS MARTÍNEZ </w:t>
                            </w:r>
                          </w:p>
                          <w:p w:rsidR="00C431B7" w:rsidRPr="00AE5488" w:rsidRDefault="00C431B7" w:rsidP="00C431B7">
                            <w:pPr>
                              <w:rPr>
                                <w:color w:val="0D0D0D" w:themeColor="text1" w:themeTint="F2"/>
                                <w:lang w:val="es-ES_tradnl"/>
                              </w:rPr>
                            </w:pPr>
                            <w:r w:rsidRPr="00C431B7">
                              <w:rPr>
                                <w:rFonts w:asciiTheme="majorHAnsi" w:hAnsiTheme="majorHAnsi" w:cs="Arial"/>
                                <w:color w:val="0D0D0D" w:themeColor="text1" w:themeTint="F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431B7" w:rsidRPr="004E2649" w:rsidRDefault="00C431B7" w:rsidP="00C431B7">
                      <w:pPr>
                        <w:spacing w:line="276" w:lineRule="auto"/>
                        <w:rPr>
                          <w:rFonts w:asciiTheme="majorHAnsi" w:hAnsiTheme="majorHAnsi" w:cs="Arial"/>
                          <w:b/>
                          <w:bCs/>
                          <w:color w:val="0D0D0D" w:themeColor="text1" w:themeTint="F2"/>
                          <w:sz w:val="36"/>
                          <w:lang w:val="es-ES_tradnl"/>
                        </w:rPr>
                      </w:pPr>
                      <w:r w:rsidRPr="004E2649">
                        <w:rPr>
                          <w:rFonts w:asciiTheme="majorHAnsi" w:hAnsiTheme="majorHAnsi" w:cs="Arial"/>
                          <w:b/>
                          <w:bCs/>
                          <w:color w:val="0D0D0D" w:themeColor="text1" w:themeTint="F2"/>
                          <w:sz w:val="36"/>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lang w:val="es-ES_tradnl"/>
                        </w:rPr>
                        <w:t xml:space="preserve"> </w:t>
                      </w:r>
                      <w:r w:rsidR="000118A8">
                        <w:rPr>
                          <w:rFonts w:asciiTheme="majorHAnsi" w:hAnsiTheme="majorHAnsi" w:cs="Arial"/>
                          <w:b/>
                          <w:bCs/>
                          <w:color w:val="0D0D0D" w:themeColor="text1" w:themeTint="F2"/>
                          <w:sz w:val="36"/>
                          <w:lang w:val="es-ES_tradnl"/>
                        </w:rPr>
                        <w:t>31</w:t>
                      </w:r>
                      <w:r w:rsidRPr="00B40443">
                        <w:rPr>
                          <w:rFonts w:asciiTheme="majorHAnsi" w:hAnsiTheme="majorHAnsi" w:cs="Arial"/>
                          <w:b/>
                          <w:bCs/>
                          <w:color w:val="0D0D0D" w:themeColor="text1" w:themeTint="F2"/>
                          <w:sz w:val="36"/>
                          <w:lang w:val="es-ES_tradnl"/>
                        </w:rPr>
                        <w:t>/15</w:t>
                      </w:r>
                    </w:p>
                    <w:p w:rsidR="00C431B7" w:rsidRPr="004E2649" w:rsidRDefault="00C431B7" w:rsidP="00C431B7">
                      <w:pPr>
                        <w:spacing w:line="276" w:lineRule="auto"/>
                        <w:rPr>
                          <w:rFonts w:asciiTheme="majorHAnsi" w:hAnsiTheme="majorHAnsi" w:cs="Arial"/>
                          <w:b/>
                          <w:color w:val="0D0D0D" w:themeColor="text1" w:themeTint="F2"/>
                          <w:sz w:val="36"/>
                          <w:lang w:val="es-ES_tradnl"/>
                        </w:rPr>
                      </w:pPr>
                      <w:r>
                        <w:rPr>
                          <w:rFonts w:asciiTheme="majorHAnsi" w:hAnsiTheme="majorHAnsi" w:cs="Arial"/>
                          <w:b/>
                          <w:color w:val="0D0D0D" w:themeColor="text1" w:themeTint="F2"/>
                          <w:sz w:val="36"/>
                          <w:lang w:val="es-ES_tradnl"/>
                        </w:rPr>
                        <w:t>CASO</w:t>
                      </w:r>
                      <w:r w:rsidRPr="004E2649">
                        <w:rPr>
                          <w:rFonts w:asciiTheme="majorHAnsi" w:hAnsiTheme="majorHAnsi" w:cs="Arial"/>
                          <w:b/>
                          <w:color w:val="0D0D0D" w:themeColor="text1" w:themeTint="F2"/>
                          <w:sz w:val="36"/>
                          <w:lang w:val="es-ES_tradnl"/>
                        </w:rPr>
                        <w:t xml:space="preserve"> </w:t>
                      </w:r>
                      <w:r>
                        <w:rPr>
                          <w:rFonts w:asciiTheme="majorHAnsi" w:hAnsiTheme="majorHAnsi" w:cs="Arial"/>
                          <w:b/>
                          <w:color w:val="0D0D0D" w:themeColor="text1" w:themeTint="F2"/>
                          <w:sz w:val="36"/>
                          <w:lang w:val="es-ES_tradnl"/>
                        </w:rPr>
                        <w:t>10.522</w:t>
                      </w:r>
                    </w:p>
                    <w:p w:rsidR="00C431B7" w:rsidRPr="0010736F" w:rsidRDefault="00C431B7" w:rsidP="00C431B7">
                      <w:pPr>
                        <w:spacing w:line="276" w:lineRule="auto"/>
                        <w:rPr>
                          <w:rFonts w:asciiTheme="majorHAnsi" w:hAnsiTheme="majorHAnsi" w:cs="Arial"/>
                          <w:color w:val="0D0D0D" w:themeColor="text1" w:themeTint="F2"/>
                          <w:lang w:val="es-ES_tradnl"/>
                        </w:rPr>
                      </w:pPr>
                      <w:r w:rsidRPr="0010736F">
                        <w:rPr>
                          <w:rFonts w:asciiTheme="majorHAnsi" w:hAnsiTheme="majorHAnsi" w:cs="Arial"/>
                          <w:color w:val="0D0D0D" w:themeColor="text1" w:themeTint="F2"/>
                          <w:lang w:val="es-ES_tradnl"/>
                        </w:rPr>
                        <w:t xml:space="preserve">INFORME DE ADMISIBILIDAD </w:t>
                      </w:r>
                    </w:p>
                    <w:p w:rsidR="00C431B7" w:rsidRDefault="00C431B7" w:rsidP="00C431B7">
                      <w:pPr>
                        <w:spacing w:line="276" w:lineRule="auto"/>
                        <w:rPr>
                          <w:rFonts w:asciiTheme="majorHAnsi" w:hAnsiTheme="majorHAnsi" w:cs="Arial"/>
                          <w:color w:val="0D0D0D" w:themeColor="text1" w:themeTint="F2"/>
                          <w:lang w:val="es-ES_tradnl"/>
                        </w:rPr>
                      </w:pPr>
                      <w:bookmarkStart w:id="1" w:name="_ftnref1"/>
                    </w:p>
                    <w:p w:rsidR="00C431B7" w:rsidRPr="0010736F" w:rsidRDefault="00C431B7" w:rsidP="00C431B7">
                      <w:pPr>
                        <w:spacing w:line="276" w:lineRule="auto"/>
                        <w:rPr>
                          <w:rFonts w:asciiTheme="majorHAnsi" w:hAnsiTheme="majorHAnsi" w:cs="Arial"/>
                          <w:color w:val="0D0D0D" w:themeColor="text1" w:themeTint="F2"/>
                          <w:lang w:val="es-ES_tradnl"/>
                        </w:rPr>
                      </w:pPr>
                    </w:p>
                    <w:bookmarkEnd w:id="1"/>
                    <w:p w:rsidR="00C431B7" w:rsidRPr="00C431B7" w:rsidRDefault="00C431B7" w:rsidP="00C431B7">
                      <w:pPr>
                        <w:rPr>
                          <w:rFonts w:asciiTheme="majorHAnsi" w:hAnsiTheme="majorHAnsi" w:cs="Arial"/>
                          <w:color w:val="0D0D0D" w:themeColor="text1" w:themeTint="F2"/>
                          <w:lang w:val="es-ES_tradnl"/>
                        </w:rPr>
                      </w:pPr>
                      <w:r w:rsidRPr="00C431B7">
                        <w:rPr>
                          <w:rFonts w:asciiTheme="majorHAnsi" w:hAnsiTheme="majorHAnsi" w:cs="Arial"/>
                          <w:color w:val="0D0D0D" w:themeColor="text1" w:themeTint="F2"/>
                          <w:lang w:val="es-ES_tradnl"/>
                        </w:rPr>
                        <w:t xml:space="preserve">JUAN FERNÁNDO PORRAS MARTÍNEZ </w:t>
                      </w:r>
                    </w:p>
                    <w:p w:rsidR="00C431B7" w:rsidRPr="00AE5488" w:rsidRDefault="00C431B7" w:rsidP="00C431B7">
                      <w:pPr>
                        <w:rPr>
                          <w:color w:val="0D0D0D" w:themeColor="text1" w:themeTint="F2"/>
                          <w:lang w:val="es-ES_tradnl"/>
                        </w:rPr>
                      </w:pPr>
                      <w:r w:rsidRPr="00C431B7">
                        <w:rPr>
                          <w:rFonts w:asciiTheme="majorHAnsi" w:hAnsiTheme="majorHAnsi" w:cs="Arial"/>
                          <w:color w:val="0D0D0D" w:themeColor="text1" w:themeTint="F2"/>
                          <w:lang w:val="es-ES_tradnl"/>
                        </w:rPr>
                        <w:t>COLOMBIA</w:t>
                      </w:r>
                    </w:p>
                  </w:txbxContent>
                </v:textbox>
              </v:shape>
            </w:pict>
          </mc:Fallback>
        </mc:AlternateContent>
      </w:r>
      <w:r w:rsidRPr="004A4000">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69A4D537" wp14:editId="73948AE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63603A" w:rsidRDefault="00C431B7" w:rsidP="00C431B7">
                            <w:pPr>
                              <w:spacing w:line="276" w:lineRule="auto"/>
                              <w:jc w:val="right"/>
                              <w:rPr>
                                <w:rFonts w:asciiTheme="minorHAnsi" w:hAnsiTheme="minorHAnsi"/>
                                <w:color w:val="FFFFFF" w:themeColor="background1"/>
                                <w:lang w:val="pt-BR"/>
                              </w:rPr>
                            </w:pPr>
                            <w:r w:rsidRPr="0063603A">
                              <w:rPr>
                                <w:rFonts w:asciiTheme="minorHAnsi" w:hAnsiTheme="minorHAnsi"/>
                                <w:color w:val="FFFFFF" w:themeColor="background1"/>
                                <w:lang w:val="pt-BR"/>
                              </w:rPr>
                              <w:t>OEA/Ser.L/V/II.15</w:t>
                            </w:r>
                            <w:r w:rsidR="005758BA" w:rsidRPr="0063603A">
                              <w:rPr>
                                <w:rFonts w:asciiTheme="minorHAnsi" w:hAnsiTheme="minorHAnsi"/>
                                <w:color w:val="FFFFFF" w:themeColor="background1"/>
                                <w:lang w:val="pt-BR"/>
                              </w:rPr>
                              <w:t>5</w:t>
                            </w:r>
                          </w:p>
                          <w:p w:rsidR="00C431B7" w:rsidRPr="0063603A" w:rsidRDefault="00C431B7" w:rsidP="00C431B7">
                            <w:pPr>
                              <w:spacing w:line="276" w:lineRule="auto"/>
                              <w:jc w:val="right"/>
                              <w:rPr>
                                <w:rFonts w:asciiTheme="minorHAnsi" w:hAnsiTheme="minorHAnsi"/>
                                <w:color w:val="FFFFFF" w:themeColor="background1"/>
                                <w:lang w:val="pt-BR"/>
                              </w:rPr>
                            </w:pPr>
                            <w:r w:rsidRPr="0063603A">
                              <w:rPr>
                                <w:rFonts w:asciiTheme="minorHAnsi" w:hAnsiTheme="minorHAnsi"/>
                                <w:color w:val="FFFFFF" w:themeColor="background1"/>
                                <w:lang w:val="pt-BR"/>
                              </w:rPr>
                              <w:t xml:space="preserve">Doc. </w:t>
                            </w:r>
                            <w:r w:rsidR="003C0059" w:rsidRPr="0063603A">
                              <w:rPr>
                                <w:rFonts w:asciiTheme="minorHAnsi" w:hAnsiTheme="minorHAnsi"/>
                                <w:color w:val="FFFFFF" w:themeColor="background1"/>
                                <w:lang w:val="pt-BR"/>
                              </w:rPr>
                              <w:t>10</w:t>
                            </w:r>
                          </w:p>
                          <w:p w:rsidR="00C431B7" w:rsidRPr="003C0059" w:rsidRDefault="00245BBD" w:rsidP="00C431B7">
                            <w:pPr>
                              <w:spacing w:line="276" w:lineRule="auto"/>
                              <w:jc w:val="right"/>
                              <w:rPr>
                                <w:rFonts w:asciiTheme="minorHAnsi" w:hAnsiTheme="minorHAnsi"/>
                                <w:color w:val="FFFFFF" w:themeColor="background1"/>
                                <w:lang w:val="es-AR"/>
                              </w:rPr>
                            </w:pPr>
                            <w:r>
                              <w:rPr>
                                <w:rFonts w:asciiTheme="minorHAnsi" w:hAnsiTheme="minorHAnsi"/>
                                <w:color w:val="FFFFFF" w:themeColor="background1"/>
                                <w:lang w:val="es-AR"/>
                              </w:rPr>
                              <w:t>22 julio</w:t>
                            </w:r>
                            <w:r w:rsidR="00C431B7" w:rsidRPr="003C0059">
                              <w:rPr>
                                <w:rFonts w:asciiTheme="minorHAnsi" w:hAnsiTheme="minorHAnsi"/>
                                <w:color w:val="FFFFFF" w:themeColor="background1"/>
                                <w:lang w:val="es-AR"/>
                              </w:rPr>
                              <w:t xml:space="preserve"> 2015</w:t>
                            </w:r>
                          </w:p>
                          <w:p w:rsidR="00C431B7" w:rsidRPr="00F66DEE" w:rsidRDefault="00C431B7" w:rsidP="00C431B7">
                            <w:pPr>
                              <w:spacing w:line="276" w:lineRule="auto"/>
                              <w:jc w:val="right"/>
                              <w:rPr>
                                <w:rFonts w:asciiTheme="minorHAnsi" w:hAnsiTheme="minorHAnsi"/>
                                <w:color w:val="FFFFFF" w:themeColor="background1"/>
                                <w:lang w:val="es-ES"/>
                              </w:rPr>
                            </w:pPr>
                            <w:r w:rsidRPr="00F66DEE">
                              <w:rPr>
                                <w:rFonts w:asciiTheme="minorHAnsi" w:hAnsiTheme="minorHAnsi"/>
                                <w:color w:val="FFFFFF" w:themeColor="background1"/>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431B7" w:rsidRPr="0063603A" w:rsidRDefault="00C431B7" w:rsidP="00C431B7">
                      <w:pPr>
                        <w:spacing w:line="276" w:lineRule="auto"/>
                        <w:jc w:val="right"/>
                        <w:rPr>
                          <w:rFonts w:asciiTheme="minorHAnsi" w:hAnsiTheme="minorHAnsi"/>
                          <w:color w:val="FFFFFF" w:themeColor="background1"/>
                          <w:lang w:val="pt-BR"/>
                        </w:rPr>
                      </w:pPr>
                      <w:r w:rsidRPr="0063603A">
                        <w:rPr>
                          <w:rFonts w:asciiTheme="minorHAnsi" w:hAnsiTheme="minorHAnsi"/>
                          <w:color w:val="FFFFFF" w:themeColor="background1"/>
                          <w:lang w:val="pt-BR"/>
                        </w:rPr>
                        <w:t>OEA/Ser.L/V/II.15</w:t>
                      </w:r>
                      <w:r w:rsidR="005758BA" w:rsidRPr="0063603A">
                        <w:rPr>
                          <w:rFonts w:asciiTheme="minorHAnsi" w:hAnsiTheme="minorHAnsi"/>
                          <w:color w:val="FFFFFF" w:themeColor="background1"/>
                          <w:lang w:val="pt-BR"/>
                        </w:rPr>
                        <w:t>5</w:t>
                      </w:r>
                    </w:p>
                    <w:p w:rsidR="00C431B7" w:rsidRPr="0063603A" w:rsidRDefault="00C431B7" w:rsidP="00C431B7">
                      <w:pPr>
                        <w:spacing w:line="276" w:lineRule="auto"/>
                        <w:jc w:val="right"/>
                        <w:rPr>
                          <w:rFonts w:asciiTheme="minorHAnsi" w:hAnsiTheme="minorHAnsi"/>
                          <w:color w:val="FFFFFF" w:themeColor="background1"/>
                          <w:lang w:val="pt-BR"/>
                        </w:rPr>
                      </w:pPr>
                      <w:r w:rsidRPr="0063603A">
                        <w:rPr>
                          <w:rFonts w:asciiTheme="minorHAnsi" w:hAnsiTheme="minorHAnsi"/>
                          <w:color w:val="FFFFFF" w:themeColor="background1"/>
                          <w:lang w:val="pt-BR"/>
                        </w:rPr>
                        <w:t xml:space="preserve">Doc. </w:t>
                      </w:r>
                      <w:r w:rsidR="003C0059" w:rsidRPr="0063603A">
                        <w:rPr>
                          <w:rFonts w:asciiTheme="minorHAnsi" w:hAnsiTheme="minorHAnsi"/>
                          <w:color w:val="FFFFFF" w:themeColor="background1"/>
                          <w:lang w:val="pt-BR"/>
                        </w:rPr>
                        <w:t>10</w:t>
                      </w:r>
                    </w:p>
                    <w:p w:rsidR="00C431B7" w:rsidRPr="003C0059" w:rsidRDefault="00245BBD" w:rsidP="00C431B7">
                      <w:pPr>
                        <w:spacing w:line="276" w:lineRule="auto"/>
                        <w:jc w:val="right"/>
                        <w:rPr>
                          <w:rFonts w:asciiTheme="minorHAnsi" w:hAnsiTheme="minorHAnsi"/>
                          <w:color w:val="FFFFFF" w:themeColor="background1"/>
                          <w:lang w:val="es-AR"/>
                        </w:rPr>
                      </w:pPr>
                      <w:r>
                        <w:rPr>
                          <w:rFonts w:asciiTheme="minorHAnsi" w:hAnsiTheme="minorHAnsi"/>
                          <w:color w:val="FFFFFF" w:themeColor="background1"/>
                          <w:lang w:val="es-AR"/>
                        </w:rPr>
                        <w:t>22 julio</w:t>
                      </w:r>
                      <w:r w:rsidR="00C431B7" w:rsidRPr="003C0059">
                        <w:rPr>
                          <w:rFonts w:asciiTheme="minorHAnsi" w:hAnsiTheme="minorHAnsi"/>
                          <w:color w:val="FFFFFF" w:themeColor="background1"/>
                          <w:lang w:val="es-AR"/>
                        </w:rPr>
                        <w:t xml:space="preserve"> 2015</w:t>
                      </w:r>
                    </w:p>
                    <w:p w:rsidR="00C431B7" w:rsidRPr="00F66DEE" w:rsidRDefault="00C431B7" w:rsidP="00C431B7">
                      <w:pPr>
                        <w:spacing w:line="276" w:lineRule="auto"/>
                        <w:jc w:val="right"/>
                        <w:rPr>
                          <w:rFonts w:asciiTheme="minorHAnsi" w:hAnsiTheme="minorHAnsi"/>
                          <w:color w:val="FFFFFF" w:themeColor="background1"/>
                          <w:lang w:val="es-ES"/>
                        </w:rPr>
                      </w:pPr>
                      <w:r w:rsidRPr="00F66DEE">
                        <w:rPr>
                          <w:rFonts w:asciiTheme="minorHAnsi" w:hAnsiTheme="minorHAnsi"/>
                          <w:color w:val="FFFFFF" w:themeColor="background1"/>
                          <w:lang w:val="es-ES"/>
                        </w:rPr>
                        <w:t>Original: español</w:t>
                      </w:r>
                    </w:p>
                  </w:txbxContent>
                </v:textbox>
              </v:shape>
            </w:pict>
          </mc:Fallback>
        </mc:AlternateContent>
      </w: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cs="Arial"/>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24A0A2CC" wp14:editId="4192237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7A5817" w:rsidRDefault="00C431B7" w:rsidP="00C431B7">
                            <w:pPr>
                              <w:tabs>
                                <w:tab w:val="center" w:pos="5400"/>
                              </w:tabs>
                              <w:suppressAutoHyphens/>
                              <w:spacing w:before="60"/>
                              <w:rPr>
                                <w:rFonts w:asciiTheme="minorHAnsi" w:hAnsiTheme="minorHAnsi" w:cs="Univers"/>
                                <w:color w:val="0D0D0D" w:themeColor="text1" w:themeTint="F2"/>
                                <w:sz w:val="20"/>
                                <w:szCs w:val="20"/>
                                <w:lang w:val="es-ES"/>
                              </w:rPr>
                            </w:pPr>
                            <w:r w:rsidRPr="00FA4E31">
                              <w:rPr>
                                <w:rFonts w:asciiTheme="majorHAnsi" w:hAnsiTheme="majorHAnsi"/>
                                <w:color w:val="0D0D0D" w:themeColor="text1" w:themeTint="F2"/>
                                <w:sz w:val="18"/>
                                <w:szCs w:val="20"/>
                                <w:lang w:val="es-ES"/>
                              </w:rPr>
                              <w:t xml:space="preserve">Aprobado por la Comisión en su sesión No. </w:t>
                            </w:r>
                            <w:r w:rsidR="003C0059">
                              <w:rPr>
                                <w:rFonts w:asciiTheme="majorHAnsi" w:hAnsiTheme="majorHAnsi"/>
                                <w:color w:val="0D0D0D" w:themeColor="text1" w:themeTint="F2"/>
                                <w:sz w:val="18"/>
                                <w:szCs w:val="20"/>
                                <w:lang w:val="es-ES"/>
                              </w:rPr>
                              <w:t>2035</w:t>
                            </w:r>
                            <w:r w:rsidRPr="00FA4E31">
                              <w:rPr>
                                <w:rFonts w:asciiTheme="majorHAnsi" w:hAnsiTheme="majorHAnsi"/>
                                <w:color w:val="0D0D0D" w:themeColor="text1" w:themeTint="F2"/>
                                <w:sz w:val="18"/>
                                <w:szCs w:val="20"/>
                                <w:lang w:val="es-ES"/>
                              </w:rPr>
                              <w:t xml:space="preserve"> celebrada el </w:t>
                            </w:r>
                            <w:r w:rsidR="003C0059">
                              <w:rPr>
                                <w:rFonts w:asciiTheme="majorHAnsi" w:hAnsiTheme="majorHAnsi"/>
                                <w:color w:val="0D0D0D" w:themeColor="text1" w:themeTint="F2"/>
                                <w:sz w:val="18"/>
                                <w:szCs w:val="20"/>
                                <w:lang w:val="es-ES"/>
                              </w:rPr>
                              <w:t>22</w:t>
                            </w:r>
                            <w:r w:rsidRPr="00FA4E31">
                              <w:rPr>
                                <w:rFonts w:asciiTheme="majorHAnsi" w:hAnsiTheme="majorHAnsi"/>
                                <w:color w:val="0D0D0D" w:themeColor="text1" w:themeTint="F2"/>
                                <w:sz w:val="18"/>
                                <w:szCs w:val="20"/>
                                <w:lang w:val="es-ES"/>
                              </w:rPr>
                              <w:t xml:space="preserve"> de </w:t>
                            </w:r>
                            <w:r w:rsidR="003C0059">
                              <w:rPr>
                                <w:rFonts w:asciiTheme="majorHAnsi" w:hAnsiTheme="majorHAnsi"/>
                                <w:color w:val="0D0D0D" w:themeColor="text1" w:themeTint="F2"/>
                                <w:sz w:val="18"/>
                                <w:szCs w:val="20"/>
                                <w:lang w:val="es-ES"/>
                              </w:rPr>
                              <w:t>julio</w:t>
                            </w:r>
                            <w:r w:rsidRPr="00FA4E31">
                              <w:rPr>
                                <w:rFonts w:asciiTheme="majorHAnsi" w:hAnsiTheme="majorHAnsi"/>
                                <w:color w:val="0D0D0D" w:themeColor="text1" w:themeTint="F2"/>
                                <w:sz w:val="18"/>
                                <w:szCs w:val="20"/>
                                <w:lang w:val="es-ES"/>
                              </w:rPr>
                              <w:t xml:space="preserve"> de 2015</w:t>
                            </w:r>
                            <w:r w:rsidRPr="00FA4E31">
                              <w:rPr>
                                <w:rFonts w:asciiTheme="majorHAnsi" w:hAnsiTheme="majorHAnsi"/>
                                <w:color w:val="0D0D0D" w:themeColor="text1" w:themeTint="F2"/>
                                <w:sz w:val="18"/>
                                <w:szCs w:val="20"/>
                                <w:lang w:val="es-ES"/>
                              </w:rPr>
                              <w:br/>
                            </w:r>
                            <w:r w:rsidRPr="00FA4E31">
                              <w:rPr>
                                <w:rFonts w:asciiTheme="majorHAnsi" w:hAnsiTheme="majorHAnsi" w:cs="Univers"/>
                                <w:color w:val="0D0D0D" w:themeColor="text1" w:themeTint="F2"/>
                                <w:sz w:val="18"/>
                                <w:szCs w:val="20"/>
                                <w:lang w:val="es-ES_tradnl"/>
                              </w:rPr>
                              <w:t>15</w:t>
                            </w:r>
                            <w:r w:rsidR="003C0059">
                              <w:rPr>
                                <w:rFonts w:asciiTheme="majorHAnsi" w:hAnsiTheme="majorHAnsi" w:cs="Univers"/>
                                <w:color w:val="0D0D0D" w:themeColor="text1" w:themeTint="F2"/>
                                <w:sz w:val="18"/>
                                <w:szCs w:val="20"/>
                                <w:lang w:val="es-ES_tradnl"/>
                              </w:rPr>
                              <w:t>5</w:t>
                            </w:r>
                            <w:r w:rsidRPr="00FA4E31">
                              <w:rPr>
                                <w:rFonts w:asciiTheme="majorHAnsi" w:hAnsiTheme="majorHAnsi" w:cs="Univers"/>
                                <w:color w:val="0D0D0D" w:themeColor="text1" w:themeTint="F2"/>
                                <w:sz w:val="18"/>
                                <w:szCs w:val="20"/>
                                <w:lang w:val="es-ES_tradnl"/>
                              </w:rPr>
                              <w:t xml:space="preserve"> período ordinario de sesiones</w:t>
                            </w:r>
                            <w:r w:rsidR="00DE5C67">
                              <w:rPr>
                                <w:rFonts w:asciiTheme="majorHAnsi" w:hAnsiTheme="majorHAnsi" w:cs="Univers"/>
                                <w:color w:val="0D0D0D" w:themeColor="text1" w:themeTint="F2"/>
                                <w:sz w:val="18"/>
                                <w:szCs w:val="20"/>
                                <w:lang w:val="es-ES_tradnl"/>
                              </w:rPr>
                              <w:t>.</w:t>
                            </w:r>
                          </w:p>
                          <w:p w:rsidR="00C431B7" w:rsidRPr="00167A34" w:rsidRDefault="00C431B7" w:rsidP="00C431B7">
                            <w:pPr>
                              <w:tabs>
                                <w:tab w:val="center" w:pos="5400"/>
                              </w:tabs>
                              <w:suppressAutoHyphens/>
                              <w:spacing w:before="60"/>
                              <w:rPr>
                                <w:color w:val="FFFFFF" w:themeColor="background1"/>
                                <w:spacing w:val="-2"/>
                                <w:sz w:val="16"/>
                                <w:lang w:val="es-ES"/>
                              </w:rPr>
                            </w:pPr>
                          </w:p>
                          <w:p w:rsidR="00C431B7" w:rsidRPr="00FE1DB0" w:rsidRDefault="00C431B7" w:rsidP="00C431B7">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431B7" w:rsidRPr="007A5817" w:rsidRDefault="00C431B7" w:rsidP="00C431B7">
                      <w:pPr>
                        <w:tabs>
                          <w:tab w:val="center" w:pos="5400"/>
                        </w:tabs>
                        <w:suppressAutoHyphens/>
                        <w:spacing w:before="60"/>
                        <w:rPr>
                          <w:rFonts w:asciiTheme="minorHAnsi" w:hAnsiTheme="minorHAnsi" w:cs="Univers"/>
                          <w:color w:val="0D0D0D" w:themeColor="text1" w:themeTint="F2"/>
                          <w:sz w:val="20"/>
                          <w:szCs w:val="20"/>
                          <w:lang w:val="es-ES"/>
                        </w:rPr>
                      </w:pPr>
                      <w:r w:rsidRPr="00FA4E31">
                        <w:rPr>
                          <w:rFonts w:asciiTheme="majorHAnsi" w:hAnsiTheme="majorHAnsi"/>
                          <w:color w:val="0D0D0D" w:themeColor="text1" w:themeTint="F2"/>
                          <w:sz w:val="18"/>
                          <w:szCs w:val="20"/>
                          <w:lang w:val="es-ES"/>
                        </w:rPr>
                        <w:t xml:space="preserve">Aprobado por la Comisión en su sesión No. </w:t>
                      </w:r>
                      <w:r w:rsidR="003C0059">
                        <w:rPr>
                          <w:rFonts w:asciiTheme="majorHAnsi" w:hAnsiTheme="majorHAnsi"/>
                          <w:color w:val="0D0D0D" w:themeColor="text1" w:themeTint="F2"/>
                          <w:sz w:val="18"/>
                          <w:szCs w:val="20"/>
                          <w:lang w:val="es-ES"/>
                        </w:rPr>
                        <w:t>2035</w:t>
                      </w:r>
                      <w:r w:rsidRPr="00FA4E31">
                        <w:rPr>
                          <w:rFonts w:asciiTheme="majorHAnsi" w:hAnsiTheme="majorHAnsi"/>
                          <w:color w:val="0D0D0D" w:themeColor="text1" w:themeTint="F2"/>
                          <w:sz w:val="18"/>
                          <w:szCs w:val="20"/>
                          <w:lang w:val="es-ES"/>
                        </w:rPr>
                        <w:t xml:space="preserve"> celebrada el </w:t>
                      </w:r>
                      <w:r w:rsidR="003C0059">
                        <w:rPr>
                          <w:rFonts w:asciiTheme="majorHAnsi" w:hAnsiTheme="majorHAnsi"/>
                          <w:color w:val="0D0D0D" w:themeColor="text1" w:themeTint="F2"/>
                          <w:sz w:val="18"/>
                          <w:szCs w:val="20"/>
                          <w:lang w:val="es-ES"/>
                        </w:rPr>
                        <w:t>22</w:t>
                      </w:r>
                      <w:r w:rsidRPr="00FA4E31">
                        <w:rPr>
                          <w:rFonts w:asciiTheme="majorHAnsi" w:hAnsiTheme="majorHAnsi"/>
                          <w:color w:val="0D0D0D" w:themeColor="text1" w:themeTint="F2"/>
                          <w:sz w:val="18"/>
                          <w:szCs w:val="20"/>
                          <w:lang w:val="es-ES"/>
                        </w:rPr>
                        <w:t xml:space="preserve"> de </w:t>
                      </w:r>
                      <w:r w:rsidR="003C0059">
                        <w:rPr>
                          <w:rFonts w:asciiTheme="majorHAnsi" w:hAnsiTheme="majorHAnsi"/>
                          <w:color w:val="0D0D0D" w:themeColor="text1" w:themeTint="F2"/>
                          <w:sz w:val="18"/>
                          <w:szCs w:val="20"/>
                          <w:lang w:val="es-ES"/>
                        </w:rPr>
                        <w:t>julio</w:t>
                      </w:r>
                      <w:r w:rsidRPr="00FA4E31">
                        <w:rPr>
                          <w:rFonts w:asciiTheme="majorHAnsi" w:hAnsiTheme="majorHAnsi"/>
                          <w:color w:val="0D0D0D" w:themeColor="text1" w:themeTint="F2"/>
                          <w:sz w:val="18"/>
                          <w:szCs w:val="20"/>
                          <w:lang w:val="es-ES"/>
                        </w:rPr>
                        <w:t xml:space="preserve"> de 2015</w:t>
                      </w:r>
                      <w:r w:rsidRPr="00FA4E31">
                        <w:rPr>
                          <w:rFonts w:asciiTheme="majorHAnsi" w:hAnsiTheme="majorHAnsi"/>
                          <w:color w:val="0D0D0D" w:themeColor="text1" w:themeTint="F2"/>
                          <w:sz w:val="18"/>
                          <w:szCs w:val="20"/>
                          <w:lang w:val="es-ES"/>
                        </w:rPr>
                        <w:br/>
                      </w:r>
                      <w:r w:rsidRPr="00FA4E31">
                        <w:rPr>
                          <w:rFonts w:asciiTheme="majorHAnsi" w:hAnsiTheme="majorHAnsi" w:cs="Univers"/>
                          <w:color w:val="0D0D0D" w:themeColor="text1" w:themeTint="F2"/>
                          <w:sz w:val="18"/>
                          <w:szCs w:val="20"/>
                          <w:lang w:val="es-ES_tradnl"/>
                        </w:rPr>
                        <w:t>15</w:t>
                      </w:r>
                      <w:r w:rsidR="003C0059">
                        <w:rPr>
                          <w:rFonts w:asciiTheme="majorHAnsi" w:hAnsiTheme="majorHAnsi" w:cs="Univers"/>
                          <w:color w:val="0D0D0D" w:themeColor="text1" w:themeTint="F2"/>
                          <w:sz w:val="18"/>
                          <w:szCs w:val="20"/>
                          <w:lang w:val="es-ES_tradnl"/>
                        </w:rPr>
                        <w:t>5</w:t>
                      </w:r>
                      <w:r w:rsidRPr="00FA4E31">
                        <w:rPr>
                          <w:rFonts w:asciiTheme="majorHAnsi" w:hAnsiTheme="majorHAnsi" w:cs="Univers"/>
                          <w:color w:val="0D0D0D" w:themeColor="text1" w:themeTint="F2"/>
                          <w:sz w:val="18"/>
                          <w:szCs w:val="20"/>
                          <w:lang w:val="es-ES_tradnl"/>
                        </w:rPr>
                        <w:t xml:space="preserve"> período ordinario de sesiones</w:t>
                      </w:r>
                      <w:r w:rsidR="00DE5C67">
                        <w:rPr>
                          <w:rFonts w:asciiTheme="majorHAnsi" w:hAnsiTheme="majorHAnsi" w:cs="Univers"/>
                          <w:color w:val="0D0D0D" w:themeColor="text1" w:themeTint="F2"/>
                          <w:sz w:val="18"/>
                          <w:szCs w:val="20"/>
                          <w:lang w:val="es-ES_tradnl"/>
                        </w:rPr>
                        <w:t>.</w:t>
                      </w:r>
                    </w:p>
                    <w:p w:rsidR="00C431B7" w:rsidRPr="00167A34" w:rsidRDefault="00C431B7" w:rsidP="00C431B7">
                      <w:pPr>
                        <w:tabs>
                          <w:tab w:val="center" w:pos="5400"/>
                        </w:tabs>
                        <w:suppressAutoHyphens/>
                        <w:spacing w:before="60"/>
                        <w:rPr>
                          <w:color w:val="FFFFFF" w:themeColor="background1"/>
                          <w:spacing w:val="-2"/>
                          <w:sz w:val="16"/>
                          <w:lang w:val="es-ES"/>
                        </w:rPr>
                      </w:pPr>
                    </w:p>
                    <w:p w:rsidR="00C431B7" w:rsidRPr="00FE1DB0" w:rsidRDefault="00C431B7" w:rsidP="00C431B7">
                      <w:pPr>
                        <w:rPr>
                          <w:lang w:val="es-AR"/>
                        </w:rPr>
                      </w:pPr>
                    </w:p>
                  </w:txbxContent>
                </v:textbox>
              </v:shape>
            </w:pict>
          </mc:Fallback>
        </mc:AlternateContent>
      </w: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p>
    <w:p w:rsidR="00C431B7" w:rsidRPr="004A4000" w:rsidRDefault="00C431B7" w:rsidP="00C431B7">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1E680871" wp14:editId="181899F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F66DEE" w:rsidRDefault="00C431B7" w:rsidP="00C431B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FA4E31">
                              <w:rPr>
                                <w:rFonts w:asciiTheme="majorHAnsi" w:hAnsiTheme="majorHAnsi"/>
                                <w:b/>
                                <w:color w:val="595959" w:themeColor="text1" w:themeTint="A6"/>
                                <w:sz w:val="18"/>
                                <w:szCs w:val="18"/>
                                <w:lang w:val="pt-BR"/>
                              </w:rPr>
                              <w:t>como:</w:t>
                            </w:r>
                            <w:r w:rsidRPr="00FA4E31">
                              <w:rPr>
                                <w:rFonts w:asciiTheme="majorHAnsi" w:hAnsiTheme="majorHAnsi"/>
                                <w:color w:val="595959" w:themeColor="text1" w:themeTint="A6"/>
                                <w:sz w:val="18"/>
                                <w:szCs w:val="18"/>
                                <w:lang w:val="pt-BR"/>
                              </w:rPr>
                              <w:t xml:space="preserve"> CIDH, Informe No. </w:t>
                            </w:r>
                            <w:r w:rsidR="000118A8" w:rsidRPr="000118A8">
                              <w:rPr>
                                <w:rFonts w:asciiTheme="majorHAnsi" w:hAnsiTheme="majorHAnsi"/>
                                <w:color w:val="595959" w:themeColor="text1" w:themeTint="A6"/>
                                <w:sz w:val="18"/>
                                <w:szCs w:val="18"/>
                                <w:lang w:val="pt-BR"/>
                              </w:rPr>
                              <w:t>31/15</w:t>
                            </w:r>
                            <w:r w:rsidRPr="000118A8">
                              <w:rPr>
                                <w:rFonts w:asciiTheme="majorHAnsi" w:hAnsiTheme="majorHAnsi"/>
                                <w:color w:val="595959" w:themeColor="text1" w:themeTint="A6"/>
                                <w:sz w:val="18"/>
                                <w:szCs w:val="18"/>
                                <w:lang w:val="pt-BR"/>
                              </w:rPr>
                              <w:t xml:space="preserve">, Caso 10.522. </w:t>
                            </w:r>
                            <w:r w:rsidRPr="00FA4E31">
                              <w:rPr>
                                <w:rFonts w:asciiTheme="majorHAnsi" w:hAnsiTheme="majorHAnsi"/>
                                <w:color w:val="595959" w:themeColor="text1" w:themeTint="A6"/>
                                <w:sz w:val="18"/>
                                <w:szCs w:val="18"/>
                                <w:lang w:val="es-ES_tradnl"/>
                              </w:rPr>
                              <w:t xml:space="preserve">Admisibilidad. Juan Fernando Porras Martínez. Colombia. </w:t>
                            </w:r>
                            <w:r w:rsidR="003C0059">
                              <w:rPr>
                                <w:rFonts w:asciiTheme="majorHAnsi" w:hAnsiTheme="majorHAnsi"/>
                                <w:color w:val="595959" w:themeColor="text1" w:themeTint="A6"/>
                                <w:sz w:val="18"/>
                                <w:szCs w:val="18"/>
                                <w:lang w:val="es-ES_tradnl"/>
                              </w:rPr>
                              <w:t>22 de julio de 2015</w:t>
                            </w:r>
                            <w:r w:rsidRPr="00FA4E3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431B7" w:rsidRPr="00F66DEE" w:rsidRDefault="00C431B7" w:rsidP="00C431B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FA4E31">
                        <w:rPr>
                          <w:rFonts w:asciiTheme="majorHAnsi" w:hAnsiTheme="majorHAnsi"/>
                          <w:b/>
                          <w:color w:val="595959" w:themeColor="text1" w:themeTint="A6"/>
                          <w:sz w:val="18"/>
                          <w:szCs w:val="18"/>
                          <w:lang w:val="pt-BR"/>
                        </w:rPr>
                        <w:t>como:</w:t>
                      </w:r>
                      <w:r w:rsidRPr="00FA4E31">
                        <w:rPr>
                          <w:rFonts w:asciiTheme="majorHAnsi" w:hAnsiTheme="majorHAnsi"/>
                          <w:color w:val="595959" w:themeColor="text1" w:themeTint="A6"/>
                          <w:sz w:val="18"/>
                          <w:szCs w:val="18"/>
                          <w:lang w:val="pt-BR"/>
                        </w:rPr>
                        <w:t xml:space="preserve"> CIDH, Informe No. </w:t>
                      </w:r>
                      <w:r w:rsidR="000118A8" w:rsidRPr="000118A8">
                        <w:rPr>
                          <w:rFonts w:asciiTheme="majorHAnsi" w:hAnsiTheme="majorHAnsi"/>
                          <w:color w:val="595959" w:themeColor="text1" w:themeTint="A6"/>
                          <w:sz w:val="18"/>
                          <w:szCs w:val="18"/>
                          <w:lang w:val="pt-BR"/>
                        </w:rPr>
                        <w:t>31/15</w:t>
                      </w:r>
                      <w:r w:rsidRPr="000118A8">
                        <w:rPr>
                          <w:rFonts w:asciiTheme="majorHAnsi" w:hAnsiTheme="majorHAnsi"/>
                          <w:color w:val="595959" w:themeColor="text1" w:themeTint="A6"/>
                          <w:sz w:val="18"/>
                          <w:szCs w:val="18"/>
                          <w:lang w:val="pt-BR"/>
                        </w:rPr>
                        <w:t xml:space="preserve">, Caso 10.522. </w:t>
                      </w:r>
                      <w:r w:rsidRPr="00FA4E31">
                        <w:rPr>
                          <w:rFonts w:asciiTheme="majorHAnsi" w:hAnsiTheme="majorHAnsi"/>
                          <w:color w:val="595959" w:themeColor="text1" w:themeTint="A6"/>
                          <w:sz w:val="18"/>
                          <w:szCs w:val="18"/>
                          <w:lang w:val="es-ES_tradnl"/>
                        </w:rPr>
                        <w:t xml:space="preserve">Admisibilidad. Juan Fernando Porras Martínez. Colombia. </w:t>
                      </w:r>
                      <w:r w:rsidR="003C0059">
                        <w:rPr>
                          <w:rFonts w:asciiTheme="majorHAnsi" w:hAnsiTheme="majorHAnsi"/>
                          <w:color w:val="595959" w:themeColor="text1" w:themeTint="A6"/>
                          <w:sz w:val="18"/>
                          <w:szCs w:val="18"/>
                          <w:lang w:val="es-ES_tradnl"/>
                        </w:rPr>
                        <w:t>22 de julio de 201</w:t>
                      </w:r>
                      <w:bookmarkStart w:id="3" w:name="_GoBack"/>
                      <w:bookmarkEnd w:id="3"/>
                      <w:r w:rsidR="003C0059">
                        <w:rPr>
                          <w:rFonts w:asciiTheme="majorHAnsi" w:hAnsiTheme="majorHAnsi"/>
                          <w:color w:val="595959" w:themeColor="text1" w:themeTint="A6"/>
                          <w:sz w:val="18"/>
                          <w:szCs w:val="18"/>
                          <w:lang w:val="es-ES_tradnl"/>
                        </w:rPr>
                        <w:t>5</w:t>
                      </w:r>
                      <w:r w:rsidRPr="00FA4E31">
                        <w:rPr>
                          <w:rFonts w:asciiTheme="majorHAnsi" w:hAnsiTheme="majorHAnsi"/>
                          <w:color w:val="595959" w:themeColor="text1" w:themeTint="A6"/>
                          <w:sz w:val="18"/>
                          <w:szCs w:val="18"/>
                          <w:lang w:val="es-ES"/>
                        </w:rPr>
                        <w:t>.</w:t>
                      </w:r>
                    </w:p>
                  </w:txbxContent>
                </v:textbox>
              </v:shape>
            </w:pict>
          </mc:Fallback>
        </mc:AlternateContent>
      </w:r>
      <w:r w:rsidRPr="004A4000">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02D75414" wp14:editId="19C1315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D72DC6" w:rsidRDefault="00C431B7" w:rsidP="00C431B7">
                            <w:pPr>
                              <w:rPr>
                                <w:color w:val="FFFFFF" w:themeColor="background1"/>
                                <w14:textFill>
                                  <w14:noFill/>
                                </w14:textFill>
                              </w:rPr>
                            </w:pPr>
                            <w:r w:rsidRPr="00D72DC6">
                              <w:rPr>
                                <w:noProof/>
                                <w:color w:val="FFFFFF" w:themeColor="background1"/>
                                <w14:textFill>
                                  <w14:noFill/>
                                </w14:textFill>
                              </w:rPr>
                              <w:drawing>
                                <wp:inline distT="0" distB="0" distL="0" distR="0" wp14:anchorId="7D0FB4A8" wp14:editId="5E92986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431B7" w:rsidRPr="00D72DC6" w:rsidRDefault="00C431B7" w:rsidP="00C431B7">
                      <w:pPr>
                        <w:rPr>
                          <w:color w:val="FFFFFF" w:themeColor="background1"/>
                          <w14:textFill>
                            <w14:noFill/>
                          </w14:textFill>
                        </w:rPr>
                      </w:pPr>
                      <w:r w:rsidRPr="00D72DC6">
                        <w:rPr>
                          <w:noProof/>
                          <w:color w:val="FFFFFF" w:themeColor="background1"/>
                          <w14:textFill>
                            <w14:noFill/>
                          </w14:textFill>
                        </w:rPr>
                        <w:drawing>
                          <wp:inline distT="0" distB="0" distL="0" distR="0" wp14:anchorId="7D0FB4A8" wp14:editId="5E92986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A4000">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238EF203" wp14:editId="3DE71C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B7" w:rsidRPr="004B7EB6" w:rsidRDefault="00C431B7" w:rsidP="00C431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431B7" w:rsidRPr="004B7EB6" w:rsidRDefault="00C431B7" w:rsidP="00C431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C431B7" w:rsidRPr="004A4000" w:rsidRDefault="00C431B7" w:rsidP="00C431B7">
      <w:pPr>
        <w:tabs>
          <w:tab w:val="left" w:pos="0"/>
          <w:tab w:val="center" w:pos="5400"/>
        </w:tabs>
        <w:suppressAutoHyphens/>
        <w:spacing w:after="200"/>
        <w:ind w:firstLine="720"/>
        <w:jc w:val="center"/>
        <w:rPr>
          <w:rFonts w:asciiTheme="majorHAnsi" w:hAnsiTheme="majorHAnsi"/>
          <w:b/>
          <w:sz w:val="20"/>
          <w:szCs w:val="20"/>
          <w:lang w:val="es-ES_tradnl"/>
        </w:rPr>
        <w:sectPr w:rsidR="00C431B7" w:rsidRPr="004A4000" w:rsidSect="00C431B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pPr>
    </w:p>
    <w:p w:rsidR="00C431B7" w:rsidRDefault="00C431B7">
      <w:pPr>
        <w:spacing w:after="0"/>
        <w:rPr>
          <w:rFonts w:ascii="Cambria" w:hAnsi="Cambria"/>
          <w:b/>
          <w:sz w:val="20"/>
          <w:szCs w:val="20"/>
          <w:lang w:val="es-AR"/>
        </w:rPr>
      </w:pPr>
    </w:p>
    <w:p w:rsidR="00795F8C" w:rsidRPr="005758BA" w:rsidRDefault="00727583" w:rsidP="005758BA">
      <w:pPr>
        <w:spacing w:after="0"/>
        <w:jc w:val="center"/>
        <w:rPr>
          <w:rFonts w:asciiTheme="majorHAnsi" w:hAnsiTheme="majorHAnsi"/>
          <w:sz w:val="18"/>
          <w:szCs w:val="18"/>
          <w:lang w:val="es-AR"/>
        </w:rPr>
      </w:pPr>
      <w:r w:rsidRPr="005758BA">
        <w:rPr>
          <w:rFonts w:asciiTheme="majorHAnsi" w:hAnsiTheme="majorHAnsi"/>
          <w:b/>
          <w:sz w:val="18"/>
          <w:szCs w:val="18"/>
          <w:lang w:val="es-AR"/>
        </w:rPr>
        <w:t xml:space="preserve">INFORME No. </w:t>
      </w:r>
      <w:r w:rsidR="00334908">
        <w:rPr>
          <w:rFonts w:asciiTheme="majorHAnsi" w:hAnsiTheme="majorHAnsi"/>
          <w:b/>
          <w:sz w:val="18"/>
          <w:szCs w:val="18"/>
          <w:lang w:val="es-AR"/>
        </w:rPr>
        <w:t>31</w:t>
      </w:r>
      <w:r w:rsidRPr="005758BA">
        <w:rPr>
          <w:rFonts w:asciiTheme="majorHAnsi" w:hAnsiTheme="majorHAnsi"/>
          <w:b/>
          <w:sz w:val="18"/>
          <w:szCs w:val="18"/>
          <w:lang w:val="es-AR"/>
        </w:rPr>
        <w:t xml:space="preserve">/15 </w:t>
      </w:r>
      <w:r w:rsidR="00795F8C" w:rsidRPr="005758BA">
        <w:rPr>
          <w:rFonts w:asciiTheme="majorHAnsi" w:hAnsiTheme="majorHAnsi"/>
          <w:b/>
          <w:sz w:val="18"/>
          <w:szCs w:val="18"/>
          <w:lang w:val="es-AR"/>
        </w:rPr>
        <w:br/>
        <w:t>CASO 10.522</w:t>
      </w:r>
      <w:r w:rsidRPr="005758BA">
        <w:rPr>
          <w:rFonts w:asciiTheme="majorHAnsi" w:hAnsiTheme="majorHAnsi"/>
          <w:sz w:val="18"/>
          <w:szCs w:val="18"/>
          <w:lang w:val="es-AR"/>
        </w:rPr>
        <w:t xml:space="preserve"> </w:t>
      </w:r>
      <w:r w:rsidR="00795F8C" w:rsidRPr="005758BA">
        <w:rPr>
          <w:rFonts w:asciiTheme="majorHAnsi" w:hAnsiTheme="majorHAnsi"/>
          <w:sz w:val="18"/>
          <w:szCs w:val="18"/>
          <w:lang w:val="es-AR"/>
        </w:rPr>
        <w:br/>
      </w:r>
      <w:r w:rsidRPr="005758BA">
        <w:rPr>
          <w:rFonts w:asciiTheme="majorHAnsi" w:hAnsiTheme="majorHAnsi"/>
          <w:sz w:val="18"/>
          <w:szCs w:val="18"/>
          <w:lang w:val="es-AR"/>
        </w:rPr>
        <w:t xml:space="preserve">INFORME DE ADMISIBILIDAD </w:t>
      </w:r>
      <w:r w:rsidR="00795F8C" w:rsidRPr="005758BA">
        <w:rPr>
          <w:rFonts w:asciiTheme="majorHAnsi" w:hAnsiTheme="majorHAnsi"/>
          <w:sz w:val="18"/>
          <w:szCs w:val="18"/>
          <w:lang w:val="es-AR"/>
        </w:rPr>
        <w:br/>
        <w:t>JUAN FERNÁND</w:t>
      </w:r>
      <w:r w:rsidR="001F490A" w:rsidRPr="005758BA">
        <w:rPr>
          <w:rFonts w:asciiTheme="majorHAnsi" w:hAnsiTheme="majorHAnsi"/>
          <w:sz w:val="18"/>
          <w:szCs w:val="18"/>
          <w:lang w:val="es-AR"/>
        </w:rPr>
        <w:t>O</w:t>
      </w:r>
      <w:r w:rsidR="00795F8C" w:rsidRPr="005758BA">
        <w:rPr>
          <w:rFonts w:asciiTheme="majorHAnsi" w:hAnsiTheme="majorHAnsi"/>
          <w:sz w:val="18"/>
          <w:szCs w:val="18"/>
          <w:lang w:val="es-AR"/>
        </w:rPr>
        <w:t xml:space="preserve"> PORRAS MARTÍNEZ </w:t>
      </w:r>
      <w:r w:rsidR="00795F8C" w:rsidRPr="005758BA">
        <w:rPr>
          <w:rFonts w:asciiTheme="majorHAnsi" w:hAnsiTheme="majorHAnsi"/>
          <w:sz w:val="18"/>
          <w:szCs w:val="18"/>
          <w:lang w:val="es-AR"/>
        </w:rPr>
        <w:br/>
      </w:r>
      <w:r w:rsidRPr="005758BA">
        <w:rPr>
          <w:rFonts w:asciiTheme="majorHAnsi" w:hAnsiTheme="majorHAnsi"/>
          <w:sz w:val="18"/>
          <w:szCs w:val="18"/>
          <w:lang w:val="es-AR"/>
        </w:rPr>
        <w:t xml:space="preserve">COLOMBIA </w:t>
      </w:r>
      <w:r w:rsidR="00795F8C" w:rsidRPr="005758BA">
        <w:rPr>
          <w:rFonts w:asciiTheme="majorHAnsi" w:hAnsiTheme="majorHAnsi"/>
          <w:sz w:val="18"/>
          <w:szCs w:val="18"/>
          <w:lang w:val="es-AR"/>
        </w:rPr>
        <w:br/>
      </w:r>
      <w:r w:rsidR="0063603A">
        <w:rPr>
          <w:rFonts w:asciiTheme="majorHAnsi" w:hAnsiTheme="majorHAnsi"/>
          <w:sz w:val="18"/>
          <w:szCs w:val="18"/>
          <w:lang w:val="es-AR"/>
        </w:rPr>
        <w:t>22 DE JULIO DE 2015</w:t>
      </w:r>
    </w:p>
    <w:p w:rsidR="00795F8C" w:rsidRDefault="00795F8C" w:rsidP="005758BA">
      <w:pPr>
        <w:spacing w:after="0"/>
        <w:ind w:firstLine="720"/>
        <w:jc w:val="both"/>
        <w:rPr>
          <w:rFonts w:asciiTheme="majorHAnsi" w:hAnsiTheme="majorHAnsi"/>
          <w:sz w:val="20"/>
          <w:szCs w:val="20"/>
          <w:lang w:val="es-AR"/>
        </w:rPr>
      </w:pPr>
    </w:p>
    <w:p w:rsidR="00FA4E31" w:rsidRPr="005758BA" w:rsidRDefault="00FA4E31" w:rsidP="005758BA">
      <w:pPr>
        <w:spacing w:after="0"/>
        <w:ind w:firstLine="720"/>
        <w:jc w:val="both"/>
        <w:rPr>
          <w:rFonts w:asciiTheme="majorHAnsi" w:hAnsiTheme="majorHAnsi"/>
          <w:sz w:val="20"/>
          <w:szCs w:val="20"/>
          <w:lang w:val="es-AR"/>
        </w:rPr>
      </w:pPr>
    </w:p>
    <w:p w:rsidR="006F487B" w:rsidRPr="005758BA" w:rsidRDefault="006F487B" w:rsidP="005758BA">
      <w:pPr>
        <w:pStyle w:val="Heading1"/>
      </w:pPr>
      <w:r w:rsidRPr="005758BA">
        <w:t>RESUMEN</w:t>
      </w:r>
    </w:p>
    <w:p w:rsidR="005758BA" w:rsidRPr="005758BA" w:rsidRDefault="005758BA" w:rsidP="005758BA">
      <w:pPr>
        <w:spacing w:after="0"/>
        <w:jc w:val="both"/>
        <w:rPr>
          <w:rFonts w:asciiTheme="majorHAnsi" w:hAnsiTheme="majorHAnsi"/>
          <w:b/>
          <w:sz w:val="20"/>
          <w:szCs w:val="20"/>
          <w:lang w:val="es-AR"/>
        </w:rPr>
      </w:pPr>
    </w:p>
    <w:p w:rsidR="006F487B" w:rsidRPr="005758BA" w:rsidRDefault="00F32A2E"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El 2 de marzo de 1990, la </w:t>
      </w:r>
      <w:r w:rsidR="00795F8C" w:rsidRPr="005758BA">
        <w:rPr>
          <w:rFonts w:asciiTheme="majorHAnsi" w:hAnsiTheme="majorHAnsi"/>
          <w:sz w:val="20"/>
          <w:szCs w:val="20"/>
          <w:lang w:val="es-AR"/>
        </w:rPr>
        <w:t>Comisión Interamericana de Derechos Humanos (en adelante</w:t>
      </w:r>
      <w:r w:rsidR="00BE77E0" w:rsidRPr="005758BA">
        <w:rPr>
          <w:rFonts w:asciiTheme="majorHAnsi" w:hAnsiTheme="majorHAnsi"/>
          <w:sz w:val="20"/>
          <w:szCs w:val="20"/>
          <w:lang w:val="es-AR"/>
        </w:rPr>
        <w:t>,</w:t>
      </w:r>
      <w:r w:rsidR="00795F8C" w:rsidRPr="005758BA">
        <w:rPr>
          <w:rFonts w:asciiTheme="majorHAnsi" w:hAnsiTheme="majorHAnsi"/>
          <w:sz w:val="20"/>
          <w:szCs w:val="20"/>
          <w:lang w:val="es-AR"/>
        </w:rPr>
        <w:t xml:space="preserve"> “la Comisión” o “la CIDH”)</w:t>
      </w:r>
      <w:r w:rsidRPr="005758BA">
        <w:rPr>
          <w:rFonts w:asciiTheme="majorHAnsi" w:hAnsiTheme="majorHAnsi"/>
          <w:sz w:val="20"/>
          <w:szCs w:val="20"/>
          <w:lang w:val="es-AR"/>
        </w:rPr>
        <w:t xml:space="preserve"> recibió </w:t>
      </w:r>
      <w:r w:rsidR="002A1E77" w:rsidRPr="005758BA">
        <w:rPr>
          <w:rFonts w:asciiTheme="majorHAnsi" w:hAnsiTheme="majorHAnsi"/>
          <w:sz w:val="20"/>
          <w:szCs w:val="20"/>
          <w:lang w:val="es-AR"/>
        </w:rPr>
        <w:t>información</w:t>
      </w:r>
      <w:r w:rsidR="00CC7484" w:rsidRPr="005758BA">
        <w:rPr>
          <w:rFonts w:asciiTheme="majorHAnsi" w:hAnsiTheme="majorHAnsi"/>
          <w:sz w:val="20"/>
          <w:szCs w:val="20"/>
          <w:lang w:val="es-AR"/>
        </w:rPr>
        <w:t xml:space="preserve"> mediante</w:t>
      </w:r>
      <w:r w:rsidRPr="005758BA">
        <w:rPr>
          <w:rFonts w:asciiTheme="majorHAnsi" w:hAnsiTheme="majorHAnsi"/>
          <w:sz w:val="20"/>
          <w:szCs w:val="20"/>
          <w:lang w:val="es-AR"/>
        </w:rPr>
        <w:t xml:space="preserve"> </w:t>
      </w:r>
      <w:r w:rsidR="00CC7484" w:rsidRPr="005758BA">
        <w:rPr>
          <w:rFonts w:asciiTheme="majorHAnsi" w:hAnsiTheme="majorHAnsi"/>
          <w:sz w:val="20"/>
          <w:szCs w:val="20"/>
          <w:lang w:val="es-AR"/>
        </w:rPr>
        <w:t>una</w:t>
      </w:r>
      <w:r w:rsidR="002A1E77" w:rsidRPr="005758BA">
        <w:rPr>
          <w:rFonts w:asciiTheme="majorHAnsi" w:hAnsiTheme="majorHAnsi"/>
          <w:sz w:val="20"/>
          <w:szCs w:val="20"/>
          <w:lang w:val="es-AR"/>
        </w:rPr>
        <w:t xml:space="preserve"> nota </w:t>
      </w:r>
      <w:r w:rsidRPr="005758BA">
        <w:rPr>
          <w:rFonts w:asciiTheme="majorHAnsi" w:hAnsiTheme="majorHAnsi"/>
          <w:sz w:val="20"/>
          <w:szCs w:val="20"/>
          <w:lang w:val="es-AR"/>
        </w:rPr>
        <w:t>fecha</w:t>
      </w:r>
      <w:r w:rsidR="002A1E77" w:rsidRPr="005758BA">
        <w:rPr>
          <w:rFonts w:asciiTheme="majorHAnsi" w:hAnsiTheme="majorHAnsi"/>
          <w:sz w:val="20"/>
          <w:szCs w:val="20"/>
          <w:lang w:val="es-AR"/>
        </w:rPr>
        <w:t>da</w:t>
      </w:r>
      <w:r w:rsidRPr="005758BA">
        <w:rPr>
          <w:rFonts w:asciiTheme="majorHAnsi" w:hAnsiTheme="majorHAnsi"/>
          <w:sz w:val="20"/>
          <w:szCs w:val="20"/>
          <w:lang w:val="es-AR"/>
        </w:rPr>
        <w:t xml:space="preserve"> 13 de febrero del mismo año, remitida por la Corporación Colectivo de Abogados</w:t>
      </w:r>
      <w:r w:rsidR="007E3F9D" w:rsidRPr="005758BA">
        <w:rPr>
          <w:rFonts w:asciiTheme="majorHAnsi" w:hAnsiTheme="majorHAnsi"/>
          <w:sz w:val="20"/>
          <w:szCs w:val="20"/>
          <w:lang w:val="es-AR"/>
        </w:rPr>
        <w:t xml:space="preserve"> y</w:t>
      </w:r>
      <w:r w:rsidR="00C84FA0" w:rsidRPr="005758BA">
        <w:rPr>
          <w:rFonts w:asciiTheme="majorHAnsi" w:hAnsiTheme="majorHAnsi"/>
          <w:sz w:val="20"/>
          <w:szCs w:val="20"/>
          <w:lang w:val="es-AR"/>
        </w:rPr>
        <w:t>,</w:t>
      </w:r>
      <w:r w:rsidR="007E3F9D" w:rsidRPr="005758BA">
        <w:rPr>
          <w:rFonts w:asciiTheme="majorHAnsi" w:hAnsiTheme="majorHAnsi"/>
          <w:sz w:val="20"/>
          <w:szCs w:val="20"/>
          <w:lang w:val="es-AR"/>
        </w:rPr>
        <w:t xml:space="preserve"> </w:t>
      </w:r>
      <w:r w:rsidR="00C84FA0" w:rsidRPr="005758BA">
        <w:rPr>
          <w:rFonts w:asciiTheme="majorHAnsi" w:hAnsiTheme="majorHAnsi"/>
          <w:sz w:val="20"/>
          <w:szCs w:val="20"/>
          <w:lang w:val="es-AR"/>
        </w:rPr>
        <w:t>subsiguientemente,</w:t>
      </w:r>
      <w:r w:rsidR="007E3F9D" w:rsidRPr="005758BA">
        <w:rPr>
          <w:rFonts w:asciiTheme="majorHAnsi" w:hAnsiTheme="majorHAnsi"/>
          <w:sz w:val="20"/>
          <w:szCs w:val="20"/>
          <w:lang w:val="es-AR"/>
        </w:rPr>
        <w:t xml:space="preserve"> por el Comité de Solidaridad con los Presos Políticos </w:t>
      </w:r>
      <w:r w:rsidR="00795F8C" w:rsidRPr="005758BA">
        <w:rPr>
          <w:rFonts w:asciiTheme="majorHAnsi" w:hAnsiTheme="majorHAnsi"/>
          <w:sz w:val="20"/>
          <w:szCs w:val="20"/>
          <w:lang w:val="es-AR"/>
        </w:rPr>
        <w:t>(en adelante</w:t>
      </w:r>
      <w:r w:rsidR="00BE77E0" w:rsidRPr="005758BA">
        <w:rPr>
          <w:rFonts w:asciiTheme="majorHAnsi" w:hAnsiTheme="majorHAnsi"/>
          <w:sz w:val="20"/>
          <w:szCs w:val="20"/>
          <w:lang w:val="es-AR"/>
        </w:rPr>
        <w:t>,</w:t>
      </w:r>
      <w:r w:rsidR="00795F8C" w:rsidRPr="005758BA">
        <w:rPr>
          <w:rFonts w:asciiTheme="majorHAnsi" w:hAnsiTheme="majorHAnsi"/>
          <w:sz w:val="20"/>
          <w:szCs w:val="20"/>
          <w:lang w:val="es-AR"/>
        </w:rPr>
        <w:t xml:space="preserve"> “los peticionarios”)</w:t>
      </w:r>
      <w:r w:rsidR="00BE77E0" w:rsidRPr="005758BA">
        <w:rPr>
          <w:rStyle w:val="FootnoteReference"/>
          <w:rFonts w:asciiTheme="majorHAnsi" w:hAnsiTheme="majorHAnsi"/>
          <w:sz w:val="20"/>
          <w:szCs w:val="20"/>
          <w:lang w:val="es-AR"/>
        </w:rPr>
        <w:footnoteReference w:id="1"/>
      </w:r>
      <w:r w:rsidR="002A1E77" w:rsidRPr="005758BA">
        <w:rPr>
          <w:rFonts w:asciiTheme="majorHAnsi" w:hAnsiTheme="majorHAnsi"/>
          <w:sz w:val="20"/>
          <w:szCs w:val="20"/>
          <w:lang w:val="es-AR"/>
        </w:rPr>
        <w:t>,</w:t>
      </w:r>
      <w:r w:rsidR="001D3626" w:rsidRPr="005758BA">
        <w:rPr>
          <w:rFonts w:asciiTheme="majorHAnsi" w:hAnsiTheme="majorHAnsi"/>
          <w:sz w:val="20"/>
          <w:szCs w:val="20"/>
          <w:lang w:val="es-AR"/>
        </w:rPr>
        <w:t xml:space="preserve"> sobre la alegada responsabilidad de la República de Colombia (en adelante</w:t>
      </w:r>
      <w:r w:rsidR="00BE77E0" w:rsidRPr="005758BA">
        <w:rPr>
          <w:rFonts w:asciiTheme="majorHAnsi" w:hAnsiTheme="majorHAnsi"/>
          <w:sz w:val="20"/>
          <w:szCs w:val="20"/>
          <w:lang w:val="es-AR"/>
        </w:rPr>
        <w:t>,</w:t>
      </w:r>
      <w:r w:rsidR="001D3626" w:rsidRPr="005758BA">
        <w:rPr>
          <w:rFonts w:asciiTheme="majorHAnsi" w:hAnsiTheme="majorHAnsi"/>
          <w:sz w:val="20"/>
          <w:szCs w:val="20"/>
          <w:lang w:val="es-AR"/>
        </w:rPr>
        <w:t xml:space="preserve"> "el Estado" o “Colombia”) por la desaparición forzada </w:t>
      </w:r>
      <w:r w:rsidR="00956453" w:rsidRPr="005758BA">
        <w:rPr>
          <w:rFonts w:asciiTheme="majorHAnsi" w:hAnsiTheme="majorHAnsi"/>
          <w:sz w:val="20"/>
          <w:szCs w:val="20"/>
          <w:lang w:val="es-AR"/>
        </w:rPr>
        <w:t xml:space="preserve">y tortura </w:t>
      </w:r>
      <w:r w:rsidR="001D3626" w:rsidRPr="005758BA">
        <w:rPr>
          <w:rFonts w:asciiTheme="majorHAnsi" w:hAnsiTheme="majorHAnsi"/>
          <w:sz w:val="20"/>
          <w:szCs w:val="20"/>
          <w:lang w:val="es-AR"/>
        </w:rPr>
        <w:t>de</w:t>
      </w:r>
      <w:r w:rsidRPr="005758BA">
        <w:rPr>
          <w:rFonts w:asciiTheme="majorHAnsi" w:hAnsiTheme="majorHAnsi"/>
          <w:sz w:val="20"/>
          <w:szCs w:val="20"/>
          <w:lang w:val="es-AR"/>
        </w:rPr>
        <w:t xml:space="preserve"> </w:t>
      </w:r>
      <w:r w:rsidR="001D3626" w:rsidRPr="005758BA">
        <w:rPr>
          <w:rFonts w:asciiTheme="majorHAnsi" w:hAnsiTheme="majorHAnsi"/>
          <w:sz w:val="20"/>
          <w:szCs w:val="20"/>
          <w:lang w:val="es-AR"/>
        </w:rPr>
        <w:t xml:space="preserve">Juan </w:t>
      </w:r>
      <w:r w:rsidR="001F490A" w:rsidRPr="005758BA">
        <w:rPr>
          <w:rFonts w:asciiTheme="majorHAnsi" w:hAnsiTheme="majorHAnsi"/>
          <w:sz w:val="20"/>
          <w:szCs w:val="20"/>
          <w:lang w:val="es-AR"/>
        </w:rPr>
        <w:t xml:space="preserve">Fernando </w:t>
      </w:r>
      <w:r w:rsidR="001D3626" w:rsidRPr="005758BA">
        <w:rPr>
          <w:rFonts w:asciiTheme="majorHAnsi" w:hAnsiTheme="majorHAnsi"/>
          <w:sz w:val="20"/>
          <w:szCs w:val="20"/>
          <w:lang w:val="es-AR"/>
        </w:rPr>
        <w:t>Porras Martínez (en adelante</w:t>
      </w:r>
      <w:r w:rsidR="00BE77E0" w:rsidRPr="005758BA">
        <w:rPr>
          <w:rFonts w:asciiTheme="majorHAnsi" w:hAnsiTheme="majorHAnsi"/>
          <w:sz w:val="20"/>
          <w:szCs w:val="20"/>
          <w:lang w:val="es-AR"/>
        </w:rPr>
        <w:t xml:space="preserve"> </w:t>
      </w:r>
      <w:r w:rsidR="001D3626" w:rsidRPr="005758BA">
        <w:rPr>
          <w:rFonts w:asciiTheme="majorHAnsi" w:hAnsiTheme="majorHAnsi"/>
          <w:sz w:val="20"/>
          <w:szCs w:val="20"/>
          <w:lang w:val="es-AR"/>
        </w:rPr>
        <w:t>también</w:t>
      </w:r>
      <w:r w:rsidR="00BE77E0" w:rsidRPr="005758BA">
        <w:rPr>
          <w:rFonts w:asciiTheme="majorHAnsi" w:hAnsiTheme="majorHAnsi"/>
          <w:sz w:val="20"/>
          <w:szCs w:val="20"/>
          <w:lang w:val="es-AR"/>
        </w:rPr>
        <w:t>,</w:t>
      </w:r>
      <w:r w:rsidR="001D3626" w:rsidRPr="005758BA">
        <w:rPr>
          <w:rFonts w:asciiTheme="majorHAnsi" w:hAnsiTheme="majorHAnsi"/>
          <w:sz w:val="20"/>
          <w:szCs w:val="20"/>
          <w:lang w:val="es-AR"/>
        </w:rPr>
        <w:t xml:space="preserve"> “la presunta víctima”), presuntamente ocurrida el 5 de febrero de 1990</w:t>
      </w:r>
      <w:r w:rsidR="00F64074">
        <w:rPr>
          <w:rFonts w:asciiTheme="majorHAnsi" w:hAnsiTheme="majorHAnsi"/>
          <w:sz w:val="20"/>
          <w:szCs w:val="20"/>
          <w:lang w:val="es-AR"/>
        </w:rPr>
        <w:t xml:space="preserve"> en el Departamento de Santander</w:t>
      </w:r>
      <w:r w:rsidR="001D3626" w:rsidRPr="005758BA">
        <w:rPr>
          <w:rFonts w:asciiTheme="majorHAnsi" w:hAnsiTheme="majorHAnsi"/>
          <w:sz w:val="20"/>
          <w:szCs w:val="20"/>
          <w:lang w:val="es-AR"/>
        </w:rPr>
        <w:t xml:space="preserve">. Los peticionarios sostienen que el Estado es responsable por la violación </w:t>
      </w:r>
      <w:r w:rsidR="00EB4B5B" w:rsidRPr="005758BA">
        <w:rPr>
          <w:rFonts w:asciiTheme="majorHAnsi" w:hAnsiTheme="majorHAnsi"/>
          <w:sz w:val="20"/>
          <w:szCs w:val="20"/>
          <w:lang w:val="es-AR"/>
        </w:rPr>
        <w:t xml:space="preserve">de </w:t>
      </w:r>
      <w:r w:rsidR="00F64074">
        <w:rPr>
          <w:rFonts w:asciiTheme="majorHAnsi" w:hAnsiTheme="majorHAnsi"/>
          <w:sz w:val="20"/>
          <w:szCs w:val="20"/>
          <w:lang w:val="es-AR"/>
        </w:rPr>
        <w:t xml:space="preserve">los artículos </w:t>
      </w:r>
      <w:r w:rsidR="00F64074" w:rsidRPr="005758BA">
        <w:rPr>
          <w:rFonts w:asciiTheme="majorHAnsi" w:hAnsiTheme="majorHAnsi"/>
          <w:sz w:val="20"/>
          <w:szCs w:val="20"/>
          <w:lang w:val="es-AR"/>
        </w:rPr>
        <w:t xml:space="preserve">3, 4, 5, 7, 8 y 25 </w:t>
      </w:r>
      <w:r w:rsidR="00F64074">
        <w:rPr>
          <w:rFonts w:asciiTheme="majorHAnsi" w:hAnsiTheme="majorHAnsi"/>
          <w:sz w:val="20"/>
          <w:szCs w:val="20"/>
          <w:lang w:val="es-AR"/>
        </w:rPr>
        <w:t>de</w:t>
      </w:r>
      <w:r w:rsidR="00EB4B5B" w:rsidRPr="005758BA">
        <w:rPr>
          <w:rFonts w:asciiTheme="majorHAnsi" w:hAnsiTheme="majorHAnsi"/>
          <w:sz w:val="20"/>
          <w:szCs w:val="20"/>
          <w:lang w:val="es-AR"/>
        </w:rPr>
        <w:t xml:space="preserve"> </w:t>
      </w:r>
      <w:r w:rsidR="001D3626" w:rsidRPr="005758BA">
        <w:rPr>
          <w:rFonts w:asciiTheme="majorHAnsi" w:hAnsiTheme="majorHAnsi"/>
          <w:sz w:val="20"/>
          <w:szCs w:val="20"/>
          <w:lang w:val="es-AR"/>
        </w:rPr>
        <w:t>la Convención Americana sobre Derechos Humanos (en adelante la “Convención” o “Convención Americana”)</w:t>
      </w:r>
      <w:r w:rsidR="006468C8" w:rsidRPr="005758BA">
        <w:rPr>
          <w:rFonts w:asciiTheme="majorHAnsi" w:hAnsiTheme="majorHAnsi"/>
          <w:sz w:val="20"/>
          <w:szCs w:val="20"/>
          <w:lang w:val="es-AR"/>
        </w:rPr>
        <w:t xml:space="preserve">, </w:t>
      </w:r>
      <w:r w:rsidR="005C5A87">
        <w:rPr>
          <w:rFonts w:asciiTheme="majorHAnsi" w:hAnsiTheme="majorHAnsi"/>
          <w:sz w:val="20"/>
          <w:szCs w:val="20"/>
          <w:lang w:val="es-AR"/>
        </w:rPr>
        <w:t>y las disposiciones de</w:t>
      </w:r>
      <w:r w:rsidR="006468C8" w:rsidRPr="005758BA">
        <w:rPr>
          <w:rFonts w:asciiTheme="majorHAnsi" w:hAnsiTheme="majorHAnsi"/>
          <w:sz w:val="20"/>
          <w:szCs w:val="20"/>
          <w:lang w:val="es-AR"/>
        </w:rPr>
        <w:t xml:space="preserve"> la </w:t>
      </w:r>
      <w:r w:rsidR="001D3626" w:rsidRPr="005758BA">
        <w:rPr>
          <w:rFonts w:asciiTheme="majorHAnsi" w:hAnsiTheme="majorHAnsi"/>
          <w:sz w:val="20"/>
          <w:szCs w:val="20"/>
          <w:lang w:val="es-AR"/>
        </w:rPr>
        <w:t xml:space="preserve">Convención Interamericana sobre Desaparición Forzada de Personas </w:t>
      </w:r>
      <w:r w:rsidR="00FC2ACB" w:rsidRPr="005758BA">
        <w:rPr>
          <w:rFonts w:asciiTheme="majorHAnsi" w:hAnsiTheme="majorHAnsi"/>
          <w:sz w:val="20"/>
          <w:szCs w:val="20"/>
          <w:lang w:val="es-AR"/>
        </w:rPr>
        <w:t>y</w:t>
      </w:r>
      <w:r w:rsidR="006468C8" w:rsidRPr="005758BA">
        <w:rPr>
          <w:rFonts w:asciiTheme="majorHAnsi" w:hAnsiTheme="majorHAnsi"/>
          <w:sz w:val="20"/>
          <w:szCs w:val="20"/>
          <w:lang w:val="es-AR"/>
        </w:rPr>
        <w:t xml:space="preserve"> </w:t>
      </w:r>
      <w:r w:rsidR="00FC2ACB" w:rsidRPr="005758BA">
        <w:rPr>
          <w:rFonts w:asciiTheme="majorHAnsi" w:hAnsiTheme="majorHAnsi"/>
          <w:sz w:val="20"/>
          <w:szCs w:val="20"/>
          <w:lang w:val="es-AR"/>
        </w:rPr>
        <w:t xml:space="preserve">la </w:t>
      </w:r>
      <w:r w:rsidR="00FC2ACB" w:rsidRPr="005758BA">
        <w:rPr>
          <w:rFonts w:asciiTheme="majorHAnsi" w:hAnsiTheme="majorHAnsi"/>
          <w:bCs/>
          <w:sz w:val="20"/>
          <w:szCs w:val="20"/>
          <w:lang w:val="es-AR"/>
        </w:rPr>
        <w:t>Convención Interamericana para Prevenir y Sancionar la Tortura.</w:t>
      </w:r>
    </w:p>
    <w:p w:rsidR="005758BA" w:rsidRPr="005758BA" w:rsidRDefault="005758BA" w:rsidP="005758BA">
      <w:pPr>
        <w:spacing w:after="0"/>
        <w:jc w:val="both"/>
        <w:rPr>
          <w:rFonts w:asciiTheme="majorHAnsi" w:hAnsiTheme="majorHAnsi"/>
          <w:sz w:val="20"/>
          <w:szCs w:val="20"/>
          <w:lang w:val="es-AR"/>
        </w:rPr>
      </w:pPr>
    </w:p>
    <w:p w:rsidR="006F487B" w:rsidRDefault="001D3626"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El Estado sostiene que </w:t>
      </w:r>
      <w:r w:rsidR="006468C8" w:rsidRPr="005758BA">
        <w:rPr>
          <w:rFonts w:asciiTheme="majorHAnsi" w:hAnsiTheme="majorHAnsi"/>
          <w:sz w:val="20"/>
          <w:szCs w:val="20"/>
          <w:lang w:val="es-AR"/>
        </w:rPr>
        <w:t>la CIDH debiera decretar la inadmisibilidad de la presente petición en atención a que los hechos presentados en la misma no caracterizarían violaciones a derechos humanos consagrados en la Convención Americana y demás convenciones internacionales alegadas por los peticionarios</w:t>
      </w:r>
      <w:r w:rsidR="004F0DF5">
        <w:rPr>
          <w:rFonts w:asciiTheme="majorHAnsi" w:hAnsiTheme="majorHAnsi"/>
          <w:sz w:val="20"/>
          <w:szCs w:val="20"/>
          <w:lang w:val="es-AR"/>
        </w:rPr>
        <w:t xml:space="preserve"> por cuanto no se habrían sustanciado los hechos alegados</w:t>
      </w:r>
      <w:r w:rsidR="006468C8" w:rsidRPr="005758BA">
        <w:rPr>
          <w:rFonts w:asciiTheme="majorHAnsi" w:hAnsiTheme="majorHAnsi"/>
          <w:sz w:val="20"/>
          <w:szCs w:val="20"/>
          <w:lang w:val="es-AR"/>
        </w:rPr>
        <w:t>.</w:t>
      </w:r>
      <w:r w:rsidR="00CC7484" w:rsidRPr="005758BA">
        <w:rPr>
          <w:rFonts w:asciiTheme="majorHAnsi" w:hAnsiTheme="majorHAnsi"/>
          <w:sz w:val="20"/>
          <w:szCs w:val="20"/>
          <w:lang w:val="es-AR"/>
        </w:rPr>
        <w:t xml:space="preserve"> </w:t>
      </w:r>
      <w:r w:rsidR="0063603A" w:rsidRPr="005A64B4">
        <w:rPr>
          <w:rFonts w:asciiTheme="majorHAnsi" w:hAnsiTheme="majorHAnsi"/>
          <w:sz w:val="20"/>
          <w:szCs w:val="20"/>
          <w:lang w:val="es-AR"/>
        </w:rPr>
        <w:t>Si bien el Estado alegó el primer lugar que los recursos internos habían sido agotados, posteriormente sostuvo que los mismos aún se encontraban pendientes de agotamiento</w:t>
      </w:r>
      <w:r w:rsidR="00CC7484" w:rsidRPr="005758BA">
        <w:rPr>
          <w:rFonts w:asciiTheme="majorHAnsi" w:hAnsiTheme="majorHAnsi"/>
          <w:sz w:val="20"/>
          <w:szCs w:val="20"/>
          <w:lang w:val="es-AR"/>
        </w:rPr>
        <w:t xml:space="preserve"> y que, de admitir la presente petición, la CIDH estaría incurriendo en un supuesto de cuarta instancia.</w:t>
      </w:r>
    </w:p>
    <w:p w:rsidR="005758BA" w:rsidRPr="005758BA" w:rsidRDefault="005758BA" w:rsidP="005758BA">
      <w:pPr>
        <w:spacing w:after="0"/>
        <w:jc w:val="both"/>
        <w:rPr>
          <w:rFonts w:asciiTheme="majorHAnsi" w:hAnsiTheme="majorHAnsi"/>
          <w:sz w:val="20"/>
          <w:szCs w:val="20"/>
          <w:lang w:val="es-AR"/>
        </w:rPr>
      </w:pPr>
    </w:p>
    <w:p w:rsidR="006F487B" w:rsidRDefault="006F487B"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Tras analizar las posiciones de las partes y el cumplimiento de los requisitos previstos en los artículos 46 y 47 de la Convención Americana, la Comisión decidió declarar la petición admisible a efectos de examinar la presunta violación de los artículos </w:t>
      </w:r>
      <w:r w:rsidR="00EB4B5B" w:rsidRPr="005758BA">
        <w:rPr>
          <w:rFonts w:asciiTheme="majorHAnsi" w:hAnsiTheme="majorHAnsi"/>
          <w:sz w:val="20"/>
          <w:szCs w:val="20"/>
          <w:lang w:val="es-AR"/>
        </w:rPr>
        <w:t xml:space="preserve">3, 4, 5, 7, 8 y 25 de la Convención Americana en conexión con el artículo 1.1 </w:t>
      </w:r>
      <w:r w:rsidR="006468C8" w:rsidRPr="005758BA">
        <w:rPr>
          <w:rFonts w:asciiTheme="majorHAnsi" w:hAnsiTheme="majorHAnsi"/>
          <w:sz w:val="20"/>
          <w:szCs w:val="20"/>
          <w:lang w:val="es-AR"/>
        </w:rPr>
        <w:t xml:space="preserve">del mismo instrumento. Asimismo, la CIDH </w:t>
      </w:r>
      <w:r w:rsidR="003029D0" w:rsidRPr="005758BA">
        <w:rPr>
          <w:rFonts w:asciiTheme="majorHAnsi" w:hAnsiTheme="majorHAnsi"/>
          <w:sz w:val="20"/>
          <w:szCs w:val="20"/>
          <w:lang w:val="es-AR"/>
        </w:rPr>
        <w:t>considera que corresponderá analizar en la etapa de fondo la eventual aplicación del artículo 1(b) de la Convención Interamericana sobre Desaparición Forzada de Personas y los artículos 1</w:t>
      </w:r>
      <w:r w:rsidR="00F64074">
        <w:rPr>
          <w:rFonts w:asciiTheme="majorHAnsi" w:hAnsiTheme="majorHAnsi"/>
          <w:sz w:val="20"/>
          <w:szCs w:val="20"/>
          <w:lang w:val="es-AR"/>
        </w:rPr>
        <w:t>, 6</w:t>
      </w:r>
      <w:r w:rsidR="003029D0" w:rsidRPr="005758BA">
        <w:rPr>
          <w:rFonts w:asciiTheme="majorHAnsi" w:hAnsiTheme="majorHAnsi"/>
          <w:sz w:val="20"/>
          <w:szCs w:val="20"/>
          <w:lang w:val="es-AR"/>
        </w:rPr>
        <w:t xml:space="preserve"> y 8 de la </w:t>
      </w:r>
      <w:r w:rsidR="003029D0" w:rsidRPr="005758BA">
        <w:rPr>
          <w:rFonts w:asciiTheme="majorHAnsi" w:hAnsiTheme="majorHAnsi"/>
          <w:bCs/>
          <w:sz w:val="20"/>
          <w:szCs w:val="20"/>
          <w:lang w:val="es-AR"/>
        </w:rPr>
        <w:t>Convención Interamericana para Prevenir y Sancionar la Tortura.</w:t>
      </w:r>
      <w:r w:rsidR="00EB4B5B" w:rsidRPr="005758BA">
        <w:rPr>
          <w:rFonts w:asciiTheme="majorHAnsi" w:hAnsiTheme="majorHAnsi"/>
          <w:bCs/>
          <w:sz w:val="20"/>
          <w:szCs w:val="20"/>
          <w:lang w:val="es-AR"/>
        </w:rPr>
        <w:t xml:space="preserve"> </w:t>
      </w:r>
      <w:r w:rsidR="003029D0" w:rsidRPr="005758BA">
        <w:rPr>
          <w:rFonts w:asciiTheme="majorHAnsi" w:hAnsiTheme="majorHAnsi"/>
          <w:sz w:val="20"/>
          <w:szCs w:val="20"/>
          <w:lang w:val="es-AR"/>
        </w:rPr>
        <w:t>Por último</w:t>
      </w:r>
      <w:r w:rsidRPr="005758BA">
        <w:rPr>
          <w:rFonts w:asciiTheme="majorHAnsi" w:hAnsiTheme="majorHAnsi"/>
          <w:sz w:val="20"/>
          <w:szCs w:val="20"/>
          <w:lang w:val="es-AR"/>
        </w:rPr>
        <w:t>, decidió notificar el informe a las partes y ordenar su publicación</w:t>
      </w:r>
      <w:r w:rsidR="004F0DF5">
        <w:rPr>
          <w:rFonts w:asciiTheme="majorHAnsi" w:hAnsiTheme="majorHAnsi"/>
          <w:sz w:val="20"/>
          <w:szCs w:val="20"/>
          <w:lang w:val="es-AR"/>
        </w:rPr>
        <w:t xml:space="preserve"> en el Informe Anual a la Asamblea General de la Organización de Estados Americanos (OEA)</w:t>
      </w:r>
      <w:r w:rsidRPr="005758BA">
        <w:rPr>
          <w:rFonts w:asciiTheme="majorHAnsi" w:hAnsiTheme="majorHAnsi"/>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5758BA" w:rsidRDefault="006F487B" w:rsidP="005758BA">
      <w:pPr>
        <w:pStyle w:val="Heading1"/>
      </w:pPr>
      <w:r w:rsidRPr="005758BA">
        <w:t>TRÁMITE ANTE LA COMISIÓN</w:t>
      </w:r>
    </w:p>
    <w:p w:rsidR="005758BA" w:rsidRPr="005758BA" w:rsidRDefault="005758BA" w:rsidP="005758BA">
      <w:pPr>
        <w:rPr>
          <w:lang w:val="es-AR"/>
        </w:rPr>
      </w:pPr>
    </w:p>
    <w:p w:rsidR="002A1E77" w:rsidRDefault="002A1E77"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El 2 de marzo de 1990</w:t>
      </w:r>
      <w:r w:rsidR="00C84FA0" w:rsidRPr="005758BA">
        <w:rPr>
          <w:rFonts w:asciiTheme="majorHAnsi" w:hAnsiTheme="majorHAnsi"/>
          <w:sz w:val="20"/>
          <w:szCs w:val="20"/>
          <w:lang w:val="es-AR"/>
        </w:rPr>
        <w:t>,</w:t>
      </w:r>
      <w:r w:rsidRPr="005758BA">
        <w:rPr>
          <w:rFonts w:asciiTheme="majorHAnsi" w:hAnsiTheme="majorHAnsi"/>
          <w:sz w:val="20"/>
          <w:szCs w:val="20"/>
          <w:lang w:val="es-AR"/>
        </w:rPr>
        <w:t xml:space="preserve"> la CIDH recibió información de </w:t>
      </w:r>
      <w:r w:rsidR="00956453" w:rsidRPr="005758BA">
        <w:rPr>
          <w:rFonts w:asciiTheme="majorHAnsi" w:hAnsiTheme="majorHAnsi"/>
          <w:sz w:val="20"/>
          <w:szCs w:val="20"/>
          <w:lang w:val="es-AR"/>
        </w:rPr>
        <w:t xml:space="preserve">parte de </w:t>
      </w:r>
      <w:r w:rsidRPr="005758BA">
        <w:rPr>
          <w:rFonts w:asciiTheme="majorHAnsi" w:hAnsiTheme="majorHAnsi"/>
          <w:sz w:val="20"/>
          <w:szCs w:val="20"/>
          <w:lang w:val="es-AR"/>
        </w:rPr>
        <w:t>los peticionarios sobre la alegada desaparición forzada de la presunta víctima</w:t>
      </w:r>
      <w:r w:rsidR="00562D27" w:rsidRPr="005758BA">
        <w:rPr>
          <w:rFonts w:asciiTheme="majorHAnsi" w:hAnsiTheme="majorHAnsi"/>
          <w:sz w:val="20"/>
          <w:szCs w:val="20"/>
          <w:lang w:val="es-AR"/>
        </w:rPr>
        <w:t xml:space="preserve"> y le asignó el número de caso 10.522. E</w:t>
      </w:r>
      <w:r w:rsidRPr="005758BA">
        <w:rPr>
          <w:rFonts w:asciiTheme="majorHAnsi" w:hAnsiTheme="majorHAnsi"/>
          <w:sz w:val="20"/>
          <w:szCs w:val="20"/>
          <w:lang w:val="es-AR"/>
        </w:rPr>
        <w:t xml:space="preserve">l </w:t>
      </w:r>
      <w:r w:rsidR="00AE1E16" w:rsidRPr="005758BA">
        <w:rPr>
          <w:rFonts w:asciiTheme="majorHAnsi" w:hAnsiTheme="majorHAnsi"/>
          <w:sz w:val="20"/>
          <w:szCs w:val="20"/>
          <w:lang w:val="es-AR"/>
        </w:rPr>
        <w:t xml:space="preserve">día 5 de marzo </w:t>
      </w:r>
      <w:r w:rsidR="00956453" w:rsidRPr="005758BA">
        <w:rPr>
          <w:rFonts w:asciiTheme="majorHAnsi" w:hAnsiTheme="majorHAnsi"/>
          <w:sz w:val="20"/>
          <w:szCs w:val="20"/>
          <w:lang w:val="es-AR"/>
        </w:rPr>
        <w:t xml:space="preserve">de 1990, </w:t>
      </w:r>
      <w:r w:rsidR="00AE1E16" w:rsidRPr="005758BA">
        <w:rPr>
          <w:rFonts w:asciiTheme="majorHAnsi" w:hAnsiTheme="majorHAnsi"/>
          <w:sz w:val="20"/>
          <w:szCs w:val="20"/>
          <w:lang w:val="es-AR"/>
        </w:rPr>
        <w:t xml:space="preserve">la CIDH solicitó información al Estado y requirió mayor información a los peticionarios. </w:t>
      </w:r>
      <w:r w:rsidR="00C978A7" w:rsidRPr="005758BA">
        <w:rPr>
          <w:rFonts w:asciiTheme="majorHAnsi" w:hAnsiTheme="majorHAnsi"/>
          <w:sz w:val="20"/>
          <w:szCs w:val="20"/>
          <w:lang w:val="es-AR"/>
        </w:rPr>
        <w:t xml:space="preserve">El día 17 de septiembre de 1990, la CIDH reiteró su solicitud de información al Estado, </w:t>
      </w:r>
      <w:r w:rsidR="00956453" w:rsidRPr="005758BA">
        <w:rPr>
          <w:rFonts w:asciiTheme="majorHAnsi" w:hAnsiTheme="majorHAnsi"/>
          <w:sz w:val="20"/>
          <w:szCs w:val="20"/>
          <w:lang w:val="es-AR"/>
        </w:rPr>
        <w:t>información que fue</w:t>
      </w:r>
      <w:r w:rsidR="00C978A7" w:rsidRPr="005758BA">
        <w:rPr>
          <w:rFonts w:asciiTheme="majorHAnsi" w:hAnsiTheme="majorHAnsi"/>
          <w:sz w:val="20"/>
          <w:szCs w:val="20"/>
          <w:lang w:val="es-AR"/>
        </w:rPr>
        <w:t xml:space="preserve"> recibida por la Comisión el día 20 de septiembre de 1990. Seguidamente, l</w:t>
      </w:r>
      <w:r w:rsidR="007D2E8A" w:rsidRPr="005758BA">
        <w:rPr>
          <w:rFonts w:asciiTheme="majorHAnsi" w:hAnsiTheme="majorHAnsi"/>
          <w:sz w:val="20"/>
          <w:szCs w:val="20"/>
          <w:lang w:val="es-AR"/>
        </w:rPr>
        <w:t xml:space="preserve">a CIDH corrió traslado de </w:t>
      </w:r>
      <w:r w:rsidR="00C978A7" w:rsidRPr="005758BA">
        <w:rPr>
          <w:rFonts w:asciiTheme="majorHAnsi" w:hAnsiTheme="majorHAnsi"/>
          <w:sz w:val="20"/>
          <w:szCs w:val="20"/>
          <w:lang w:val="es-AR"/>
        </w:rPr>
        <w:t xml:space="preserve">cada una de las observaciones remitidas </w:t>
      </w:r>
      <w:r w:rsidR="00873AF4" w:rsidRPr="005758BA">
        <w:rPr>
          <w:rFonts w:asciiTheme="majorHAnsi" w:hAnsiTheme="majorHAnsi"/>
          <w:sz w:val="20"/>
          <w:szCs w:val="20"/>
          <w:lang w:val="es-AR"/>
        </w:rPr>
        <w:t>por ambas partes, concediéndoseles los</w:t>
      </w:r>
      <w:r w:rsidR="00D85DA1" w:rsidRPr="005758BA">
        <w:rPr>
          <w:rFonts w:asciiTheme="majorHAnsi" w:hAnsiTheme="majorHAnsi"/>
          <w:sz w:val="20"/>
          <w:szCs w:val="20"/>
          <w:lang w:val="es-AR"/>
        </w:rPr>
        <w:t xml:space="preserve"> plazos reglamentarios para que</w:t>
      </w:r>
      <w:r w:rsidR="00873AF4" w:rsidRPr="005758BA">
        <w:rPr>
          <w:rFonts w:asciiTheme="majorHAnsi" w:hAnsiTheme="majorHAnsi"/>
          <w:sz w:val="20"/>
          <w:szCs w:val="20"/>
          <w:lang w:val="es-AR"/>
        </w:rPr>
        <w:t xml:space="preserve"> presentaran observaciones adicionales</w:t>
      </w:r>
      <w:r w:rsidR="006B705D" w:rsidRPr="005758BA">
        <w:rPr>
          <w:rFonts w:asciiTheme="majorHAnsi" w:hAnsiTheme="majorHAnsi"/>
          <w:sz w:val="20"/>
          <w:szCs w:val="20"/>
          <w:lang w:val="es-AR"/>
        </w:rPr>
        <w:t xml:space="preserve">, así como </w:t>
      </w:r>
      <w:r w:rsidR="00956453" w:rsidRPr="005758BA">
        <w:rPr>
          <w:rFonts w:asciiTheme="majorHAnsi" w:hAnsiTheme="majorHAnsi"/>
          <w:sz w:val="20"/>
          <w:szCs w:val="20"/>
          <w:lang w:val="es-AR"/>
        </w:rPr>
        <w:t>las eventuales prórrogas, cuando fueron solicitadas</w:t>
      </w:r>
      <w:r w:rsidR="00873AF4" w:rsidRPr="005758BA">
        <w:rPr>
          <w:rFonts w:asciiTheme="majorHAnsi" w:hAnsiTheme="majorHAnsi"/>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2A1E77" w:rsidRDefault="00C978A7"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La CIDH recibió observaciones adicionales de los peticionarios el </w:t>
      </w:r>
      <w:r w:rsidR="003C2257" w:rsidRPr="005758BA">
        <w:rPr>
          <w:rFonts w:asciiTheme="majorHAnsi" w:hAnsiTheme="majorHAnsi"/>
          <w:sz w:val="20"/>
          <w:szCs w:val="20"/>
          <w:lang w:val="es-AR"/>
        </w:rPr>
        <w:t>3 de diciembre de 1990,</w:t>
      </w:r>
      <w:r w:rsidR="00483DA4" w:rsidRPr="005758BA">
        <w:rPr>
          <w:rFonts w:asciiTheme="majorHAnsi" w:hAnsiTheme="majorHAnsi"/>
          <w:sz w:val="20"/>
          <w:szCs w:val="20"/>
          <w:lang w:val="es-AR"/>
        </w:rPr>
        <w:t xml:space="preserve"> </w:t>
      </w:r>
      <w:r w:rsidR="00D85DA1" w:rsidRPr="005758BA">
        <w:rPr>
          <w:rFonts w:asciiTheme="majorHAnsi" w:hAnsiTheme="majorHAnsi"/>
          <w:sz w:val="20"/>
          <w:szCs w:val="20"/>
          <w:lang w:val="es-AR"/>
        </w:rPr>
        <w:t xml:space="preserve">el </w:t>
      </w:r>
      <w:r w:rsidR="008E0562" w:rsidRPr="005758BA">
        <w:rPr>
          <w:rFonts w:asciiTheme="majorHAnsi" w:hAnsiTheme="majorHAnsi"/>
          <w:sz w:val="20"/>
          <w:szCs w:val="20"/>
          <w:lang w:val="es-AR"/>
        </w:rPr>
        <w:t xml:space="preserve">18 de marzo de 1994, </w:t>
      </w:r>
      <w:r w:rsidR="00D85DA1" w:rsidRPr="005758BA">
        <w:rPr>
          <w:rFonts w:asciiTheme="majorHAnsi" w:hAnsiTheme="majorHAnsi"/>
          <w:sz w:val="20"/>
          <w:szCs w:val="20"/>
          <w:lang w:val="es-AR"/>
        </w:rPr>
        <w:t xml:space="preserve">el </w:t>
      </w:r>
      <w:r w:rsidR="00483DA4" w:rsidRPr="005758BA">
        <w:rPr>
          <w:rFonts w:asciiTheme="majorHAnsi" w:hAnsiTheme="majorHAnsi"/>
          <w:sz w:val="20"/>
          <w:szCs w:val="20"/>
          <w:lang w:val="es-AR"/>
        </w:rPr>
        <w:t xml:space="preserve">13 de julio </w:t>
      </w:r>
      <w:r w:rsidR="0098353B" w:rsidRPr="005758BA">
        <w:rPr>
          <w:rFonts w:asciiTheme="majorHAnsi" w:hAnsiTheme="majorHAnsi"/>
          <w:sz w:val="20"/>
          <w:szCs w:val="20"/>
          <w:lang w:val="es-AR"/>
        </w:rPr>
        <w:t xml:space="preserve">de 2009 </w:t>
      </w:r>
      <w:r w:rsidR="00483DA4" w:rsidRPr="005758BA">
        <w:rPr>
          <w:rFonts w:asciiTheme="majorHAnsi" w:hAnsiTheme="majorHAnsi"/>
          <w:sz w:val="20"/>
          <w:szCs w:val="20"/>
          <w:lang w:val="es-AR"/>
        </w:rPr>
        <w:t>y el 2</w:t>
      </w:r>
      <w:r w:rsidR="003C20C6" w:rsidRPr="005758BA">
        <w:rPr>
          <w:rFonts w:asciiTheme="majorHAnsi" w:hAnsiTheme="majorHAnsi"/>
          <w:sz w:val="20"/>
          <w:szCs w:val="20"/>
          <w:lang w:val="es-AR"/>
        </w:rPr>
        <w:t>5</w:t>
      </w:r>
      <w:r w:rsidR="00483DA4" w:rsidRPr="005758BA">
        <w:rPr>
          <w:rFonts w:asciiTheme="majorHAnsi" w:hAnsiTheme="majorHAnsi"/>
          <w:sz w:val="20"/>
          <w:szCs w:val="20"/>
          <w:lang w:val="es-AR"/>
        </w:rPr>
        <w:t xml:space="preserve"> de septiembre de 2014.</w:t>
      </w:r>
    </w:p>
    <w:p w:rsidR="005758BA" w:rsidRPr="005758BA" w:rsidRDefault="005758BA" w:rsidP="005758BA">
      <w:pPr>
        <w:spacing w:after="0"/>
        <w:jc w:val="both"/>
        <w:rPr>
          <w:rFonts w:asciiTheme="majorHAnsi" w:hAnsiTheme="majorHAnsi"/>
          <w:sz w:val="20"/>
          <w:szCs w:val="20"/>
          <w:lang w:val="es-AR"/>
        </w:rPr>
      </w:pPr>
    </w:p>
    <w:p w:rsidR="006F487B" w:rsidRDefault="00A9202A"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lastRenderedPageBreak/>
        <w:t xml:space="preserve">Asimismo, la CIDH recibió las observaciones adicionales del Estado colombiano </w:t>
      </w:r>
      <w:r w:rsidR="00842685" w:rsidRPr="005758BA">
        <w:rPr>
          <w:rFonts w:asciiTheme="majorHAnsi" w:hAnsiTheme="majorHAnsi"/>
          <w:sz w:val="20"/>
          <w:szCs w:val="20"/>
          <w:lang w:val="es-AR"/>
        </w:rPr>
        <w:t xml:space="preserve">el 12 de octubre de 1990, </w:t>
      </w:r>
      <w:r w:rsidRPr="005758BA">
        <w:rPr>
          <w:rFonts w:asciiTheme="majorHAnsi" w:hAnsiTheme="majorHAnsi"/>
          <w:sz w:val="20"/>
          <w:szCs w:val="20"/>
          <w:lang w:val="es-AR"/>
        </w:rPr>
        <w:t xml:space="preserve">el </w:t>
      </w:r>
      <w:r w:rsidR="00390EE6" w:rsidRPr="005758BA">
        <w:rPr>
          <w:rFonts w:asciiTheme="majorHAnsi" w:hAnsiTheme="majorHAnsi"/>
          <w:sz w:val="20"/>
          <w:szCs w:val="20"/>
          <w:lang w:val="es-AR"/>
        </w:rPr>
        <w:t>1</w:t>
      </w:r>
      <w:r w:rsidRPr="005758BA">
        <w:rPr>
          <w:rFonts w:asciiTheme="majorHAnsi" w:hAnsiTheme="majorHAnsi"/>
          <w:sz w:val="20"/>
          <w:szCs w:val="20"/>
          <w:lang w:val="es-AR"/>
        </w:rPr>
        <w:t>7</w:t>
      </w:r>
      <w:r w:rsidR="00390EE6" w:rsidRPr="005758BA">
        <w:rPr>
          <w:rFonts w:asciiTheme="majorHAnsi" w:hAnsiTheme="majorHAnsi"/>
          <w:sz w:val="20"/>
          <w:szCs w:val="20"/>
          <w:lang w:val="es-AR"/>
        </w:rPr>
        <w:t xml:space="preserve"> de enero</w:t>
      </w:r>
      <w:r w:rsidR="002D7CCD" w:rsidRPr="005758BA">
        <w:rPr>
          <w:rFonts w:asciiTheme="majorHAnsi" w:hAnsiTheme="majorHAnsi"/>
          <w:sz w:val="20"/>
          <w:szCs w:val="20"/>
          <w:lang w:val="es-AR"/>
        </w:rPr>
        <w:t xml:space="preserve"> </w:t>
      </w:r>
      <w:r w:rsidR="00F309ED" w:rsidRPr="005758BA">
        <w:rPr>
          <w:rFonts w:asciiTheme="majorHAnsi" w:hAnsiTheme="majorHAnsi"/>
          <w:sz w:val="20"/>
          <w:szCs w:val="20"/>
          <w:lang w:val="es-AR"/>
        </w:rPr>
        <w:t>de 1991</w:t>
      </w:r>
      <w:r w:rsidRPr="005758BA">
        <w:rPr>
          <w:rFonts w:asciiTheme="majorHAnsi" w:hAnsiTheme="majorHAnsi"/>
          <w:sz w:val="20"/>
          <w:szCs w:val="20"/>
          <w:lang w:val="es-AR"/>
        </w:rPr>
        <w:t xml:space="preserve">, el </w:t>
      </w:r>
      <w:r w:rsidR="00BF38C1" w:rsidRPr="005758BA">
        <w:rPr>
          <w:rFonts w:asciiTheme="majorHAnsi" w:hAnsiTheme="majorHAnsi"/>
          <w:sz w:val="20"/>
          <w:szCs w:val="20"/>
          <w:lang w:val="es-AR"/>
        </w:rPr>
        <w:t>24 de septiembre</w:t>
      </w:r>
      <w:r w:rsidR="0068035D" w:rsidRPr="005758BA">
        <w:rPr>
          <w:rFonts w:asciiTheme="majorHAnsi" w:hAnsiTheme="majorHAnsi"/>
          <w:sz w:val="20"/>
          <w:szCs w:val="20"/>
          <w:lang w:val="es-AR"/>
        </w:rPr>
        <w:t xml:space="preserve"> </w:t>
      </w:r>
      <w:r w:rsidRPr="005758BA">
        <w:rPr>
          <w:rFonts w:asciiTheme="majorHAnsi" w:hAnsiTheme="majorHAnsi"/>
          <w:sz w:val="20"/>
          <w:szCs w:val="20"/>
          <w:lang w:val="es-AR"/>
        </w:rPr>
        <w:t>de 1991, el</w:t>
      </w:r>
      <w:r w:rsidR="00F27009" w:rsidRPr="005758BA">
        <w:rPr>
          <w:rFonts w:asciiTheme="majorHAnsi" w:hAnsiTheme="majorHAnsi"/>
          <w:sz w:val="20"/>
          <w:szCs w:val="20"/>
          <w:lang w:val="es-AR"/>
        </w:rPr>
        <w:t xml:space="preserve"> </w:t>
      </w:r>
      <w:r w:rsidR="00483DA4" w:rsidRPr="005758BA">
        <w:rPr>
          <w:rFonts w:asciiTheme="majorHAnsi" w:hAnsiTheme="majorHAnsi"/>
          <w:sz w:val="20"/>
          <w:szCs w:val="20"/>
          <w:lang w:val="es-AR"/>
        </w:rPr>
        <w:t xml:space="preserve">23 de mayo de 1997, </w:t>
      </w:r>
      <w:r w:rsidR="0098353B" w:rsidRPr="005758BA">
        <w:rPr>
          <w:rFonts w:asciiTheme="majorHAnsi" w:hAnsiTheme="majorHAnsi"/>
          <w:sz w:val="20"/>
          <w:szCs w:val="20"/>
          <w:lang w:val="es-AR"/>
        </w:rPr>
        <w:t xml:space="preserve">el 8 de octubre de 2001, </w:t>
      </w:r>
      <w:r w:rsidR="00483DA4" w:rsidRPr="005758BA">
        <w:rPr>
          <w:rFonts w:asciiTheme="majorHAnsi" w:hAnsiTheme="majorHAnsi"/>
          <w:sz w:val="20"/>
          <w:szCs w:val="20"/>
          <w:lang w:val="es-AR"/>
        </w:rPr>
        <w:t xml:space="preserve">el </w:t>
      </w:r>
      <w:r w:rsidR="00B14273" w:rsidRPr="005758BA">
        <w:rPr>
          <w:rFonts w:asciiTheme="majorHAnsi" w:hAnsiTheme="majorHAnsi"/>
          <w:sz w:val="20"/>
          <w:szCs w:val="20"/>
          <w:lang w:val="es-AR"/>
        </w:rPr>
        <w:t>18</w:t>
      </w:r>
      <w:r w:rsidR="00483DA4" w:rsidRPr="005758BA">
        <w:rPr>
          <w:rFonts w:asciiTheme="majorHAnsi" w:hAnsiTheme="majorHAnsi"/>
          <w:sz w:val="20"/>
          <w:szCs w:val="20"/>
          <w:lang w:val="es-AR"/>
        </w:rPr>
        <w:t xml:space="preserve"> de septiembre de 2002, el </w:t>
      </w:r>
      <w:r w:rsidR="00170475" w:rsidRPr="005758BA">
        <w:rPr>
          <w:rFonts w:asciiTheme="majorHAnsi" w:hAnsiTheme="majorHAnsi"/>
          <w:sz w:val="20"/>
          <w:szCs w:val="20"/>
          <w:lang w:val="es-AR"/>
        </w:rPr>
        <w:t>10</w:t>
      </w:r>
      <w:r w:rsidR="005B2921" w:rsidRPr="005758BA">
        <w:rPr>
          <w:rFonts w:asciiTheme="majorHAnsi" w:hAnsiTheme="majorHAnsi"/>
          <w:sz w:val="20"/>
          <w:szCs w:val="20"/>
          <w:lang w:val="es-AR"/>
        </w:rPr>
        <w:t xml:space="preserve"> de junio de 2009,</w:t>
      </w:r>
      <w:r w:rsidR="00483DA4" w:rsidRPr="005758BA">
        <w:rPr>
          <w:rFonts w:asciiTheme="majorHAnsi" w:hAnsiTheme="majorHAnsi"/>
          <w:sz w:val="20"/>
          <w:szCs w:val="20"/>
          <w:lang w:val="es-AR"/>
        </w:rPr>
        <w:t xml:space="preserve"> el </w:t>
      </w:r>
      <w:r w:rsidR="004635D8" w:rsidRPr="005758BA">
        <w:rPr>
          <w:rFonts w:asciiTheme="majorHAnsi" w:hAnsiTheme="majorHAnsi"/>
          <w:sz w:val="20"/>
          <w:szCs w:val="20"/>
          <w:lang w:val="es-AR"/>
        </w:rPr>
        <w:t>7</w:t>
      </w:r>
      <w:r w:rsidR="005B2921" w:rsidRPr="005758BA">
        <w:rPr>
          <w:rFonts w:asciiTheme="majorHAnsi" w:hAnsiTheme="majorHAnsi"/>
          <w:sz w:val="20"/>
          <w:szCs w:val="20"/>
          <w:lang w:val="es-AR"/>
        </w:rPr>
        <w:t xml:space="preserve"> de mayo de 2014 y el </w:t>
      </w:r>
      <w:r w:rsidR="00026B8A" w:rsidRPr="005758BA">
        <w:rPr>
          <w:rFonts w:asciiTheme="majorHAnsi" w:hAnsiTheme="majorHAnsi"/>
          <w:sz w:val="20"/>
          <w:szCs w:val="20"/>
          <w:lang w:val="es-AR"/>
        </w:rPr>
        <w:t>24 de abril de 2015.</w:t>
      </w:r>
    </w:p>
    <w:p w:rsidR="005758BA" w:rsidRPr="005758BA" w:rsidRDefault="005758BA" w:rsidP="005758BA">
      <w:pPr>
        <w:spacing w:after="0"/>
        <w:jc w:val="both"/>
        <w:rPr>
          <w:rFonts w:asciiTheme="majorHAnsi" w:hAnsiTheme="majorHAnsi"/>
          <w:sz w:val="20"/>
          <w:szCs w:val="20"/>
          <w:lang w:val="es-AR"/>
        </w:rPr>
      </w:pPr>
    </w:p>
    <w:p w:rsidR="006F487B" w:rsidRDefault="006F487B" w:rsidP="005758BA">
      <w:pPr>
        <w:pStyle w:val="Heading1"/>
      </w:pPr>
      <w:r w:rsidRPr="005758BA">
        <w:t>POSICIONES DE LAS PARTES</w:t>
      </w:r>
    </w:p>
    <w:p w:rsidR="005758BA" w:rsidRPr="005758BA" w:rsidRDefault="005758BA" w:rsidP="005758BA">
      <w:pPr>
        <w:spacing w:after="0"/>
        <w:ind w:firstLine="720"/>
        <w:jc w:val="both"/>
        <w:rPr>
          <w:rFonts w:asciiTheme="majorHAnsi" w:hAnsiTheme="majorHAnsi"/>
          <w:b/>
          <w:sz w:val="20"/>
          <w:szCs w:val="20"/>
          <w:lang w:val="es-AR"/>
        </w:rPr>
      </w:pPr>
    </w:p>
    <w:p w:rsidR="006F487B" w:rsidRPr="005758BA" w:rsidRDefault="006F487B" w:rsidP="005758BA">
      <w:pPr>
        <w:pStyle w:val="ListParagraph"/>
        <w:numPr>
          <w:ilvl w:val="0"/>
          <w:numId w:val="7"/>
        </w:numPr>
        <w:spacing w:after="0"/>
        <w:jc w:val="both"/>
        <w:outlineLvl w:val="1"/>
        <w:rPr>
          <w:rFonts w:asciiTheme="majorHAnsi" w:hAnsiTheme="majorHAnsi"/>
          <w:b/>
          <w:sz w:val="20"/>
          <w:szCs w:val="20"/>
          <w:lang w:val="es-AR"/>
        </w:rPr>
      </w:pPr>
      <w:r w:rsidRPr="005758BA">
        <w:rPr>
          <w:rFonts w:asciiTheme="majorHAnsi" w:hAnsiTheme="majorHAnsi"/>
          <w:b/>
          <w:sz w:val="20"/>
          <w:szCs w:val="20"/>
          <w:lang w:val="es-AR"/>
        </w:rPr>
        <w:t>Posición de los peticionarios</w:t>
      </w:r>
    </w:p>
    <w:p w:rsidR="005758BA" w:rsidRPr="005758BA" w:rsidRDefault="005758BA" w:rsidP="005758BA">
      <w:pPr>
        <w:spacing w:after="0"/>
        <w:jc w:val="both"/>
        <w:rPr>
          <w:rFonts w:asciiTheme="majorHAnsi" w:hAnsiTheme="majorHAnsi"/>
          <w:b/>
          <w:sz w:val="20"/>
          <w:szCs w:val="20"/>
          <w:lang w:val="es-AR"/>
        </w:rPr>
      </w:pPr>
    </w:p>
    <w:p w:rsidR="00542F43" w:rsidRDefault="00542F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Los peticionarios alegaron que los hechos del presente caso no constituyen </w:t>
      </w:r>
      <w:r w:rsidR="006B705D" w:rsidRPr="005758BA">
        <w:rPr>
          <w:rFonts w:asciiTheme="majorHAnsi" w:hAnsiTheme="majorHAnsi"/>
          <w:sz w:val="20"/>
          <w:szCs w:val="20"/>
          <w:lang w:val="es-AR"/>
        </w:rPr>
        <w:t xml:space="preserve">un </w:t>
      </w:r>
      <w:r w:rsidRPr="005758BA">
        <w:rPr>
          <w:rFonts w:asciiTheme="majorHAnsi" w:hAnsiTheme="majorHAnsi"/>
          <w:sz w:val="20"/>
          <w:szCs w:val="20"/>
          <w:lang w:val="es-AR"/>
        </w:rPr>
        <w:t>hecho aislado, sino que se enmarcan en una serie de crímenes cometidos por los integrantes de las fuerzas militares</w:t>
      </w:r>
      <w:r w:rsidR="00956453" w:rsidRPr="005758BA">
        <w:rPr>
          <w:rFonts w:asciiTheme="majorHAnsi" w:hAnsiTheme="majorHAnsi"/>
          <w:sz w:val="20"/>
          <w:szCs w:val="20"/>
          <w:lang w:val="es-AR"/>
        </w:rPr>
        <w:t xml:space="preserve"> del Estado colombiano</w:t>
      </w:r>
      <w:r w:rsidRPr="005758BA">
        <w:rPr>
          <w:rFonts w:asciiTheme="majorHAnsi" w:hAnsiTheme="majorHAnsi"/>
          <w:sz w:val="20"/>
          <w:szCs w:val="20"/>
          <w:lang w:val="es-AR"/>
        </w:rPr>
        <w:t xml:space="preserve">. En tal sentido, alegan que la práctica de desaparición forzada formó parte de la política de </w:t>
      </w:r>
      <w:r w:rsidR="00956453" w:rsidRPr="005758BA">
        <w:rPr>
          <w:rFonts w:asciiTheme="majorHAnsi" w:hAnsiTheme="majorHAnsi"/>
          <w:sz w:val="20"/>
          <w:szCs w:val="20"/>
          <w:lang w:val="es-AR"/>
        </w:rPr>
        <w:t>“</w:t>
      </w:r>
      <w:r w:rsidRPr="005758BA">
        <w:rPr>
          <w:rFonts w:asciiTheme="majorHAnsi" w:hAnsiTheme="majorHAnsi"/>
          <w:sz w:val="20"/>
          <w:szCs w:val="20"/>
          <w:lang w:val="es-AR"/>
        </w:rPr>
        <w:t>seguridad nacional</w:t>
      </w:r>
      <w:r w:rsidR="00956453" w:rsidRPr="005758BA">
        <w:rPr>
          <w:rFonts w:asciiTheme="majorHAnsi" w:hAnsiTheme="majorHAnsi"/>
          <w:sz w:val="20"/>
          <w:szCs w:val="20"/>
          <w:lang w:val="es-AR"/>
        </w:rPr>
        <w:t>”</w:t>
      </w:r>
      <w:r w:rsidRPr="005758BA">
        <w:rPr>
          <w:rFonts w:asciiTheme="majorHAnsi" w:hAnsiTheme="majorHAnsi"/>
          <w:sz w:val="20"/>
          <w:szCs w:val="20"/>
          <w:lang w:val="es-AR"/>
        </w:rPr>
        <w:t xml:space="preserve"> desde la década de 1970 y fue adoptada de manera sistemática por el Estado como mecanismo de represión </w:t>
      </w:r>
      <w:r w:rsidR="006B705D" w:rsidRPr="005758BA">
        <w:rPr>
          <w:rFonts w:asciiTheme="majorHAnsi" w:hAnsiTheme="majorHAnsi"/>
          <w:sz w:val="20"/>
          <w:szCs w:val="20"/>
          <w:lang w:val="es-AR"/>
        </w:rPr>
        <w:t>contra</w:t>
      </w:r>
      <w:r w:rsidRPr="005758BA">
        <w:rPr>
          <w:rFonts w:asciiTheme="majorHAnsi" w:hAnsiTheme="majorHAnsi"/>
          <w:sz w:val="20"/>
          <w:szCs w:val="20"/>
          <w:lang w:val="es-AR"/>
        </w:rPr>
        <w:t xml:space="preserve"> las guerrillas y la oposición política. Asimismo, especifican que según el informe “Colombia Nunca Más”, hacia finales de la década de 1980 e inicios de la década de 1990, se habría aumentado notoriamente el presupuesto </w:t>
      </w:r>
      <w:r w:rsidR="00EE5BCB" w:rsidRPr="005758BA">
        <w:rPr>
          <w:rFonts w:asciiTheme="majorHAnsi" w:hAnsiTheme="majorHAnsi"/>
          <w:sz w:val="20"/>
          <w:szCs w:val="20"/>
          <w:lang w:val="es-AR"/>
        </w:rPr>
        <w:t>para</w:t>
      </w:r>
      <w:r w:rsidRPr="005758BA">
        <w:rPr>
          <w:rFonts w:asciiTheme="majorHAnsi" w:hAnsiTheme="majorHAnsi"/>
          <w:sz w:val="20"/>
          <w:szCs w:val="20"/>
          <w:lang w:val="es-AR"/>
        </w:rPr>
        <w:t xml:space="preserve"> la creación de </w:t>
      </w:r>
      <w:r w:rsidR="00011535">
        <w:rPr>
          <w:rFonts w:asciiTheme="majorHAnsi" w:hAnsiTheme="majorHAnsi"/>
          <w:sz w:val="20"/>
          <w:szCs w:val="20"/>
          <w:lang w:val="es-AR"/>
        </w:rPr>
        <w:t>“</w:t>
      </w:r>
      <w:r w:rsidRPr="005758BA">
        <w:rPr>
          <w:rFonts w:asciiTheme="majorHAnsi" w:hAnsiTheme="majorHAnsi"/>
          <w:sz w:val="20"/>
          <w:szCs w:val="20"/>
          <w:lang w:val="es-AR"/>
        </w:rPr>
        <w:t>brigadas móviles</w:t>
      </w:r>
      <w:r w:rsidR="00011535">
        <w:rPr>
          <w:rFonts w:asciiTheme="majorHAnsi" w:hAnsiTheme="majorHAnsi"/>
          <w:sz w:val="20"/>
          <w:szCs w:val="20"/>
          <w:lang w:val="es-AR"/>
        </w:rPr>
        <w:t>”</w:t>
      </w:r>
      <w:r w:rsidRPr="005758BA">
        <w:rPr>
          <w:rFonts w:asciiTheme="majorHAnsi" w:hAnsiTheme="majorHAnsi"/>
          <w:sz w:val="20"/>
          <w:szCs w:val="20"/>
          <w:lang w:val="es-AR"/>
        </w:rPr>
        <w:t xml:space="preserve">, </w:t>
      </w:r>
      <w:r w:rsidR="00EE5BCB" w:rsidRPr="005758BA">
        <w:rPr>
          <w:rFonts w:asciiTheme="majorHAnsi" w:hAnsiTheme="majorHAnsi"/>
          <w:sz w:val="20"/>
          <w:szCs w:val="20"/>
          <w:lang w:val="es-AR"/>
        </w:rPr>
        <w:t xml:space="preserve">las cuales actuaron </w:t>
      </w:r>
      <w:r w:rsidRPr="005758BA">
        <w:rPr>
          <w:rFonts w:asciiTheme="majorHAnsi" w:hAnsiTheme="majorHAnsi"/>
          <w:sz w:val="20"/>
          <w:szCs w:val="20"/>
          <w:lang w:val="es-AR"/>
        </w:rPr>
        <w:t>a la par del accionar paramilitar. Según afirman, las brigadas móviles eran unidades de contrainsurgencia</w:t>
      </w:r>
      <w:r w:rsidR="00EE5BCB" w:rsidRPr="005758BA">
        <w:rPr>
          <w:rFonts w:asciiTheme="majorHAnsi" w:hAnsiTheme="majorHAnsi"/>
          <w:sz w:val="20"/>
          <w:szCs w:val="20"/>
          <w:lang w:val="es-AR"/>
        </w:rPr>
        <w:t>,</w:t>
      </w:r>
      <w:r w:rsidRPr="005758BA">
        <w:rPr>
          <w:rFonts w:asciiTheme="majorHAnsi" w:hAnsiTheme="majorHAnsi"/>
          <w:sz w:val="20"/>
          <w:szCs w:val="20"/>
          <w:lang w:val="es-AR"/>
        </w:rPr>
        <w:t xml:space="preserve"> creadas a la postre del fracaso de las negociaciones de pacificación con los grupos insurgentes</w:t>
      </w:r>
      <w:r w:rsidR="00EE5BCB" w:rsidRPr="005758BA">
        <w:rPr>
          <w:rFonts w:asciiTheme="majorHAnsi" w:hAnsiTheme="majorHAnsi"/>
          <w:sz w:val="20"/>
          <w:szCs w:val="20"/>
          <w:lang w:val="es-AR"/>
        </w:rPr>
        <w:t>,</w:t>
      </w:r>
      <w:r w:rsidRPr="005758BA">
        <w:rPr>
          <w:rFonts w:asciiTheme="majorHAnsi" w:hAnsiTheme="majorHAnsi"/>
          <w:sz w:val="20"/>
          <w:szCs w:val="20"/>
          <w:lang w:val="es-AR"/>
        </w:rPr>
        <w:t xml:space="preserve"> que empleaban estrategias de terror</w:t>
      </w:r>
      <w:r w:rsidR="00EE5BCB" w:rsidRPr="005758BA">
        <w:rPr>
          <w:rFonts w:asciiTheme="majorHAnsi" w:hAnsiTheme="majorHAnsi"/>
          <w:sz w:val="20"/>
          <w:szCs w:val="20"/>
          <w:lang w:val="es-AR"/>
        </w:rPr>
        <w:t>,</w:t>
      </w:r>
      <w:r w:rsidRPr="005758BA">
        <w:rPr>
          <w:rFonts w:asciiTheme="majorHAnsi" w:hAnsiTheme="majorHAnsi"/>
          <w:sz w:val="20"/>
          <w:szCs w:val="20"/>
          <w:lang w:val="es-AR"/>
        </w:rPr>
        <w:t xml:space="preserve"> tanto físico como psicológico. Estas unidades militares mantenían un concepto amplio de “enemigo” que incluía no sólo a guerrilleros, sino también a dirigentes comunales y </w:t>
      </w:r>
      <w:r w:rsidR="00FF4839" w:rsidRPr="005758BA">
        <w:rPr>
          <w:rFonts w:asciiTheme="majorHAnsi" w:hAnsiTheme="majorHAnsi"/>
          <w:sz w:val="20"/>
          <w:szCs w:val="20"/>
          <w:lang w:val="es-AR"/>
        </w:rPr>
        <w:t xml:space="preserve">a </w:t>
      </w:r>
      <w:r w:rsidRPr="005758BA">
        <w:rPr>
          <w:rFonts w:asciiTheme="majorHAnsi" w:hAnsiTheme="majorHAnsi"/>
          <w:sz w:val="20"/>
          <w:szCs w:val="20"/>
          <w:lang w:val="es-AR"/>
        </w:rPr>
        <w:t>líderes políticos.</w:t>
      </w:r>
    </w:p>
    <w:p w:rsidR="005758BA" w:rsidRPr="005758BA" w:rsidRDefault="005758BA" w:rsidP="005758BA">
      <w:pPr>
        <w:spacing w:after="0"/>
        <w:jc w:val="both"/>
        <w:rPr>
          <w:rFonts w:asciiTheme="majorHAnsi" w:hAnsiTheme="majorHAnsi"/>
          <w:sz w:val="20"/>
          <w:szCs w:val="20"/>
          <w:lang w:val="es-AR"/>
        </w:rPr>
      </w:pPr>
    </w:p>
    <w:p w:rsidR="00542F43" w:rsidRDefault="00542F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Los peticionarios ofrecieron información sobre el contexto y la situación específica en la región de San Vicente de Chucurí en relación con la situación de violencia, el asentamiento de grupos paramilitares y el accionar del ejército desde el año 1982. En esa línea, aportaron información que explicaría </w:t>
      </w:r>
      <w:r w:rsidR="00541730" w:rsidRPr="005758BA">
        <w:rPr>
          <w:rFonts w:asciiTheme="majorHAnsi" w:hAnsiTheme="majorHAnsi"/>
          <w:sz w:val="20"/>
          <w:szCs w:val="20"/>
          <w:lang w:val="es-AR"/>
        </w:rPr>
        <w:t>cómo</w:t>
      </w:r>
      <w:r w:rsidRPr="005758BA">
        <w:rPr>
          <w:rFonts w:asciiTheme="majorHAnsi" w:hAnsiTheme="majorHAnsi"/>
          <w:sz w:val="20"/>
          <w:szCs w:val="20"/>
          <w:lang w:val="es-AR"/>
        </w:rPr>
        <w:t>, a partir de la década de 1990, el posicionamiento de los grupos paramilitares y las operaciones de contraguerrilla del ejército se</w:t>
      </w:r>
      <w:r w:rsidR="00541730" w:rsidRPr="005758BA">
        <w:rPr>
          <w:rFonts w:asciiTheme="majorHAnsi" w:hAnsiTheme="majorHAnsi"/>
          <w:sz w:val="20"/>
          <w:szCs w:val="20"/>
          <w:lang w:val="es-AR"/>
        </w:rPr>
        <w:t xml:space="preserve"> habrían</w:t>
      </w:r>
      <w:r w:rsidRPr="005758BA">
        <w:rPr>
          <w:rFonts w:asciiTheme="majorHAnsi" w:hAnsiTheme="majorHAnsi"/>
          <w:sz w:val="20"/>
          <w:szCs w:val="20"/>
          <w:lang w:val="es-AR"/>
        </w:rPr>
        <w:t xml:space="preserve"> intensifica</w:t>
      </w:r>
      <w:r w:rsidR="00541730" w:rsidRPr="005758BA">
        <w:rPr>
          <w:rFonts w:asciiTheme="majorHAnsi" w:hAnsiTheme="majorHAnsi"/>
          <w:sz w:val="20"/>
          <w:szCs w:val="20"/>
          <w:lang w:val="es-AR"/>
        </w:rPr>
        <w:t>d</w:t>
      </w:r>
      <w:r w:rsidRPr="005758BA">
        <w:rPr>
          <w:rFonts w:asciiTheme="majorHAnsi" w:hAnsiTheme="majorHAnsi"/>
          <w:sz w:val="20"/>
          <w:szCs w:val="20"/>
          <w:lang w:val="es-AR"/>
        </w:rPr>
        <w:t xml:space="preserve">o considerablemente en el Municipio de San Vicente de Chucurí. En particular, señalan que el </w:t>
      </w:r>
      <w:r w:rsidR="00541730" w:rsidRPr="005758BA">
        <w:rPr>
          <w:rFonts w:asciiTheme="majorHAnsi" w:hAnsiTheme="majorHAnsi"/>
          <w:sz w:val="20"/>
          <w:szCs w:val="20"/>
          <w:lang w:val="es-AR"/>
        </w:rPr>
        <w:t xml:space="preserve">mencionado </w:t>
      </w:r>
      <w:r w:rsidRPr="005758BA">
        <w:rPr>
          <w:rFonts w:asciiTheme="majorHAnsi" w:hAnsiTheme="majorHAnsi"/>
          <w:sz w:val="20"/>
          <w:szCs w:val="20"/>
          <w:lang w:val="es-AR"/>
        </w:rPr>
        <w:t xml:space="preserve">informe “Colombia Nunca Más” da cuenta del accionar de la Quinta Brigada en dicho municipio y especifican que los hechos del presente caso habrían tenido lugar en </w:t>
      </w:r>
      <w:r w:rsidR="00541730" w:rsidRPr="005758BA">
        <w:rPr>
          <w:rFonts w:asciiTheme="majorHAnsi" w:hAnsiTheme="majorHAnsi"/>
          <w:sz w:val="20"/>
          <w:szCs w:val="20"/>
          <w:lang w:val="es-AR"/>
        </w:rPr>
        <w:t>dicho contexto</w:t>
      </w:r>
      <w:r w:rsidRPr="005758BA">
        <w:rPr>
          <w:rFonts w:asciiTheme="majorHAnsi" w:hAnsiTheme="majorHAnsi"/>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5758BA" w:rsidRDefault="00542F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En efecto, e</w:t>
      </w:r>
      <w:r w:rsidR="006F487B" w:rsidRPr="005758BA">
        <w:rPr>
          <w:rFonts w:asciiTheme="majorHAnsi" w:hAnsiTheme="majorHAnsi"/>
          <w:sz w:val="20"/>
          <w:szCs w:val="20"/>
          <w:lang w:val="es-AR"/>
        </w:rPr>
        <w:t xml:space="preserve">n su comunicación inicial </w:t>
      </w:r>
      <w:r w:rsidRPr="005758BA">
        <w:rPr>
          <w:rFonts w:asciiTheme="majorHAnsi" w:hAnsiTheme="majorHAnsi"/>
          <w:sz w:val="20"/>
          <w:szCs w:val="20"/>
          <w:lang w:val="es-AR"/>
        </w:rPr>
        <w:t>de</w:t>
      </w:r>
      <w:r w:rsidR="00541730" w:rsidRPr="005758BA">
        <w:rPr>
          <w:rFonts w:asciiTheme="majorHAnsi" w:hAnsiTheme="majorHAnsi"/>
          <w:sz w:val="20"/>
          <w:szCs w:val="20"/>
          <w:lang w:val="es-AR"/>
        </w:rPr>
        <w:t>l 2 de marzo de</w:t>
      </w:r>
      <w:r w:rsidRPr="005758BA">
        <w:rPr>
          <w:rFonts w:asciiTheme="majorHAnsi" w:hAnsiTheme="majorHAnsi"/>
          <w:sz w:val="20"/>
          <w:szCs w:val="20"/>
          <w:lang w:val="es-AR"/>
        </w:rPr>
        <w:t xml:space="preserve"> 1990</w:t>
      </w:r>
      <w:r w:rsidR="00541730" w:rsidRPr="005758BA">
        <w:rPr>
          <w:rFonts w:asciiTheme="majorHAnsi" w:hAnsiTheme="majorHAnsi"/>
          <w:sz w:val="20"/>
          <w:szCs w:val="20"/>
          <w:lang w:val="es-AR"/>
        </w:rPr>
        <w:t>,</w:t>
      </w:r>
      <w:r w:rsidRPr="005758BA">
        <w:rPr>
          <w:rFonts w:asciiTheme="majorHAnsi" w:hAnsiTheme="majorHAnsi"/>
          <w:sz w:val="20"/>
          <w:szCs w:val="20"/>
          <w:lang w:val="es-AR"/>
        </w:rPr>
        <w:t xml:space="preserve"> </w:t>
      </w:r>
      <w:r w:rsidR="006F487B" w:rsidRPr="005758BA">
        <w:rPr>
          <w:rFonts w:asciiTheme="majorHAnsi" w:hAnsiTheme="majorHAnsi"/>
          <w:sz w:val="20"/>
          <w:szCs w:val="20"/>
          <w:lang w:val="es-AR"/>
        </w:rPr>
        <w:t xml:space="preserve">los peticionarios pusieron en conocimiento de la Comisión que Juan </w:t>
      </w:r>
      <w:r w:rsidR="001F490A" w:rsidRPr="005758BA">
        <w:rPr>
          <w:rFonts w:asciiTheme="majorHAnsi" w:hAnsiTheme="majorHAnsi"/>
          <w:sz w:val="20"/>
          <w:szCs w:val="20"/>
          <w:lang w:val="es-AR"/>
        </w:rPr>
        <w:t>Fernando</w:t>
      </w:r>
      <w:r w:rsidR="006F487B" w:rsidRPr="005758BA">
        <w:rPr>
          <w:rFonts w:asciiTheme="majorHAnsi" w:hAnsiTheme="majorHAnsi"/>
          <w:sz w:val="20"/>
          <w:szCs w:val="20"/>
          <w:lang w:val="es-AR"/>
        </w:rPr>
        <w:t xml:space="preserve"> Porras Martínez hab</w:t>
      </w:r>
      <w:r w:rsidR="002A1E77" w:rsidRPr="005758BA">
        <w:rPr>
          <w:rFonts w:asciiTheme="majorHAnsi" w:hAnsiTheme="majorHAnsi"/>
          <w:sz w:val="20"/>
          <w:szCs w:val="20"/>
          <w:lang w:val="es-AR"/>
        </w:rPr>
        <w:t>r</w:t>
      </w:r>
      <w:r w:rsidR="006F487B" w:rsidRPr="005758BA">
        <w:rPr>
          <w:rFonts w:asciiTheme="majorHAnsi" w:hAnsiTheme="majorHAnsi"/>
          <w:sz w:val="20"/>
          <w:szCs w:val="20"/>
          <w:lang w:val="es-AR"/>
        </w:rPr>
        <w:t>ía desaparecido desde el día 5 de febrero de 1990 a las 6:45 pm, en la ciudad de Bucaramanga, cuando se encontraba realizando actividades de carácter personal en la carrera 33</w:t>
      </w:r>
      <w:r w:rsidR="00AE1E16" w:rsidRPr="005758BA">
        <w:rPr>
          <w:rFonts w:asciiTheme="majorHAnsi" w:hAnsiTheme="majorHAnsi"/>
          <w:sz w:val="20"/>
          <w:szCs w:val="20"/>
          <w:lang w:val="es-AR"/>
        </w:rPr>
        <w:t>,</w:t>
      </w:r>
      <w:r w:rsidR="006F487B" w:rsidRPr="005758BA">
        <w:rPr>
          <w:rFonts w:asciiTheme="majorHAnsi" w:hAnsiTheme="majorHAnsi"/>
          <w:sz w:val="20"/>
          <w:szCs w:val="20"/>
          <w:lang w:val="es-AR"/>
        </w:rPr>
        <w:t xml:space="preserve"> con calle 51. En dicha comunicación</w:t>
      </w:r>
      <w:r w:rsidR="00E2276E" w:rsidRPr="005758BA">
        <w:rPr>
          <w:rFonts w:asciiTheme="majorHAnsi" w:hAnsiTheme="majorHAnsi"/>
          <w:sz w:val="20"/>
          <w:szCs w:val="20"/>
          <w:lang w:val="es-AR"/>
        </w:rPr>
        <w:t>,</w:t>
      </w:r>
      <w:r w:rsidR="006F487B" w:rsidRPr="005758BA">
        <w:rPr>
          <w:rFonts w:asciiTheme="majorHAnsi" w:hAnsiTheme="majorHAnsi"/>
          <w:sz w:val="20"/>
          <w:szCs w:val="20"/>
          <w:lang w:val="es-AR"/>
        </w:rPr>
        <w:t xml:space="preserve"> informaron que sus familiares lo </w:t>
      </w:r>
      <w:r w:rsidR="00AE1E16" w:rsidRPr="005758BA">
        <w:rPr>
          <w:rFonts w:asciiTheme="majorHAnsi" w:hAnsiTheme="majorHAnsi"/>
          <w:sz w:val="20"/>
          <w:szCs w:val="20"/>
          <w:lang w:val="es-AR"/>
        </w:rPr>
        <w:t>hab</w:t>
      </w:r>
      <w:r w:rsidR="00AB7CC9" w:rsidRPr="005758BA">
        <w:rPr>
          <w:rFonts w:asciiTheme="majorHAnsi" w:hAnsiTheme="majorHAnsi"/>
          <w:sz w:val="20"/>
          <w:szCs w:val="20"/>
          <w:lang w:val="es-AR"/>
        </w:rPr>
        <w:t>r</w:t>
      </w:r>
      <w:r w:rsidR="00AE1E16" w:rsidRPr="005758BA">
        <w:rPr>
          <w:rFonts w:asciiTheme="majorHAnsi" w:hAnsiTheme="majorHAnsi"/>
          <w:sz w:val="20"/>
          <w:szCs w:val="20"/>
          <w:lang w:val="es-AR"/>
        </w:rPr>
        <w:t xml:space="preserve">ían buscado en hospitales, en la </w:t>
      </w:r>
      <w:r w:rsidR="006F487B" w:rsidRPr="005758BA">
        <w:rPr>
          <w:rFonts w:asciiTheme="majorHAnsi" w:hAnsiTheme="majorHAnsi"/>
          <w:sz w:val="20"/>
          <w:szCs w:val="20"/>
          <w:lang w:val="es-AR"/>
        </w:rPr>
        <w:t xml:space="preserve">morgue, </w:t>
      </w:r>
      <w:r w:rsidR="00AE1E16" w:rsidRPr="005758BA">
        <w:rPr>
          <w:rFonts w:asciiTheme="majorHAnsi" w:hAnsiTheme="majorHAnsi"/>
          <w:sz w:val="20"/>
          <w:szCs w:val="20"/>
          <w:lang w:val="es-AR"/>
        </w:rPr>
        <w:t xml:space="preserve">en </w:t>
      </w:r>
      <w:r w:rsidR="006F487B" w:rsidRPr="005758BA">
        <w:rPr>
          <w:rFonts w:asciiTheme="majorHAnsi" w:hAnsiTheme="majorHAnsi"/>
          <w:sz w:val="20"/>
          <w:szCs w:val="20"/>
          <w:lang w:val="es-AR"/>
        </w:rPr>
        <w:t>organismos de seguridad del Estado y</w:t>
      </w:r>
      <w:r w:rsidR="00AE1E16" w:rsidRPr="005758BA">
        <w:rPr>
          <w:rFonts w:asciiTheme="majorHAnsi" w:hAnsiTheme="majorHAnsi"/>
          <w:sz w:val="20"/>
          <w:szCs w:val="20"/>
          <w:lang w:val="es-AR"/>
        </w:rPr>
        <w:t xml:space="preserve"> en</w:t>
      </w:r>
      <w:r w:rsidR="006F487B" w:rsidRPr="005758BA">
        <w:rPr>
          <w:rFonts w:asciiTheme="majorHAnsi" w:hAnsiTheme="majorHAnsi"/>
          <w:sz w:val="20"/>
          <w:szCs w:val="20"/>
          <w:lang w:val="es-AR"/>
        </w:rPr>
        <w:t xml:space="preserve"> cárceles, </w:t>
      </w:r>
      <w:r w:rsidR="00AE1E16" w:rsidRPr="005758BA">
        <w:rPr>
          <w:rFonts w:asciiTheme="majorHAnsi" w:hAnsiTheme="majorHAnsi"/>
          <w:sz w:val="20"/>
          <w:szCs w:val="20"/>
          <w:lang w:val="es-AR"/>
        </w:rPr>
        <w:t xml:space="preserve">siempre </w:t>
      </w:r>
      <w:r w:rsidR="006F487B" w:rsidRPr="005758BA">
        <w:rPr>
          <w:rFonts w:asciiTheme="majorHAnsi" w:hAnsiTheme="majorHAnsi"/>
          <w:sz w:val="20"/>
          <w:szCs w:val="20"/>
          <w:lang w:val="es-AR"/>
        </w:rPr>
        <w:t>con resultados negativos. Asimismo, indicaron que la presunta víctima hab</w:t>
      </w:r>
      <w:r w:rsidR="006C4AC4" w:rsidRPr="005758BA">
        <w:rPr>
          <w:rFonts w:asciiTheme="majorHAnsi" w:hAnsiTheme="majorHAnsi"/>
          <w:sz w:val="20"/>
          <w:szCs w:val="20"/>
          <w:lang w:val="es-AR"/>
        </w:rPr>
        <w:t>r</w:t>
      </w:r>
      <w:r w:rsidR="006F487B" w:rsidRPr="005758BA">
        <w:rPr>
          <w:rFonts w:asciiTheme="majorHAnsi" w:hAnsiTheme="majorHAnsi"/>
          <w:sz w:val="20"/>
          <w:szCs w:val="20"/>
          <w:lang w:val="es-AR"/>
        </w:rPr>
        <w:t>ía estado vinculada como estudiante a la Facultad de Medicina de la Universidad Industrial</w:t>
      </w:r>
      <w:r w:rsidR="00AB7CC9" w:rsidRPr="005758BA">
        <w:rPr>
          <w:rFonts w:asciiTheme="majorHAnsi" w:hAnsiTheme="majorHAnsi"/>
          <w:sz w:val="20"/>
          <w:szCs w:val="20"/>
          <w:lang w:val="es-AR"/>
        </w:rPr>
        <w:t xml:space="preserve"> </w:t>
      </w:r>
      <w:r w:rsidR="006F487B" w:rsidRPr="005758BA">
        <w:rPr>
          <w:rFonts w:asciiTheme="majorHAnsi" w:hAnsiTheme="majorHAnsi"/>
          <w:sz w:val="20"/>
          <w:szCs w:val="20"/>
          <w:lang w:val="es-AR"/>
        </w:rPr>
        <w:t>de Santander y que había sido preso político, por lo que se temía por su vida.</w:t>
      </w:r>
      <w:r w:rsidR="00AD5F71" w:rsidRPr="005758BA">
        <w:rPr>
          <w:rFonts w:asciiTheme="majorHAnsi" w:hAnsiTheme="majorHAnsi"/>
          <w:sz w:val="20"/>
          <w:szCs w:val="20"/>
          <w:lang w:val="es-AR"/>
        </w:rPr>
        <w:t xml:space="preserve"> </w:t>
      </w:r>
      <w:r w:rsidR="00FF4839" w:rsidRPr="005758BA">
        <w:rPr>
          <w:rFonts w:asciiTheme="majorHAnsi" w:hAnsiTheme="majorHAnsi"/>
          <w:sz w:val="20"/>
          <w:szCs w:val="20"/>
          <w:lang w:val="es-AR"/>
        </w:rPr>
        <w:t>L</w:t>
      </w:r>
      <w:r w:rsidR="00AD5F71" w:rsidRPr="005758BA">
        <w:rPr>
          <w:rFonts w:asciiTheme="majorHAnsi" w:hAnsiTheme="majorHAnsi"/>
          <w:sz w:val="20"/>
          <w:szCs w:val="20"/>
          <w:lang w:val="es-AR"/>
        </w:rPr>
        <w:t>os peticionarios agregaron que el día 12 de febrero de 1990</w:t>
      </w:r>
      <w:r w:rsidR="009C7ADE" w:rsidRPr="005758BA">
        <w:rPr>
          <w:rFonts w:asciiTheme="majorHAnsi" w:hAnsiTheme="majorHAnsi"/>
          <w:sz w:val="20"/>
          <w:szCs w:val="20"/>
          <w:lang w:val="es-AR"/>
        </w:rPr>
        <w:t>,</w:t>
      </w:r>
      <w:r w:rsidR="00AD5F71" w:rsidRPr="005758BA">
        <w:rPr>
          <w:rFonts w:asciiTheme="majorHAnsi" w:hAnsiTheme="majorHAnsi"/>
          <w:sz w:val="20"/>
          <w:szCs w:val="20"/>
          <w:lang w:val="es-AR"/>
        </w:rPr>
        <w:t xml:space="preserve"> la organización </w:t>
      </w:r>
      <w:r w:rsidR="007E3F9D" w:rsidRPr="005758BA">
        <w:rPr>
          <w:rFonts w:asciiTheme="majorHAnsi" w:hAnsiTheme="majorHAnsi"/>
          <w:sz w:val="20"/>
          <w:szCs w:val="20"/>
          <w:lang w:val="es-AR"/>
        </w:rPr>
        <w:t xml:space="preserve">insurgente </w:t>
      </w:r>
      <w:r w:rsidR="00AD5F71" w:rsidRPr="005758BA">
        <w:rPr>
          <w:rFonts w:asciiTheme="majorHAnsi" w:hAnsiTheme="majorHAnsi"/>
          <w:sz w:val="20"/>
          <w:szCs w:val="20"/>
          <w:lang w:val="es-AR"/>
        </w:rPr>
        <w:t xml:space="preserve">“Unión Camilista Ejército de Liberación Nacional (UCELN)” </w:t>
      </w:r>
      <w:r w:rsidR="009C7ADE" w:rsidRPr="005758BA">
        <w:rPr>
          <w:rFonts w:asciiTheme="majorHAnsi" w:hAnsiTheme="majorHAnsi"/>
          <w:sz w:val="20"/>
          <w:szCs w:val="20"/>
          <w:lang w:val="es-AR"/>
        </w:rPr>
        <w:t>—</w:t>
      </w:r>
      <w:r w:rsidR="00AD5F71" w:rsidRPr="005758BA">
        <w:rPr>
          <w:rFonts w:asciiTheme="majorHAnsi" w:hAnsiTheme="majorHAnsi"/>
          <w:sz w:val="20"/>
          <w:szCs w:val="20"/>
          <w:lang w:val="es-AR"/>
        </w:rPr>
        <w:t>organización a la que habría pertenecido la presunta víctima</w:t>
      </w:r>
      <w:r w:rsidR="009C7ADE" w:rsidRPr="005758BA">
        <w:rPr>
          <w:rFonts w:asciiTheme="majorHAnsi" w:hAnsiTheme="majorHAnsi"/>
          <w:sz w:val="20"/>
          <w:szCs w:val="20"/>
          <w:lang w:val="es-AR"/>
        </w:rPr>
        <w:t>—</w:t>
      </w:r>
      <w:r w:rsidR="00AD5F71" w:rsidRPr="005758BA">
        <w:rPr>
          <w:rFonts w:asciiTheme="majorHAnsi" w:hAnsiTheme="majorHAnsi"/>
          <w:sz w:val="20"/>
          <w:szCs w:val="20"/>
          <w:lang w:val="es-AR"/>
        </w:rPr>
        <w:t xml:space="preserve"> habría emitido un comunicado en que afirma</w:t>
      </w:r>
      <w:r w:rsidR="009C7ADE" w:rsidRPr="005758BA">
        <w:rPr>
          <w:rFonts w:asciiTheme="majorHAnsi" w:hAnsiTheme="majorHAnsi"/>
          <w:sz w:val="20"/>
          <w:szCs w:val="20"/>
          <w:lang w:val="es-AR"/>
        </w:rPr>
        <w:t>b</w:t>
      </w:r>
      <w:r w:rsidR="00AD5F71" w:rsidRPr="005758BA">
        <w:rPr>
          <w:rFonts w:asciiTheme="majorHAnsi" w:hAnsiTheme="majorHAnsi"/>
          <w:sz w:val="20"/>
          <w:szCs w:val="20"/>
          <w:lang w:val="es-AR"/>
        </w:rPr>
        <w:t xml:space="preserve">a </w:t>
      </w:r>
      <w:r w:rsidR="009C7ADE" w:rsidRPr="005758BA">
        <w:rPr>
          <w:rFonts w:asciiTheme="majorHAnsi" w:hAnsiTheme="majorHAnsi"/>
          <w:sz w:val="20"/>
          <w:szCs w:val="20"/>
          <w:lang w:val="es-AR"/>
        </w:rPr>
        <w:t xml:space="preserve">que, el día de su presunta desaparición, Juan Fernando Porras Martínez </w:t>
      </w:r>
      <w:r w:rsidR="00AD5F71" w:rsidRPr="005758BA">
        <w:rPr>
          <w:rFonts w:asciiTheme="majorHAnsi" w:hAnsiTheme="majorHAnsi"/>
          <w:sz w:val="20"/>
          <w:szCs w:val="20"/>
          <w:lang w:val="es-AR"/>
        </w:rPr>
        <w:t>hab</w:t>
      </w:r>
      <w:r w:rsidR="00AB7CC9" w:rsidRPr="005758BA">
        <w:rPr>
          <w:rFonts w:asciiTheme="majorHAnsi" w:hAnsiTheme="majorHAnsi"/>
          <w:sz w:val="20"/>
          <w:szCs w:val="20"/>
          <w:lang w:val="es-AR"/>
        </w:rPr>
        <w:t>r</w:t>
      </w:r>
      <w:r w:rsidR="00AD5F71" w:rsidRPr="005758BA">
        <w:rPr>
          <w:rFonts w:asciiTheme="majorHAnsi" w:hAnsiTheme="majorHAnsi"/>
          <w:sz w:val="20"/>
          <w:szCs w:val="20"/>
          <w:lang w:val="es-AR"/>
        </w:rPr>
        <w:t xml:space="preserve">ía sido detenido por la Quinta Brigada </w:t>
      </w:r>
      <w:r w:rsidR="00B21B29" w:rsidRPr="005758BA">
        <w:rPr>
          <w:rFonts w:asciiTheme="majorHAnsi" w:hAnsiTheme="majorHAnsi"/>
          <w:sz w:val="20"/>
          <w:szCs w:val="20"/>
          <w:lang w:val="es-AR"/>
        </w:rPr>
        <w:t xml:space="preserve">del Ejército y que </w:t>
      </w:r>
      <w:r w:rsidR="009C7ADE" w:rsidRPr="005758BA">
        <w:rPr>
          <w:rFonts w:asciiTheme="majorHAnsi" w:hAnsiTheme="majorHAnsi"/>
          <w:sz w:val="20"/>
          <w:szCs w:val="20"/>
          <w:lang w:val="es-AR"/>
        </w:rPr>
        <w:t>la declaración de la compañera permanente de la presunta víctima hab</w:t>
      </w:r>
      <w:r w:rsidR="00B21B29" w:rsidRPr="005758BA">
        <w:rPr>
          <w:rFonts w:asciiTheme="majorHAnsi" w:hAnsiTheme="majorHAnsi"/>
          <w:sz w:val="20"/>
          <w:szCs w:val="20"/>
          <w:lang w:val="es-AR"/>
        </w:rPr>
        <w:t>r</w:t>
      </w:r>
      <w:r w:rsidR="009C7ADE" w:rsidRPr="005758BA">
        <w:rPr>
          <w:rFonts w:asciiTheme="majorHAnsi" w:hAnsiTheme="majorHAnsi"/>
          <w:sz w:val="20"/>
          <w:szCs w:val="20"/>
          <w:lang w:val="es-AR"/>
        </w:rPr>
        <w:t>ía corroborado dich</w:t>
      </w:r>
      <w:r w:rsidR="00B21B29" w:rsidRPr="005758BA">
        <w:rPr>
          <w:rFonts w:asciiTheme="majorHAnsi" w:hAnsiTheme="majorHAnsi"/>
          <w:sz w:val="20"/>
          <w:szCs w:val="20"/>
          <w:lang w:val="es-AR"/>
        </w:rPr>
        <w:t xml:space="preserve">a información. </w:t>
      </w:r>
      <w:r w:rsidR="00510905" w:rsidRPr="005758BA">
        <w:rPr>
          <w:rFonts w:asciiTheme="majorHAnsi" w:hAnsiTheme="majorHAnsi"/>
          <w:sz w:val="20"/>
          <w:szCs w:val="20"/>
          <w:lang w:val="es-AR"/>
        </w:rPr>
        <w:t>Los peticionarios afirmaron que la presunta víctima habría sido</w:t>
      </w:r>
      <w:r w:rsidR="00EE5BCB" w:rsidRPr="005758BA">
        <w:rPr>
          <w:rFonts w:asciiTheme="majorHAnsi" w:hAnsiTheme="majorHAnsi"/>
          <w:sz w:val="20"/>
          <w:szCs w:val="20"/>
          <w:lang w:val="es-AR"/>
        </w:rPr>
        <w:t xml:space="preserve"> </w:t>
      </w:r>
      <w:r w:rsidR="00510905" w:rsidRPr="005758BA">
        <w:rPr>
          <w:rFonts w:asciiTheme="majorHAnsi" w:hAnsiTheme="majorHAnsi"/>
          <w:sz w:val="20"/>
          <w:szCs w:val="20"/>
          <w:lang w:val="es-AR"/>
        </w:rPr>
        <w:t xml:space="preserve">detenida y desaparecida por agentes del Estado de acuerdo al </w:t>
      </w:r>
      <w:r w:rsidR="00510905" w:rsidRPr="005758BA">
        <w:rPr>
          <w:rFonts w:asciiTheme="majorHAnsi" w:hAnsiTheme="majorHAnsi"/>
          <w:i/>
          <w:sz w:val="20"/>
          <w:szCs w:val="20"/>
          <w:lang w:val="es-AR"/>
        </w:rPr>
        <w:t>modus operandi</w:t>
      </w:r>
      <w:r w:rsidR="00510905" w:rsidRPr="005758BA">
        <w:rPr>
          <w:rFonts w:asciiTheme="majorHAnsi" w:hAnsiTheme="majorHAnsi"/>
          <w:sz w:val="20"/>
          <w:szCs w:val="20"/>
          <w:lang w:val="es-AR"/>
        </w:rPr>
        <w:t xml:space="preserve"> </w:t>
      </w:r>
      <w:r w:rsidR="00EE5BCB" w:rsidRPr="005758BA">
        <w:rPr>
          <w:rFonts w:asciiTheme="majorHAnsi" w:hAnsiTheme="majorHAnsi"/>
          <w:sz w:val="20"/>
          <w:szCs w:val="20"/>
          <w:lang w:val="es-AR"/>
        </w:rPr>
        <w:t>mediante el cual</w:t>
      </w:r>
      <w:r w:rsidR="00510905" w:rsidRPr="005758BA">
        <w:rPr>
          <w:rFonts w:asciiTheme="majorHAnsi" w:hAnsiTheme="majorHAnsi"/>
          <w:sz w:val="20"/>
          <w:szCs w:val="20"/>
          <w:lang w:val="es-AR"/>
        </w:rPr>
        <w:t xml:space="preserve"> la detención no se registra formalmente, precisamente con el fin de no dejar rastro de la víctima y garantizar la impunidad para los victimarios.</w:t>
      </w:r>
    </w:p>
    <w:p w:rsidR="005758BA" w:rsidRPr="005758BA" w:rsidRDefault="005758BA" w:rsidP="005758BA">
      <w:pPr>
        <w:spacing w:after="0"/>
        <w:jc w:val="both"/>
        <w:rPr>
          <w:rFonts w:asciiTheme="majorHAnsi" w:hAnsiTheme="majorHAnsi"/>
          <w:sz w:val="20"/>
          <w:szCs w:val="20"/>
          <w:lang w:val="es-AR"/>
        </w:rPr>
      </w:pPr>
    </w:p>
    <w:p w:rsidR="00773DDA" w:rsidRDefault="000A4620"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Según afirman l</w:t>
      </w:r>
      <w:r w:rsidR="0027140F" w:rsidRPr="005758BA">
        <w:rPr>
          <w:rFonts w:asciiTheme="majorHAnsi" w:hAnsiTheme="majorHAnsi"/>
          <w:sz w:val="20"/>
          <w:szCs w:val="20"/>
          <w:lang w:val="es-AR"/>
        </w:rPr>
        <w:t>os peticionarios</w:t>
      </w:r>
      <w:r w:rsidRPr="005758BA">
        <w:rPr>
          <w:rFonts w:asciiTheme="majorHAnsi" w:hAnsiTheme="majorHAnsi"/>
          <w:sz w:val="20"/>
          <w:szCs w:val="20"/>
          <w:lang w:val="es-AR"/>
        </w:rPr>
        <w:t>,</w:t>
      </w:r>
      <w:r w:rsidR="0027140F" w:rsidRPr="005758BA">
        <w:rPr>
          <w:rFonts w:asciiTheme="majorHAnsi" w:hAnsiTheme="majorHAnsi"/>
          <w:sz w:val="20"/>
          <w:szCs w:val="20"/>
          <w:lang w:val="es-AR"/>
        </w:rPr>
        <w:t xml:space="preserve"> el 23 de febrero de 1990, un religioso y pobladores de la zona de San Vicente de Chucurí habrían encontrado el cuerpo sin vida de la presunta víctima, </w:t>
      </w:r>
      <w:r w:rsidR="00AB7CC9" w:rsidRPr="005758BA">
        <w:rPr>
          <w:rFonts w:asciiTheme="majorHAnsi" w:hAnsiTheme="majorHAnsi"/>
          <w:sz w:val="20"/>
          <w:szCs w:val="20"/>
          <w:lang w:val="es-AR"/>
        </w:rPr>
        <w:t xml:space="preserve">el cual presentaba signos </w:t>
      </w:r>
      <w:r w:rsidR="0027140F" w:rsidRPr="005758BA">
        <w:rPr>
          <w:rFonts w:asciiTheme="majorHAnsi" w:hAnsiTheme="majorHAnsi"/>
          <w:sz w:val="20"/>
          <w:szCs w:val="20"/>
          <w:lang w:val="es-AR"/>
        </w:rPr>
        <w:t xml:space="preserve">evidentes de tortura. </w:t>
      </w:r>
      <w:r w:rsidR="00FF4839" w:rsidRPr="005758BA">
        <w:rPr>
          <w:rFonts w:asciiTheme="majorHAnsi" w:hAnsiTheme="majorHAnsi"/>
          <w:sz w:val="20"/>
          <w:szCs w:val="20"/>
          <w:lang w:val="es-AR"/>
        </w:rPr>
        <w:t>Alegaron</w:t>
      </w:r>
      <w:r w:rsidR="0027140F" w:rsidRPr="005758BA">
        <w:rPr>
          <w:rFonts w:asciiTheme="majorHAnsi" w:hAnsiTheme="majorHAnsi"/>
          <w:sz w:val="20"/>
          <w:szCs w:val="20"/>
          <w:lang w:val="es-AR"/>
        </w:rPr>
        <w:t xml:space="preserve"> que Juan Fernando Porras Martínez habría sido asesinado dentro de los cinco días siguientes a su detención-desaparición</w:t>
      </w:r>
      <w:r w:rsidR="006C4AC4" w:rsidRPr="005758BA">
        <w:rPr>
          <w:rFonts w:asciiTheme="majorHAnsi" w:hAnsiTheme="majorHAnsi"/>
          <w:sz w:val="20"/>
          <w:szCs w:val="20"/>
          <w:lang w:val="es-AR"/>
        </w:rPr>
        <w:t xml:space="preserve"> y que el hallazgo del cuerpo </w:t>
      </w:r>
      <w:r w:rsidR="004B0EF8" w:rsidRPr="005758BA">
        <w:rPr>
          <w:rFonts w:asciiTheme="majorHAnsi" w:hAnsiTheme="majorHAnsi"/>
          <w:sz w:val="20"/>
          <w:szCs w:val="20"/>
          <w:lang w:val="es-AR"/>
        </w:rPr>
        <w:t xml:space="preserve">habría sido informado por varios medios de la prensa local. </w:t>
      </w:r>
      <w:r w:rsidR="00916509">
        <w:rPr>
          <w:rFonts w:asciiTheme="majorHAnsi" w:hAnsiTheme="majorHAnsi"/>
          <w:sz w:val="20"/>
          <w:szCs w:val="20"/>
          <w:lang w:val="es-AR"/>
        </w:rPr>
        <w:t xml:space="preserve">Al respecto, los peticionarios ofrecen pruebas testimoniales de personas que habrían visto </w:t>
      </w:r>
      <w:r w:rsidR="002F62CE">
        <w:rPr>
          <w:rFonts w:asciiTheme="majorHAnsi" w:hAnsiTheme="majorHAnsi"/>
          <w:sz w:val="20"/>
          <w:szCs w:val="20"/>
          <w:lang w:val="es-AR"/>
        </w:rPr>
        <w:t xml:space="preserve">los restos y los </w:t>
      </w:r>
      <w:r w:rsidR="00916509">
        <w:rPr>
          <w:rFonts w:asciiTheme="majorHAnsi" w:hAnsiTheme="majorHAnsi"/>
          <w:sz w:val="20"/>
          <w:szCs w:val="20"/>
          <w:lang w:val="es-AR"/>
        </w:rPr>
        <w:t>habrían reconocido</w:t>
      </w:r>
      <w:r w:rsidR="002F62CE">
        <w:rPr>
          <w:rFonts w:asciiTheme="majorHAnsi" w:hAnsiTheme="majorHAnsi"/>
          <w:sz w:val="20"/>
          <w:szCs w:val="20"/>
          <w:lang w:val="es-AR"/>
        </w:rPr>
        <w:t xml:space="preserve"> como de la presunta víctima</w:t>
      </w:r>
      <w:r w:rsidR="00916509">
        <w:rPr>
          <w:rFonts w:asciiTheme="majorHAnsi" w:hAnsiTheme="majorHAnsi"/>
          <w:sz w:val="20"/>
          <w:szCs w:val="20"/>
          <w:lang w:val="es-AR"/>
        </w:rPr>
        <w:t>. Alegan además que, si bien el informe técnico de necrodactilia habría arrojado resultados negativos, entre las alegaciones de tortura se encontraba la quemadura de sus</w:t>
      </w:r>
      <w:r w:rsidR="002F62CE">
        <w:rPr>
          <w:rFonts w:asciiTheme="majorHAnsi" w:hAnsiTheme="majorHAnsi"/>
          <w:sz w:val="20"/>
          <w:szCs w:val="20"/>
          <w:lang w:val="es-AR"/>
        </w:rPr>
        <w:t xml:space="preserve"> dedos.</w:t>
      </w:r>
      <w:r w:rsidR="00916509">
        <w:rPr>
          <w:rFonts w:asciiTheme="majorHAnsi" w:hAnsiTheme="majorHAnsi"/>
          <w:sz w:val="20"/>
          <w:szCs w:val="20"/>
          <w:lang w:val="es-AR"/>
        </w:rPr>
        <w:t xml:space="preserve">  </w:t>
      </w:r>
    </w:p>
    <w:p w:rsidR="005758BA" w:rsidRPr="005758BA" w:rsidRDefault="005758BA" w:rsidP="005758BA">
      <w:pPr>
        <w:spacing w:after="0"/>
        <w:jc w:val="both"/>
        <w:rPr>
          <w:rFonts w:asciiTheme="majorHAnsi" w:hAnsiTheme="majorHAnsi"/>
          <w:sz w:val="20"/>
          <w:szCs w:val="20"/>
          <w:lang w:val="es-AR"/>
        </w:rPr>
      </w:pPr>
    </w:p>
    <w:p w:rsidR="004B0EF8" w:rsidRDefault="00AB7CC9"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lastRenderedPageBreak/>
        <w:t>Asimismo, i</w:t>
      </w:r>
      <w:r w:rsidR="004B0EF8" w:rsidRPr="005758BA">
        <w:rPr>
          <w:rFonts w:asciiTheme="majorHAnsi" w:hAnsiTheme="majorHAnsi"/>
          <w:sz w:val="20"/>
          <w:szCs w:val="20"/>
          <w:lang w:val="es-AR"/>
        </w:rPr>
        <w:t>ndicaron que</w:t>
      </w:r>
      <w:r w:rsidR="00EE5BCB" w:rsidRPr="005758BA">
        <w:rPr>
          <w:rFonts w:asciiTheme="majorHAnsi" w:hAnsiTheme="majorHAnsi"/>
          <w:sz w:val="20"/>
          <w:szCs w:val="20"/>
          <w:lang w:val="es-AR"/>
        </w:rPr>
        <w:t>,</w:t>
      </w:r>
      <w:r w:rsidR="004B0EF8" w:rsidRPr="005758BA">
        <w:rPr>
          <w:rFonts w:asciiTheme="majorHAnsi" w:hAnsiTheme="majorHAnsi"/>
          <w:sz w:val="20"/>
          <w:szCs w:val="20"/>
          <w:lang w:val="es-AR"/>
        </w:rPr>
        <w:t xml:space="preserve"> en el marco de la investigación que adelantó la Oficina de Investigaciones Especiales de la Procuraduría General de la Nación, se habrían </w:t>
      </w:r>
      <w:r w:rsidR="00FF4839" w:rsidRPr="005758BA">
        <w:rPr>
          <w:rFonts w:asciiTheme="majorHAnsi" w:hAnsiTheme="majorHAnsi"/>
          <w:sz w:val="20"/>
          <w:szCs w:val="20"/>
          <w:lang w:val="es-AR"/>
        </w:rPr>
        <w:t xml:space="preserve">producido </w:t>
      </w:r>
      <w:r w:rsidR="004B0EF8" w:rsidRPr="005758BA">
        <w:rPr>
          <w:rFonts w:asciiTheme="majorHAnsi" w:hAnsiTheme="majorHAnsi"/>
          <w:sz w:val="20"/>
          <w:szCs w:val="20"/>
          <w:lang w:val="es-AR"/>
        </w:rPr>
        <w:t xml:space="preserve">pruebas </w:t>
      </w:r>
      <w:r w:rsidR="00FF4839" w:rsidRPr="005758BA">
        <w:rPr>
          <w:rFonts w:asciiTheme="majorHAnsi" w:hAnsiTheme="majorHAnsi"/>
          <w:sz w:val="20"/>
          <w:szCs w:val="20"/>
          <w:lang w:val="es-AR"/>
        </w:rPr>
        <w:t>—</w:t>
      </w:r>
      <w:r w:rsidR="004B0EF8" w:rsidRPr="005758BA">
        <w:rPr>
          <w:rFonts w:asciiTheme="majorHAnsi" w:hAnsiTheme="majorHAnsi"/>
          <w:sz w:val="20"/>
          <w:szCs w:val="20"/>
          <w:lang w:val="es-AR"/>
        </w:rPr>
        <w:t>tales como declaraciones y grabaciones</w:t>
      </w:r>
      <w:r w:rsidR="00FF4839" w:rsidRPr="005758BA">
        <w:rPr>
          <w:rFonts w:asciiTheme="majorHAnsi" w:hAnsiTheme="majorHAnsi"/>
          <w:sz w:val="20"/>
          <w:szCs w:val="20"/>
          <w:lang w:val="es-AR"/>
        </w:rPr>
        <w:t>—</w:t>
      </w:r>
      <w:r w:rsidR="004B0EF8" w:rsidRPr="005758BA">
        <w:rPr>
          <w:rFonts w:asciiTheme="majorHAnsi" w:hAnsiTheme="majorHAnsi"/>
          <w:sz w:val="20"/>
          <w:szCs w:val="20"/>
          <w:lang w:val="es-AR"/>
        </w:rPr>
        <w:t xml:space="preserve"> que </w:t>
      </w:r>
      <w:r w:rsidR="00510905" w:rsidRPr="005758BA">
        <w:rPr>
          <w:rFonts w:asciiTheme="majorHAnsi" w:hAnsiTheme="majorHAnsi"/>
          <w:sz w:val="20"/>
          <w:szCs w:val="20"/>
          <w:lang w:val="es-AR"/>
        </w:rPr>
        <w:t>corroborarían</w:t>
      </w:r>
      <w:r w:rsidR="004B0EF8" w:rsidRPr="005758BA">
        <w:rPr>
          <w:rFonts w:asciiTheme="majorHAnsi" w:hAnsiTheme="majorHAnsi"/>
          <w:sz w:val="20"/>
          <w:szCs w:val="20"/>
          <w:lang w:val="es-AR"/>
        </w:rPr>
        <w:t xml:space="preserve"> las alegaciones </w:t>
      </w:r>
      <w:r w:rsidR="00510905" w:rsidRPr="005758BA">
        <w:rPr>
          <w:rFonts w:asciiTheme="majorHAnsi" w:hAnsiTheme="majorHAnsi"/>
          <w:sz w:val="20"/>
          <w:szCs w:val="20"/>
          <w:lang w:val="es-AR"/>
        </w:rPr>
        <w:t xml:space="preserve">de </w:t>
      </w:r>
      <w:r w:rsidR="00026B39" w:rsidRPr="005758BA">
        <w:rPr>
          <w:rFonts w:asciiTheme="majorHAnsi" w:hAnsiTheme="majorHAnsi"/>
          <w:sz w:val="20"/>
          <w:szCs w:val="20"/>
          <w:lang w:val="es-AR"/>
        </w:rPr>
        <w:t xml:space="preserve">los peticionarios. En particular, indicaron que existiría una grabación de una comunicación por radioteléfono del ejército colombiano, con su respectiva transcripción, en la que se daría la orden de “detener, desaparecer y asesinar a los miembros de la UCELN”, así como los números de las placas que identifican los vehículos en que se habrían llevado a la presunta víctima. Sin embargo, </w:t>
      </w:r>
      <w:r w:rsidR="004B0EF8" w:rsidRPr="005758BA">
        <w:rPr>
          <w:rFonts w:asciiTheme="majorHAnsi" w:hAnsiTheme="majorHAnsi"/>
          <w:sz w:val="20"/>
          <w:szCs w:val="20"/>
          <w:lang w:val="es-AR"/>
        </w:rPr>
        <w:t xml:space="preserve">dicha evidencia </w:t>
      </w:r>
      <w:r w:rsidR="00026B39" w:rsidRPr="005758BA">
        <w:rPr>
          <w:rFonts w:asciiTheme="majorHAnsi" w:hAnsiTheme="majorHAnsi"/>
          <w:sz w:val="20"/>
          <w:szCs w:val="20"/>
          <w:lang w:val="es-AR"/>
        </w:rPr>
        <w:t xml:space="preserve">habría sido </w:t>
      </w:r>
      <w:r w:rsidR="004B0EF8" w:rsidRPr="005758BA">
        <w:rPr>
          <w:rFonts w:asciiTheme="majorHAnsi" w:hAnsiTheme="majorHAnsi"/>
          <w:sz w:val="20"/>
          <w:szCs w:val="20"/>
          <w:lang w:val="es-AR"/>
        </w:rPr>
        <w:t>sustraída de las oficinas de la Procuraduría</w:t>
      </w:r>
      <w:r w:rsidR="00026B39" w:rsidRPr="005758BA">
        <w:rPr>
          <w:rFonts w:asciiTheme="majorHAnsi" w:hAnsiTheme="majorHAnsi"/>
          <w:sz w:val="20"/>
          <w:szCs w:val="20"/>
          <w:lang w:val="es-AR"/>
        </w:rPr>
        <w:t>.</w:t>
      </w:r>
    </w:p>
    <w:p w:rsidR="008457C3" w:rsidRPr="005758BA" w:rsidRDefault="008457C3" w:rsidP="008457C3">
      <w:pPr>
        <w:spacing w:after="0"/>
        <w:jc w:val="both"/>
        <w:rPr>
          <w:rFonts w:asciiTheme="majorHAnsi" w:hAnsiTheme="majorHAnsi"/>
          <w:sz w:val="20"/>
          <w:szCs w:val="20"/>
          <w:lang w:val="es-AR"/>
        </w:rPr>
      </w:pPr>
    </w:p>
    <w:p w:rsidR="006F487B" w:rsidRDefault="003355BC"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Adicionalmente, los peticionarios afirman que</w:t>
      </w:r>
      <w:r w:rsidR="00C7490F" w:rsidRPr="005758BA">
        <w:rPr>
          <w:rFonts w:asciiTheme="majorHAnsi" w:hAnsiTheme="majorHAnsi"/>
          <w:sz w:val="20"/>
          <w:szCs w:val="20"/>
          <w:lang w:val="es-AR"/>
        </w:rPr>
        <w:t xml:space="preserve"> no tendrían acceso al conjunto de pruebas que se </w:t>
      </w:r>
      <w:r w:rsidR="00574E3C" w:rsidRPr="005758BA">
        <w:rPr>
          <w:rFonts w:asciiTheme="majorHAnsi" w:hAnsiTheme="majorHAnsi"/>
          <w:sz w:val="20"/>
          <w:szCs w:val="20"/>
          <w:lang w:val="es-AR"/>
        </w:rPr>
        <w:t xml:space="preserve">habrían </w:t>
      </w:r>
      <w:r w:rsidR="00C7490F" w:rsidRPr="005758BA">
        <w:rPr>
          <w:rFonts w:asciiTheme="majorHAnsi" w:hAnsiTheme="majorHAnsi"/>
          <w:sz w:val="20"/>
          <w:szCs w:val="20"/>
          <w:lang w:val="es-AR"/>
        </w:rPr>
        <w:t>recopila</w:t>
      </w:r>
      <w:r w:rsidR="00574E3C" w:rsidRPr="005758BA">
        <w:rPr>
          <w:rFonts w:asciiTheme="majorHAnsi" w:hAnsiTheme="majorHAnsi"/>
          <w:sz w:val="20"/>
          <w:szCs w:val="20"/>
          <w:lang w:val="es-AR"/>
        </w:rPr>
        <w:t>do</w:t>
      </w:r>
      <w:r w:rsidR="00C7490F" w:rsidRPr="005758BA">
        <w:rPr>
          <w:rFonts w:asciiTheme="majorHAnsi" w:hAnsiTheme="majorHAnsi"/>
          <w:sz w:val="20"/>
          <w:szCs w:val="20"/>
          <w:lang w:val="es-AR"/>
        </w:rPr>
        <w:t xml:space="preserve"> en el marco de la investigación adelantada por la Oficina de Investigaciones Especiales de la Procuraduría, pues estas se encuentran en poder del Estado y las respuestas que se les habría suministrado al solicitar información </w:t>
      </w:r>
      <w:r w:rsidR="00E2276E" w:rsidRPr="005758BA">
        <w:rPr>
          <w:rFonts w:asciiTheme="majorHAnsi" w:hAnsiTheme="majorHAnsi"/>
          <w:sz w:val="20"/>
          <w:szCs w:val="20"/>
          <w:lang w:val="es-AR"/>
        </w:rPr>
        <w:t>habrían sido</w:t>
      </w:r>
      <w:r w:rsidR="00C7490F" w:rsidRPr="005758BA">
        <w:rPr>
          <w:rFonts w:asciiTheme="majorHAnsi" w:hAnsiTheme="majorHAnsi"/>
          <w:sz w:val="20"/>
          <w:szCs w:val="20"/>
          <w:lang w:val="es-AR"/>
        </w:rPr>
        <w:t xml:space="preserve"> negativas. En efecto</w:t>
      </w:r>
      <w:r w:rsidRPr="005758BA">
        <w:rPr>
          <w:rFonts w:asciiTheme="majorHAnsi" w:hAnsiTheme="majorHAnsi"/>
          <w:sz w:val="20"/>
          <w:szCs w:val="20"/>
          <w:lang w:val="es-AR"/>
        </w:rPr>
        <w:t xml:space="preserve">, en 2007, habrían solicitado formalmente a la Procuraduría copias de lo actuado en el proceso </w:t>
      </w:r>
      <w:r w:rsidR="00C7490F" w:rsidRPr="005758BA">
        <w:rPr>
          <w:rFonts w:asciiTheme="majorHAnsi" w:hAnsiTheme="majorHAnsi"/>
          <w:sz w:val="20"/>
          <w:szCs w:val="20"/>
          <w:lang w:val="es-AR"/>
        </w:rPr>
        <w:t xml:space="preserve">disciplinario </w:t>
      </w:r>
      <w:r w:rsidRPr="005758BA">
        <w:rPr>
          <w:rFonts w:asciiTheme="majorHAnsi" w:hAnsiTheme="majorHAnsi"/>
          <w:sz w:val="20"/>
          <w:szCs w:val="20"/>
          <w:lang w:val="es-AR"/>
        </w:rPr>
        <w:t>rel</w:t>
      </w:r>
      <w:r w:rsidR="00510905" w:rsidRPr="005758BA">
        <w:rPr>
          <w:rFonts w:asciiTheme="majorHAnsi" w:hAnsiTheme="majorHAnsi"/>
          <w:sz w:val="20"/>
          <w:szCs w:val="20"/>
          <w:lang w:val="es-AR"/>
        </w:rPr>
        <w:t xml:space="preserve">ativo a la </w:t>
      </w:r>
      <w:r w:rsidR="002F62CE">
        <w:rPr>
          <w:rFonts w:asciiTheme="majorHAnsi" w:hAnsiTheme="majorHAnsi"/>
          <w:sz w:val="20"/>
          <w:szCs w:val="20"/>
          <w:lang w:val="es-AR"/>
        </w:rPr>
        <w:t xml:space="preserve">presunta desaparición de la </w:t>
      </w:r>
      <w:r w:rsidR="00510905" w:rsidRPr="005758BA">
        <w:rPr>
          <w:rFonts w:asciiTheme="majorHAnsi" w:hAnsiTheme="majorHAnsi"/>
          <w:sz w:val="20"/>
          <w:szCs w:val="20"/>
          <w:lang w:val="es-AR"/>
        </w:rPr>
        <w:t xml:space="preserve">presunta víctima y, en </w:t>
      </w:r>
      <w:r w:rsidRPr="005758BA">
        <w:rPr>
          <w:rFonts w:asciiTheme="majorHAnsi" w:hAnsiTheme="majorHAnsi"/>
          <w:sz w:val="20"/>
          <w:szCs w:val="20"/>
          <w:lang w:val="es-AR"/>
        </w:rPr>
        <w:t xml:space="preserve">la respuesta </w:t>
      </w:r>
      <w:r w:rsidR="00510905" w:rsidRPr="005758BA">
        <w:rPr>
          <w:rFonts w:asciiTheme="majorHAnsi" w:hAnsiTheme="majorHAnsi"/>
          <w:sz w:val="20"/>
          <w:szCs w:val="20"/>
          <w:lang w:val="es-AR"/>
        </w:rPr>
        <w:t>que habrían obtenido</w:t>
      </w:r>
      <w:r w:rsidRPr="005758BA">
        <w:rPr>
          <w:rFonts w:asciiTheme="majorHAnsi" w:hAnsiTheme="majorHAnsi"/>
          <w:sz w:val="20"/>
          <w:szCs w:val="20"/>
          <w:lang w:val="es-AR"/>
        </w:rPr>
        <w:t xml:space="preserve"> el 2 de marzo de ese año</w:t>
      </w:r>
      <w:r w:rsidR="00510905" w:rsidRPr="005758BA">
        <w:rPr>
          <w:rFonts w:asciiTheme="majorHAnsi" w:hAnsiTheme="majorHAnsi"/>
          <w:sz w:val="20"/>
          <w:szCs w:val="20"/>
          <w:lang w:val="es-AR"/>
        </w:rPr>
        <w:t>, se</w:t>
      </w:r>
      <w:r w:rsidRPr="005758BA">
        <w:rPr>
          <w:rFonts w:asciiTheme="majorHAnsi" w:hAnsiTheme="majorHAnsi"/>
          <w:sz w:val="20"/>
          <w:szCs w:val="20"/>
          <w:lang w:val="es-AR"/>
        </w:rPr>
        <w:t xml:space="preserve"> </w:t>
      </w:r>
      <w:r w:rsidR="00E2276E" w:rsidRPr="005758BA">
        <w:rPr>
          <w:rFonts w:asciiTheme="majorHAnsi" w:hAnsiTheme="majorHAnsi"/>
          <w:sz w:val="20"/>
          <w:szCs w:val="20"/>
          <w:lang w:val="es-AR"/>
        </w:rPr>
        <w:t xml:space="preserve">les </w:t>
      </w:r>
      <w:r w:rsidRPr="005758BA">
        <w:rPr>
          <w:rFonts w:asciiTheme="majorHAnsi" w:hAnsiTheme="majorHAnsi"/>
          <w:sz w:val="20"/>
          <w:szCs w:val="20"/>
          <w:lang w:val="es-AR"/>
        </w:rPr>
        <w:t xml:space="preserve">habría indicado que “mediante Acta de Eliminación No. 001 se </w:t>
      </w:r>
      <w:r w:rsidR="00510905" w:rsidRPr="005758BA">
        <w:rPr>
          <w:rFonts w:asciiTheme="majorHAnsi" w:hAnsiTheme="majorHAnsi"/>
          <w:sz w:val="20"/>
          <w:szCs w:val="20"/>
          <w:lang w:val="es-AR"/>
        </w:rPr>
        <w:t xml:space="preserve">[había] </w:t>
      </w:r>
      <w:r w:rsidRPr="005758BA">
        <w:rPr>
          <w:rFonts w:asciiTheme="majorHAnsi" w:hAnsiTheme="majorHAnsi"/>
          <w:sz w:val="20"/>
          <w:szCs w:val="20"/>
          <w:lang w:val="es-AR"/>
        </w:rPr>
        <w:t>procedi</w:t>
      </w:r>
      <w:r w:rsidR="00510905" w:rsidRPr="005758BA">
        <w:rPr>
          <w:rFonts w:asciiTheme="majorHAnsi" w:hAnsiTheme="majorHAnsi"/>
          <w:sz w:val="20"/>
          <w:szCs w:val="20"/>
          <w:lang w:val="es-AR"/>
        </w:rPr>
        <w:t xml:space="preserve">[do] </w:t>
      </w:r>
      <w:r w:rsidRPr="005758BA">
        <w:rPr>
          <w:rFonts w:asciiTheme="majorHAnsi" w:hAnsiTheme="majorHAnsi"/>
          <w:sz w:val="20"/>
          <w:szCs w:val="20"/>
          <w:lang w:val="es-AR"/>
        </w:rPr>
        <w:t>a la depuración y eliminación de dichas diligencias”.</w:t>
      </w:r>
    </w:p>
    <w:p w:rsidR="005758BA" w:rsidRPr="005758BA" w:rsidRDefault="005758BA" w:rsidP="005758BA">
      <w:pPr>
        <w:spacing w:after="0"/>
        <w:jc w:val="both"/>
        <w:rPr>
          <w:rFonts w:asciiTheme="majorHAnsi" w:hAnsiTheme="majorHAnsi"/>
          <w:sz w:val="20"/>
          <w:szCs w:val="20"/>
          <w:lang w:val="es-AR"/>
        </w:rPr>
      </w:pPr>
    </w:p>
    <w:p w:rsidR="00B72A65" w:rsidRDefault="00B72A65"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Por último, en septiembre de 2014, los peticionarios informaron que</w:t>
      </w:r>
      <w:r w:rsidR="008E1BCA" w:rsidRPr="005758BA">
        <w:rPr>
          <w:rFonts w:asciiTheme="majorHAnsi" w:hAnsiTheme="majorHAnsi"/>
          <w:sz w:val="20"/>
          <w:szCs w:val="20"/>
          <w:lang w:val="es-AR"/>
        </w:rPr>
        <w:t>,</w:t>
      </w:r>
      <w:r w:rsidRPr="005758BA">
        <w:rPr>
          <w:rFonts w:asciiTheme="majorHAnsi" w:hAnsiTheme="majorHAnsi"/>
          <w:sz w:val="20"/>
          <w:szCs w:val="20"/>
          <w:lang w:val="es-AR"/>
        </w:rPr>
        <w:t xml:space="preserve"> en el marco del proceso penal abierto en 1990, la Unidad Nacional de Fiscalías Especializadas en Desaparición Forzada y Desplazamiento Forzado, mediante oficio de fecha 14 de julio de 2014, habría respondido a un derecho de petición interpuesto en sede interna por los peticionarios en marzo de ese mismo año, informando que la investigación penal se encontraba en </w:t>
      </w:r>
      <w:r w:rsidR="008E1BCA" w:rsidRPr="005758BA">
        <w:rPr>
          <w:rFonts w:asciiTheme="majorHAnsi" w:hAnsiTheme="majorHAnsi"/>
          <w:sz w:val="20"/>
          <w:szCs w:val="20"/>
          <w:lang w:val="es-AR"/>
        </w:rPr>
        <w:t xml:space="preserve">estado de </w:t>
      </w:r>
      <w:r w:rsidRPr="005758BA">
        <w:rPr>
          <w:rFonts w:asciiTheme="majorHAnsi" w:hAnsiTheme="majorHAnsi"/>
          <w:sz w:val="20"/>
          <w:szCs w:val="20"/>
          <w:lang w:val="es-AR"/>
        </w:rPr>
        <w:t>“preliminares en averiguación de responsables” y que se estaban practicando pruebas</w:t>
      </w:r>
      <w:r w:rsidR="00510905" w:rsidRPr="005758BA">
        <w:rPr>
          <w:rFonts w:asciiTheme="majorHAnsi" w:hAnsiTheme="majorHAnsi"/>
          <w:sz w:val="20"/>
          <w:szCs w:val="20"/>
          <w:lang w:val="es-AR"/>
        </w:rPr>
        <w:t>. Asimismo, se les habría informado</w:t>
      </w:r>
      <w:r w:rsidRPr="005758BA">
        <w:rPr>
          <w:rFonts w:asciiTheme="majorHAnsi" w:hAnsiTheme="majorHAnsi"/>
          <w:sz w:val="20"/>
          <w:szCs w:val="20"/>
          <w:lang w:val="es-AR"/>
        </w:rPr>
        <w:t xml:space="preserve"> que la última de </w:t>
      </w:r>
      <w:r w:rsidR="0016307B" w:rsidRPr="005758BA">
        <w:rPr>
          <w:rFonts w:asciiTheme="majorHAnsi" w:hAnsiTheme="majorHAnsi"/>
          <w:sz w:val="20"/>
          <w:szCs w:val="20"/>
          <w:lang w:val="es-AR"/>
        </w:rPr>
        <w:t>es</w:t>
      </w:r>
      <w:r w:rsidR="00510905" w:rsidRPr="005758BA">
        <w:rPr>
          <w:rFonts w:asciiTheme="majorHAnsi" w:hAnsiTheme="majorHAnsi"/>
          <w:sz w:val="20"/>
          <w:szCs w:val="20"/>
          <w:lang w:val="es-AR"/>
        </w:rPr>
        <w:t xml:space="preserve">as pruebas </w:t>
      </w:r>
      <w:r w:rsidRPr="005758BA">
        <w:rPr>
          <w:rFonts w:asciiTheme="majorHAnsi" w:hAnsiTheme="majorHAnsi"/>
          <w:sz w:val="20"/>
          <w:szCs w:val="20"/>
          <w:lang w:val="es-AR"/>
        </w:rPr>
        <w:t>habría sido ordenada el 21 de mayo de 2014</w:t>
      </w:r>
      <w:r w:rsidR="00510905" w:rsidRPr="005758BA">
        <w:rPr>
          <w:rFonts w:asciiTheme="majorHAnsi" w:hAnsiTheme="majorHAnsi"/>
          <w:sz w:val="20"/>
          <w:szCs w:val="20"/>
          <w:lang w:val="es-AR"/>
        </w:rPr>
        <w:t>,</w:t>
      </w:r>
      <w:r w:rsidRPr="005758BA">
        <w:rPr>
          <w:rFonts w:asciiTheme="majorHAnsi" w:hAnsiTheme="majorHAnsi"/>
          <w:sz w:val="20"/>
          <w:szCs w:val="20"/>
          <w:lang w:val="es-AR"/>
        </w:rPr>
        <w:t xml:space="preserve"> “sin que hasta ese momento se hubiera tenido conocimiento de los autores de la desaparición”. Al respecto, informaron </w:t>
      </w:r>
      <w:r w:rsidR="00E2276E" w:rsidRPr="005758BA">
        <w:rPr>
          <w:rFonts w:asciiTheme="majorHAnsi" w:hAnsiTheme="majorHAnsi"/>
          <w:sz w:val="20"/>
          <w:szCs w:val="20"/>
          <w:lang w:val="es-AR"/>
        </w:rPr>
        <w:t xml:space="preserve">los peticionarios </w:t>
      </w:r>
      <w:r w:rsidRPr="005758BA">
        <w:rPr>
          <w:rFonts w:asciiTheme="majorHAnsi" w:hAnsiTheme="majorHAnsi"/>
          <w:sz w:val="20"/>
          <w:szCs w:val="20"/>
          <w:lang w:val="es-AR"/>
        </w:rPr>
        <w:t>que “no tenían conocimiento de las pruebas a las que se hace referencia en la reciente respuesta proferida por la fiscalía”.</w:t>
      </w:r>
    </w:p>
    <w:p w:rsidR="005758BA" w:rsidRPr="005758BA" w:rsidRDefault="005758BA" w:rsidP="005758BA">
      <w:pPr>
        <w:spacing w:after="0"/>
        <w:jc w:val="both"/>
        <w:rPr>
          <w:rFonts w:asciiTheme="majorHAnsi" w:hAnsiTheme="majorHAnsi"/>
          <w:sz w:val="20"/>
          <w:szCs w:val="20"/>
          <w:lang w:val="es-AR"/>
        </w:rPr>
      </w:pPr>
    </w:p>
    <w:p w:rsidR="006F487B" w:rsidRPr="005758BA" w:rsidRDefault="006F487B" w:rsidP="005758BA">
      <w:pPr>
        <w:pStyle w:val="ListParagraph"/>
        <w:numPr>
          <w:ilvl w:val="0"/>
          <w:numId w:val="7"/>
        </w:numPr>
        <w:spacing w:after="0"/>
        <w:jc w:val="both"/>
        <w:outlineLvl w:val="1"/>
        <w:rPr>
          <w:rFonts w:asciiTheme="majorHAnsi" w:hAnsiTheme="majorHAnsi"/>
          <w:b/>
          <w:sz w:val="20"/>
          <w:szCs w:val="20"/>
          <w:lang w:val="es-AR"/>
        </w:rPr>
      </w:pPr>
      <w:r w:rsidRPr="005758BA">
        <w:rPr>
          <w:rFonts w:asciiTheme="majorHAnsi" w:hAnsiTheme="majorHAnsi"/>
          <w:b/>
          <w:sz w:val="20"/>
          <w:szCs w:val="20"/>
          <w:lang w:val="es-AR"/>
        </w:rPr>
        <w:t>Posición del Estado</w:t>
      </w:r>
    </w:p>
    <w:p w:rsidR="005758BA" w:rsidRPr="005758BA" w:rsidRDefault="005758BA" w:rsidP="005758BA">
      <w:pPr>
        <w:spacing w:after="0"/>
        <w:jc w:val="both"/>
        <w:rPr>
          <w:rFonts w:asciiTheme="majorHAnsi" w:hAnsiTheme="majorHAnsi"/>
          <w:b/>
          <w:sz w:val="20"/>
          <w:szCs w:val="20"/>
          <w:lang w:val="es-AR"/>
        </w:rPr>
      </w:pPr>
    </w:p>
    <w:p w:rsidR="00D55725" w:rsidRDefault="00D55725"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El sus observaciones a la admisibilidad del presente caso, el Estado explicó que existieron dos </w:t>
      </w:r>
      <w:r w:rsidR="00305FDF" w:rsidRPr="005758BA">
        <w:rPr>
          <w:rFonts w:asciiTheme="majorHAnsi" w:hAnsiTheme="majorHAnsi"/>
          <w:sz w:val="20"/>
          <w:szCs w:val="20"/>
          <w:lang w:val="es-AR"/>
        </w:rPr>
        <w:t xml:space="preserve">procesos principales a nivel interno tendientes a establecer el paradero </w:t>
      </w:r>
      <w:r w:rsidR="001A05C1" w:rsidRPr="005758BA">
        <w:rPr>
          <w:rFonts w:asciiTheme="majorHAnsi" w:hAnsiTheme="majorHAnsi"/>
          <w:sz w:val="20"/>
          <w:szCs w:val="20"/>
          <w:lang w:val="es-AR"/>
        </w:rPr>
        <w:t xml:space="preserve">de la presunta víctima </w:t>
      </w:r>
      <w:r w:rsidR="00305FDF" w:rsidRPr="005758BA">
        <w:rPr>
          <w:rFonts w:asciiTheme="majorHAnsi" w:hAnsiTheme="majorHAnsi"/>
          <w:sz w:val="20"/>
          <w:szCs w:val="20"/>
          <w:lang w:val="es-AR"/>
        </w:rPr>
        <w:t xml:space="preserve">y sancionar a los responsables por </w:t>
      </w:r>
      <w:r w:rsidR="001A05C1" w:rsidRPr="005758BA">
        <w:rPr>
          <w:rFonts w:asciiTheme="majorHAnsi" w:hAnsiTheme="majorHAnsi"/>
          <w:sz w:val="20"/>
          <w:szCs w:val="20"/>
          <w:lang w:val="es-AR"/>
        </w:rPr>
        <w:t xml:space="preserve">su </w:t>
      </w:r>
      <w:r w:rsidR="00305FDF" w:rsidRPr="005758BA">
        <w:rPr>
          <w:rFonts w:asciiTheme="majorHAnsi" w:hAnsiTheme="majorHAnsi"/>
          <w:sz w:val="20"/>
          <w:szCs w:val="20"/>
          <w:lang w:val="es-AR"/>
        </w:rPr>
        <w:t>presunta desaparición, uno en la esfera administrativa y el otro en la esfera penal.</w:t>
      </w:r>
    </w:p>
    <w:p w:rsidR="005758BA" w:rsidRPr="005758BA" w:rsidRDefault="005758BA" w:rsidP="005758BA">
      <w:pPr>
        <w:spacing w:after="0"/>
        <w:jc w:val="both"/>
        <w:rPr>
          <w:rFonts w:asciiTheme="majorHAnsi" w:hAnsiTheme="majorHAnsi"/>
          <w:sz w:val="20"/>
          <w:szCs w:val="20"/>
          <w:lang w:val="es-AR"/>
        </w:rPr>
      </w:pPr>
    </w:p>
    <w:p w:rsidR="00C608C0" w:rsidRDefault="0006483E"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Respecto del proceso administrativo (</w:t>
      </w:r>
      <w:r w:rsidR="001A05C1" w:rsidRPr="005758BA">
        <w:rPr>
          <w:rFonts w:asciiTheme="majorHAnsi" w:hAnsiTheme="majorHAnsi"/>
          <w:sz w:val="20"/>
          <w:szCs w:val="20"/>
          <w:lang w:val="es-AR"/>
        </w:rPr>
        <w:t xml:space="preserve">en ocasiones también referido </w:t>
      </w:r>
      <w:r w:rsidR="0016307B" w:rsidRPr="005758BA">
        <w:rPr>
          <w:rFonts w:asciiTheme="majorHAnsi" w:hAnsiTheme="majorHAnsi"/>
          <w:sz w:val="20"/>
          <w:szCs w:val="20"/>
          <w:lang w:val="es-AR"/>
        </w:rPr>
        <w:t xml:space="preserve">por el Estado </w:t>
      </w:r>
      <w:r w:rsidR="001A05C1" w:rsidRPr="005758BA">
        <w:rPr>
          <w:rFonts w:asciiTheme="majorHAnsi" w:hAnsiTheme="majorHAnsi"/>
          <w:sz w:val="20"/>
          <w:szCs w:val="20"/>
          <w:lang w:val="es-AR"/>
        </w:rPr>
        <w:t>como “</w:t>
      </w:r>
      <w:r w:rsidRPr="005758BA">
        <w:rPr>
          <w:rFonts w:asciiTheme="majorHAnsi" w:hAnsiTheme="majorHAnsi"/>
          <w:sz w:val="20"/>
          <w:szCs w:val="20"/>
          <w:lang w:val="es-AR"/>
        </w:rPr>
        <w:t>disciplinario</w:t>
      </w:r>
      <w:r w:rsidR="001A05C1" w:rsidRPr="005758BA">
        <w:rPr>
          <w:rFonts w:asciiTheme="majorHAnsi" w:hAnsiTheme="majorHAnsi"/>
          <w:sz w:val="20"/>
          <w:szCs w:val="20"/>
          <w:lang w:val="es-AR"/>
        </w:rPr>
        <w:t>”</w:t>
      </w:r>
      <w:r w:rsidRPr="005758BA">
        <w:rPr>
          <w:rFonts w:asciiTheme="majorHAnsi" w:hAnsiTheme="majorHAnsi"/>
          <w:sz w:val="20"/>
          <w:szCs w:val="20"/>
          <w:lang w:val="es-AR"/>
        </w:rPr>
        <w:t>), e</w:t>
      </w:r>
      <w:r w:rsidR="00F258B2" w:rsidRPr="005758BA">
        <w:rPr>
          <w:rFonts w:asciiTheme="majorHAnsi" w:hAnsiTheme="majorHAnsi"/>
          <w:sz w:val="20"/>
          <w:szCs w:val="20"/>
          <w:lang w:val="es-AR"/>
        </w:rPr>
        <w:t xml:space="preserve">l Estado informó que las diligencias </w:t>
      </w:r>
      <w:r w:rsidR="00675691" w:rsidRPr="005758BA">
        <w:rPr>
          <w:rFonts w:asciiTheme="majorHAnsi" w:hAnsiTheme="majorHAnsi"/>
          <w:sz w:val="20"/>
          <w:szCs w:val="20"/>
          <w:lang w:val="es-AR"/>
        </w:rPr>
        <w:t>estuvieron inicialmente a cargo de</w:t>
      </w:r>
      <w:r w:rsidR="00F258B2" w:rsidRPr="005758BA">
        <w:rPr>
          <w:rFonts w:asciiTheme="majorHAnsi" w:hAnsiTheme="majorHAnsi"/>
          <w:sz w:val="20"/>
          <w:szCs w:val="20"/>
          <w:lang w:val="es-AR"/>
        </w:rPr>
        <w:t xml:space="preserve"> la </w:t>
      </w:r>
      <w:r w:rsidRPr="005758BA">
        <w:rPr>
          <w:rFonts w:asciiTheme="majorHAnsi" w:hAnsiTheme="majorHAnsi"/>
          <w:sz w:val="20"/>
          <w:szCs w:val="20"/>
          <w:lang w:val="es-AR"/>
        </w:rPr>
        <w:t xml:space="preserve">Policía Judicial de la </w:t>
      </w:r>
      <w:r w:rsidR="00F258B2" w:rsidRPr="005758BA">
        <w:rPr>
          <w:rFonts w:asciiTheme="majorHAnsi" w:hAnsiTheme="majorHAnsi"/>
          <w:sz w:val="20"/>
          <w:szCs w:val="20"/>
          <w:lang w:val="es-AR"/>
        </w:rPr>
        <w:t>Oficina de Investigaciones Especiales de la Procu</w:t>
      </w:r>
      <w:r w:rsidRPr="005758BA">
        <w:rPr>
          <w:rFonts w:asciiTheme="majorHAnsi" w:hAnsiTheme="majorHAnsi"/>
          <w:sz w:val="20"/>
          <w:szCs w:val="20"/>
          <w:lang w:val="es-AR"/>
        </w:rPr>
        <w:t xml:space="preserve">raduría General de la Nación, la cual </w:t>
      </w:r>
      <w:r w:rsidR="00A16152" w:rsidRPr="005758BA">
        <w:rPr>
          <w:rFonts w:asciiTheme="majorHAnsi" w:hAnsiTheme="majorHAnsi"/>
          <w:sz w:val="20"/>
          <w:szCs w:val="20"/>
          <w:lang w:val="es-AR"/>
        </w:rPr>
        <w:t>hab</w:t>
      </w:r>
      <w:r w:rsidRPr="005758BA">
        <w:rPr>
          <w:rFonts w:asciiTheme="majorHAnsi" w:hAnsiTheme="majorHAnsi"/>
          <w:sz w:val="20"/>
          <w:szCs w:val="20"/>
          <w:lang w:val="es-AR"/>
        </w:rPr>
        <w:t>r</w:t>
      </w:r>
      <w:r w:rsidR="00A16152" w:rsidRPr="005758BA">
        <w:rPr>
          <w:rFonts w:asciiTheme="majorHAnsi" w:hAnsiTheme="majorHAnsi"/>
          <w:sz w:val="20"/>
          <w:szCs w:val="20"/>
          <w:lang w:val="es-AR"/>
        </w:rPr>
        <w:t>ía iniciado la indagación preliminar número 0327/90 con el fin de investigar la alegada desaparición de la presunta víctima en la ciudad de Bucaramanga. Según informó el Estado, hasta el 11 de octubre de 1990</w:t>
      </w:r>
      <w:r w:rsidR="00797E02" w:rsidRPr="005758BA">
        <w:rPr>
          <w:rFonts w:asciiTheme="majorHAnsi" w:hAnsiTheme="majorHAnsi"/>
          <w:sz w:val="20"/>
          <w:szCs w:val="20"/>
          <w:lang w:val="es-AR"/>
        </w:rPr>
        <w:t>,</w:t>
      </w:r>
      <w:r w:rsidR="00A16152" w:rsidRPr="005758BA">
        <w:rPr>
          <w:rFonts w:asciiTheme="majorHAnsi" w:hAnsiTheme="majorHAnsi"/>
          <w:sz w:val="20"/>
          <w:szCs w:val="20"/>
          <w:lang w:val="es-AR"/>
        </w:rPr>
        <w:t xml:space="preserve"> habían sido enviadas tres comisiones o grupos de trabajo encargadas de indagar su paradero y su presunta desaparición. </w:t>
      </w:r>
      <w:r w:rsidR="00C43651" w:rsidRPr="005758BA">
        <w:rPr>
          <w:rFonts w:asciiTheme="majorHAnsi" w:hAnsiTheme="majorHAnsi"/>
          <w:sz w:val="20"/>
          <w:szCs w:val="20"/>
          <w:lang w:val="es-AR"/>
        </w:rPr>
        <w:t>Paralelamente, una comisión de funcionarios de la Oficina de Investigaciones Especiales se habría desplazado al Municipio de San Vicente de Chucurí en febrero de 1990</w:t>
      </w:r>
      <w:r w:rsidR="001A05C1" w:rsidRPr="005758BA">
        <w:rPr>
          <w:rFonts w:asciiTheme="majorHAnsi" w:hAnsiTheme="majorHAnsi"/>
          <w:sz w:val="20"/>
          <w:szCs w:val="20"/>
          <w:lang w:val="es-AR"/>
        </w:rPr>
        <w:t>,</w:t>
      </w:r>
      <w:r w:rsidR="00C43651" w:rsidRPr="005758BA">
        <w:rPr>
          <w:rFonts w:asciiTheme="majorHAnsi" w:hAnsiTheme="majorHAnsi"/>
          <w:sz w:val="20"/>
          <w:szCs w:val="20"/>
          <w:lang w:val="es-AR"/>
        </w:rPr>
        <w:t xml:space="preserve"> con el fin de identificar un cadáver encontrado en las inmediaciones de dicha localidad. Según informó el Estado, los exámenes correspondientes determinaron “sin dudas al respecto” que el mismo no se trataba del cuerpo de Juan Fernando Porras Martínez. </w:t>
      </w:r>
    </w:p>
    <w:p w:rsidR="005758BA" w:rsidRPr="005758BA" w:rsidRDefault="005758BA" w:rsidP="005758BA">
      <w:pPr>
        <w:spacing w:after="0"/>
        <w:jc w:val="both"/>
        <w:rPr>
          <w:rFonts w:asciiTheme="majorHAnsi" w:hAnsiTheme="majorHAnsi"/>
          <w:sz w:val="20"/>
          <w:szCs w:val="20"/>
          <w:lang w:val="es-AR"/>
        </w:rPr>
      </w:pPr>
    </w:p>
    <w:p w:rsidR="00C608C0" w:rsidRDefault="00C608C0"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Asimismo, el Estado informó que el 22 de diciembre de 1993, la Procuraduría General de la Nación habría remitido</w:t>
      </w:r>
      <w:r w:rsidR="00574E3C" w:rsidRPr="005758BA">
        <w:rPr>
          <w:rFonts w:asciiTheme="majorHAnsi" w:hAnsiTheme="majorHAnsi"/>
          <w:sz w:val="20"/>
          <w:szCs w:val="20"/>
          <w:lang w:val="es-AR"/>
        </w:rPr>
        <w:t xml:space="preserve"> las actuaciones</w:t>
      </w:r>
      <w:r w:rsidR="001A05C1" w:rsidRPr="005758BA">
        <w:rPr>
          <w:rFonts w:asciiTheme="majorHAnsi" w:hAnsiTheme="majorHAnsi"/>
          <w:sz w:val="20"/>
          <w:szCs w:val="20"/>
          <w:lang w:val="es-AR"/>
        </w:rPr>
        <w:t>,</w:t>
      </w:r>
      <w:r w:rsidRPr="005758BA">
        <w:rPr>
          <w:rFonts w:asciiTheme="majorHAnsi" w:hAnsiTheme="majorHAnsi"/>
          <w:sz w:val="20"/>
          <w:szCs w:val="20"/>
          <w:lang w:val="es-AR"/>
        </w:rPr>
        <w:t xml:space="preserve"> por </w:t>
      </w:r>
      <w:r w:rsidR="001A05C1" w:rsidRPr="005758BA">
        <w:rPr>
          <w:rFonts w:asciiTheme="majorHAnsi" w:hAnsiTheme="majorHAnsi"/>
          <w:sz w:val="20"/>
          <w:szCs w:val="20"/>
          <w:lang w:val="es-AR"/>
        </w:rPr>
        <w:t xml:space="preserve">razones de </w:t>
      </w:r>
      <w:r w:rsidRPr="005758BA">
        <w:rPr>
          <w:rFonts w:asciiTheme="majorHAnsi" w:hAnsiTheme="majorHAnsi"/>
          <w:sz w:val="20"/>
          <w:szCs w:val="20"/>
          <w:lang w:val="es-AR"/>
        </w:rPr>
        <w:t>competencia</w:t>
      </w:r>
      <w:r w:rsidR="001A05C1" w:rsidRPr="005758BA">
        <w:rPr>
          <w:rFonts w:asciiTheme="majorHAnsi" w:hAnsiTheme="majorHAnsi"/>
          <w:sz w:val="20"/>
          <w:szCs w:val="20"/>
          <w:lang w:val="es-AR"/>
        </w:rPr>
        <w:t>,</w:t>
      </w:r>
      <w:r w:rsidRPr="005758BA">
        <w:rPr>
          <w:rFonts w:asciiTheme="majorHAnsi" w:hAnsiTheme="majorHAnsi"/>
          <w:sz w:val="20"/>
          <w:szCs w:val="20"/>
          <w:lang w:val="es-AR"/>
        </w:rPr>
        <w:t xml:space="preserve"> a la Procuraduría Departamental de Santander. Ésta, a su vez, habría dispuesto</w:t>
      </w:r>
      <w:r w:rsidR="001A05C1" w:rsidRPr="005758BA">
        <w:rPr>
          <w:rFonts w:asciiTheme="majorHAnsi" w:hAnsiTheme="majorHAnsi"/>
          <w:sz w:val="20"/>
          <w:szCs w:val="20"/>
          <w:lang w:val="es-AR"/>
        </w:rPr>
        <w:t>,</w:t>
      </w:r>
      <w:r w:rsidRPr="005758BA">
        <w:rPr>
          <w:rFonts w:asciiTheme="majorHAnsi" w:hAnsiTheme="majorHAnsi"/>
          <w:sz w:val="20"/>
          <w:szCs w:val="20"/>
          <w:lang w:val="es-AR"/>
        </w:rPr>
        <w:t xml:space="preserve"> el 16 de febrero de 1994</w:t>
      </w:r>
      <w:r w:rsidR="001A05C1" w:rsidRPr="005758BA">
        <w:rPr>
          <w:rFonts w:asciiTheme="majorHAnsi" w:hAnsiTheme="majorHAnsi"/>
          <w:sz w:val="20"/>
          <w:szCs w:val="20"/>
          <w:lang w:val="es-AR"/>
        </w:rPr>
        <w:t>,</w:t>
      </w:r>
      <w:r w:rsidRPr="005758BA">
        <w:rPr>
          <w:rFonts w:asciiTheme="majorHAnsi" w:hAnsiTheme="majorHAnsi"/>
          <w:sz w:val="20"/>
          <w:szCs w:val="20"/>
          <w:lang w:val="es-AR"/>
        </w:rPr>
        <w:t xml:space="preserve"> que el conocimiento </w:t>
      </w:r>
      <w:r w:rsidR="001A05C1" w:rsidRPr="005758BA">
        <w:rPr>
          <w:rFonts w:asciiTheme="majorHAnsi" w:hAnsiTheme="majorHAnsi"/>
          <w:sz w:val="20"/>
          <w:szCs w:val="20"/>
          <w:lang w:val="es-AR"/>
        </w:rPr>
        <w:t xml:space="preserve">del caso </w:t>
      </w:r>
      <w:r w:rsidRPr="005758BA">
        <w:rPr>
          <w:rFonts w:asciiTheme="majorHAnsi" w:hAnsiTheme="majorHAnsi"/>
          <w:sz w:val="20"/>
          <w:szCs w:val="20"/>
          <w:lang w:val="es-AR"/>
        </w:rPr>
        <w:t xml:space="preserve">correspondía a la Procuraduría Metropolitana de Bucaramanga (por entonces, “Procuraduría Provincial de Bucaramanga”). </w:t>
      </w:r>
      <w:r w:rsidR="00BA0219" w:rsidRPr="005758BA">
        <w:rPr>
          <w:rFonts w:asciiTheme="majorHAnsi" w:hAnsiTheme="majorHAnsi"/>
          <w:sz w:val="20"/>
          <w:szCs w:val="20"/>
          <w:lang w:val="es-AR"/>
        </w:rPr>
        <w:t>E</w:t>
      </w:r>
      <w:r w:rsidRPr="005758BA">
        <w:rPr>
          <w:rFonts w:asciiTheme="majorHAnsi" w:hAnsiTheme="majorHAnsi"/>
          <w:sz w:val="20"/>
          <w:szCs w:val="20"/>
          <w:lang w:val="es-AR"/>
        </w:rPr>
        <w:t xml:space="preserve">sta última habría abierto una investigación disciplinaria bajo el número 138-00991, la cual habría pasado “a reparto de un Abogado Visitador” </w:t>
      </w:r>
      <w:r w:rsidR="0016307B" w:rsidRPr="005758BA">
        <w:rPr>
          <w:rFonts w:asciiTheme="majorHAnsi" w:hAnsiTheme="majorHAnsi"/>
          <w:sz w:val="20"/>
          <w:szCs w:val="20"/>
          <w:lang w:val="es-AR"/>
        </w:rPr>
        <w:t xml:space="preserve">(sic) </w:t>
      </w:r>
      <w:r w:rsidRPr="005758BA">
        <w:rPr>
          <w:rFonts w:asciiTheme="majorHAnsi" w:hAnsiTheme="majorHAnsi"/>
          <w:sz w:val="20"/>
          <w:szCs w:val="20"/>
          <w:lang w:val="es-AR"/>
        </w:rPr>
        <w:t xml:space="preserve">a partir del 4 de marzo de 1994. </w:t>
      </w:r>
      <w:r w:rsidR="00EC4FB6" w:rsidRPr="005758BA">
        <w:rPr>
          <w:rFonts w:asciiTheme="majorHAnsi" w:hAnsiTheme="majorHAnsi"/>
          <w:sz w:val="20"/>
          <w:szCs w:val="20"/>
          <w:lang w:val="es-AR"/>
        </w:rPr>
        <w:t xml:space="preserve">Como medida investigativa adicional, se habría practicado una “inspección judicial” a los parqueaderos de la Quinta Brigada del Ejército Nacional, con la finalidad de constatar las placas de los vehículos automotores que allí se encontraban y compararlos con los rodados supuestamente involucrados en la investigación. </w:t>
      </w:r>
      <w:r w:rsidRPr="005758BA">
        <w:rPr>
          <w:rFonts w:asciiTheme="majorHAnsi" w:hAnsiTheme="majorHAnsi"/>
          <w:sz w:val="20"/>
          <w:szCs w:val="20"/>
          <w:lang w:val="es-AR"/>
        </w:rPr>
        <w:t xml:space="preserve">El Estado afirmó que “luego de una investigación acuciosa, el Abogado Instructor informó al Despacho que había sido </w:t>
      </w:r>
      <w:r w:rsidRPr="005758BA">
        <w:rPr>
          <w:rFonts w:asciiTheme="majorHAnsi" w:hAnsiTheme="majorHAnsi"/>
          <w:sz w:val="20"/>
          <w:szCs w:val="20"/>
          <w:lang w:val="es-AR"/>
        </w:rPr>
        <w:lastRenderedPageBreak/>
        <w:t>imposible determinar la responsabilidad disciplinaria administrativa”, lo que dio lugar a que se ordenara el archivo de la investigación</w:t>
      </w:r>
      <w:r w:rsidR="00EC050E" w:rsidRPr="005758BA">
        <w:rPr>
          <w:rFonts w:asciiTheme="majorHAnsi" w:hAnsiTheme="majorHAnsi"/>
          <w:sz w:val="20"/>
          <w:szCs w:val="20"/>
          <w:lang w:val="es-AR"/>
        </w:rPr>
        <w:t xml:space="preserve"> el día 31 de enero de 1995</w:t>
      </w:r>
      <w:r w:rsidRPr="005758BA">
        <w:rPr>
          <w:rFonts w:asciiTheme="majorHAnsi" w:hAnsiTheme="majorHAnsi"/>
          <w:sz w:val="20"/>
          <w:szCs w:val="20"/>
          <w:lang w:val="es-AR"/>
        </w:rPr>
        <w:t>. Al respecto, el Estado puntualizó que dicha circunstancia “implica que no se encontró prueba de responsabilidad de Agentes del Estado por estos hechos denunciados ante la Honorable Comisión”.</w:t>
      </w:r>
    </w:p>
    <w:p w:rsidR="005758BA" w:rsidRPr="005758BA" w:rsidRDefault="005758BA" w:rsidP="005758BA">
      <w:pPr>
        <w:spacing w:after="0"/>
        <w:jc w:val="both"/>
        <w:rPr>
          <w:rFonts w:asciiTheme="majorHAnsi" w:hAnsiTheme="majorHAnsi"/>
          <w:sz w:val="20"/>
          <w:szCs w:val="20"/>
          <w:lang w:val="es-AR"/>
        </w:rPr>
      </w:pPr>
    </w:p>
    <w:p w:rsidR="0014253F" w:rsidRDefault="00AA0B45"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w:t>
      </w:r>
      <w:r w:rsidR="00D66110" w:rsidRPr="005758BA">
        <w:rPr>
          <w:rFonts w:asciiTheme="majorHAnsi" w:hAnsiTheme="majorHAnsi"/>
          <w:sz w:val="20"/>
          <w:szCs w:val="20"/>
          <w:lang w:val="es-AR"/>
        </w:rPr>
        <w:t xml:space="preserve">l </w:t>
      </w:r>
      <w:r w:rsidR="00ED0999" w:rsidRPr="005758BA">
        <w:rPr>
          <w:rFonts w:asciiTheme="majorHAnsi" w:hAnsiTheme="majorHAnsi"/>
          <w:sz w:val="20"/>
          <w:szCs w:val="20"/>
          <w:lang w:val="es-AR"/>
        </w:rPr>
        <w:t xml:space="preserve">Estado informó </w:t>
      </w:r>
      <w:r w:rsidRPr="005758BA">
        <w:rPr>
          <w:rFonts w:asciiTheme="majorHAnsi" w:hAnsiTheme="majorHAnsi"/>
          <w:sz w:val="20"/>
          <w:szCs w:val="20"/>
          <w:lang w:val="es-AR"/>
        </w:rPr>
        <w:t xml:space="preserve">también </w:t>
      </w:r>
      <w:r w:rsidR="00ED0999" w:rsidRPr="005758BA">
        <w:rPr>
          <w:rFonts w:asciiTheme="majorHAnsi" w:hAnsiTheme="majorHAnsi"/>
          <w:sz w:val="20"/>
          <w:szCs w:val="20"/>
          <w:lang w:val="es-AR"/>
        </w:rPr>
        <w:t>que</w:t>
      </w:r>
      <w:r w:rsidR="00D66110" w:rsidRPr="005758BA">
        <w:rPr>
          <w:rFonts w:asciiTheme="majorHAnsi" w:hAnsiTheme="majorHAnsi"/>
          <w:sz w:val="20"/>
          <w:szCs w:val="20"/>
          <w:lang w:val="es-AR"/>
        </w:rPr>
        <w:t>,</w:t>
      </w:r>
      <w:r w:rsidR="00ED0999" w:rsidRPr="005758BA">
        <w:rPr>
          <w:rFonts w:asciiTheme="majorHAnsi" w:hAnsiTheme="majorHAnsi"/>
          <w:sz w:val="20"/>
          <w:szCs w:val="20"/>
          <w:lang w:val="es-AR"/>
        </w:rPr>
        <w:t xml:space="preserve"> </w:t>
      </w:r>
      <w:r w:rsidR="00D66110" w:rsidRPr="005758BA">
        <w:rPr>
          <w:rFonts w:asciiTheme="majorHAnsi" w:hAnsiTheme="majorHAnsi"/>
          <w:sz w:val="20"/>
          <w:szCs w:val="20"/>
          <w:lang w:val="es-AR"/>
        </w:rPr>
        <w:t xml:space="preserve">en el ámbito penal, </w:t>
      </w:r>
      <w:r w:rsidR="00F06929" w:rsidRPr="005758BA">
        <w:rPr>
          <w:rFonts w:asciiTheme="majorHAnsi" w:hAnsiTheme="majorHAnsi"/>
          <w:sz w:val="20"/>
          <w:szCs w:val="20"/>
          <w:lang w:val="es-AR"/>
        </w:rPr>
        <w:t xml:space="preserve">el 21 de febrero de 1990, la Procuraduría Delegada para la Defensa de los Derechos Humanos de Bucaramanga </w:t>
      </w:r>
      <w:r w:rsidR="00B10483">
        <w:rPr>
          <w:rFonts w:asciiTheme="majorHAnsi" w:hAnsiTheme="majorHAnsi"/>
          <w:sz w:val="20"/>
          <w:szCs w:val="20"/>
          <w:lang w:val="es-AR"/>
        </w:rPr>
        <w:t>“</w:t>
      </w:r>
      <w:r w:rsidR="00F06929" w:rsidRPr="005758BA">
        <w:rPr>
          <w:rFonts w:asciiTheme="majorHAnsi" w:hAnsiTheme="majorHAnsi"/>
          <w:sz w:val="20"/>
          <w:szCs w:val="20"/>
          <w:lang w:val="es-AR"/>
        </w:rPr>
        <w:t>compulsó copias</w:t>
      </w:r>
      <w:r w:rsidR="00B10483">
        <w:rPr>
          <w:rFonts w:asciiTheme="majorHAnsi" w:hAnsiTheme="majorHAnsi"/>
          <w:sz w:val="20"/>
          <w:szCs w:val="20"/>
          <w:lang w:val="es-AR"/>
        </w:rPr>
        <w:t>”</w:t>
      </w:r>
      <w:r w:rsidR="00F06929" w:rsidRPr="005758BA">
        <w:rPr>
          <w:rFonts w:asciiTheme="majorHAnsi" w:hAnsiTheme="majorHAnsi"/>
          <w:sz w:val="20"/>
          <w:szCs w:val="20"/>
          <w:lang w:val="es-AR"/>
        </w:rPr>
        <w:t xml:space="preserve"> al Juzgado de Instrucción Criminal con el objetivo de iniciar la investigación penal correspondiente. Seguidamente, el Director Seccional de Instrucción Criminal instauró denuncia penal por la desaparición de la presunta víctima. </w:t>
      </w:r>
      <w:r w:rsidR="00BA0219" w:rsidRPr="005758BA">
        <w:rPr>
          <w:rFonts w:asciiTheme="majorHAnsi" w:hAnsiTheme="majorHAnsi"/>
          <w:sz w:val="20"/>
          <w:szCs w:val="20"/>
          <w:lang w:val="es-AR"/>
        </w:rPr>
        <w:t>Asimismo</w:t>
      </w:r>
      <w:r w:rsidR="0085635E" w:rsidRPr="005758BA">
        <w:rPr>
          <w:rFonts w:asciiTheme="majorHAnsi" w:hAnsiTheme="majorHAnsi"/>
          <w:sz w:val="20"/>
          <w:szCs w:val="20"/>
          <w:lang w:val="es-AR"/>
        </w:rPr>
        <w:t>, informó el Estado que</w:t>
      </w:r>
      <w:r w:rsidR="00B46DE5" w:rsidRPr="005758BA">
        <w:rPr>
          <w:rFonts w:asciiTheme="majorHAnsi" w:hAnsiTheme="majorHAnsi"/>
          <w:sz w:val="20"/>
          <w:szCs w:val="20"/>
          <w:lang w:val="es-AR"/>
        </w:rPr>
        <w:t>,</w:t>
      </w:r>
      <w:r w:rsidR="0085635E" w:rsidRPr="005758BA">
        <w:rPr>
          <w:rFonts w:asciiTheme="majorHAnsi" w:hAnsiTheme="majorHAnsi"/>
          <w:sz w:val="20"/>
          <w:szCs w:val="20"/>
          <w:lang w:val="es-AR"/>
        </w:rPr>
        <w:t xml:space="preserve"> e</w:t>
      </w:r>
      <w:r w:rsidR="00F06929" w:rsidRPr="005758BA">
        <w:rPr>
          <w:rFonts w:asciiTheme="majorHAnsi" w:hAnsiTheme="majorHAnsi"/>
          <w:sz w:val="20"/>
          <w:szCs w:val="20"/>
          <w:lang w:val="es-AR"/>
        </w:rPr>
        <w:t xml:space="preserve">l </w:t>
      </w:r>
      <w:r w:rsidR="0085635E" w:rsidRPr="005758BA">
        <w:rPr>
          <w:rFonts w:asciiTheme="majorHAnsi" w:hAnsiTheme="majorHAnsi"/>
          <w:sz w:val="20"/>
          <w:szCs w:val="20"/>
          <w:lang w:val="es-AR"/>
        </w:rPr>
        <w:t>8 de mayo de 1990</w:t>
      </w:r>
      <w:r w:rsidR="00F06929" w:rsidRPr="005758BA">
        <w:rPr>
          <w:rFonts w:asciiTheme="majorHAnsi" w:hAnsiTheme="majorHAnsi"/>
          <w:sz w:val="20"/>
          <w:szCs w:val="20"/>
          <w:lang w:val="es-AR"/>
        </w:rPr>
        <w:t xml:space="preserve">, </w:t>
      </w:r>
      <w:r w:rsidR="0085635E" w:rsidRPr="005758BA">
        <w:rPr>
          <w:rFonts w:asciiTheme="majorHAnsi" w:hAnsiTheme="majorHAnsi"/>
          <w:sz w:val="20"/>
          <w:szCs w:val="20"/>
          <w:lang w:val="es-AR"/>
        </w:rPr>
        <w:t xml:space="preserve">se habría dispuesto “la suspensión de la investigación, toda vez que no se había logrado identificar e individualizar a los autores de los hechos”. </w:t>
      </w:r>
      <w:r w:rsidR="00B46DE5" w:rsidRPr="005758BA">
        <w:rPr>
          <w:rFonts w:asciiTheme="majorHAnsi" w:hAnsiTheme="majorHAnsi"/>
          <w:sz w:val="20"/>
          <w:szCs w:val="20"/>
          <w:lang w:val="es-AR"/>
        </w:rPr>
        <w:t>E</w:t>
      </w:r>
      <w:r w:rsidR="0085635E" w:rsidRPr="005758BA">
        <w:rPr>
          <w:rFonts w:asciiTheme="majorHAnsi" w:hAnsiTheme="majorHAnsi"/>
          <w:sz w:val="20"/>
          <w:szCs w:val="20"/>
          <w:lang w:val="es-AR"/>
        </w:rPr>
        <w:t xml:space="preserve">l 15 de mayo del mismo año, </w:t>
      </w:r>
      <w:r w:rsidR="0096659A" w:rsidRPr="005758BA">
        <w:rPr>
          <w:rFonts w:asciiTheme="majorHAnsi" w:hAnsiTheme="majorHAnsi"/>
          <w:sz w:val="20"/>
          <w:szCs w:val="20"/>
          <w:lang w:val="es-AR"/>
        </w:rPr>
        <w:t xml:space="preserve">se habría dispuesto el envío del caso a </w:t>
      </w:r>
      <w:r w:rsidR="0085635E" w:rsidRPr="005758BA">
        <w:rPr>
          <w:rFonts w:asciiTheme="majorHAnsi" w:hAnsiTheme="majorHAnsi"/>
          <w:sz w:val="20"/>
          <w:szCs w:val="20"/>
          <w:lang w:val="es-AR"/>
        </w:rPr>
        <w:t>l</w:t>
      </w:r>
      <w:r w:rsidR="00074A26" w:rsidRPr="005758BA">
        <w:rPr>
          <w:rFonts w:asciiTheme="majorHAnsi" w:hAnsiTheme="majorHAnsi"/>
          <w:sz w:val="20"/>
          <w:szCs w:val="20"/>
          <w:lang w:val="es-AR"/>
        </w:rPr>
        <w:t xml:space="preserve">a Unidad de Indagación Preliminar de la ciudad de Bucaramanga. </w:t>
      </w:r>
      <w:r w:rsidR="0096659A" w:rsidRPr="005758BA">
        <w:rPr>
          <w:rFonts w:asciiTheme="majorHAnsi" w:hAnsiTheme="majorHAnsi"/>
          <w:sz w:val="20"/>
          <w:szCs w:val="20"/>
          <w:lang w:val="es-AR"/>
        </w:rPr>
        <w:t>Según indicó el Estado, dicha entidad habría</w:t>
      </w:r>
      <w:r w:rsidRPr="005758BA">
        <w:rPr>
          <w:rFonts w:asciiTheme="majorHAnsi" w:hAnsiTheme="majorHAnsi"/>
          <w:sz w:val="20"/>
          <w:szCs w:val="20"/>
          <w:lang w:val="es-AR"/>
        </w:rPr>
        <w:t xml:space="preserve"> llevado a cabo </w:t>
      </w:r>
      <w:r w:rsidR="0096659A" w:rsidRPr="005758BA">
        <w:rPr>
          <w:rFonts w:asciiTheme="majorHAnsi" w:hAnsiTheme="majorHAnsi"/>
          <w:sz w:val="20"/>
          <w:szCs w:val="20"/>
          <w:lang w:val="es-AR"/>
        </w:rPr>
        <w:t xml:space="preserve">algunas </w:t>
      </w:r>
      <w:r w:rsidRPr="005758BA">
        <w:rPr>
          <w:rFonts w:asciiTheme="majorHAnsi" w:hAnsiTheme="majorHAnsi"/>
          <w:sz w:val="20"/>
          <w:szCs w:val="20"/>
          <w:lang w:val="es-AR"/>
        </w:rPr>
        <w:t>diligencias</w:t>
      </w:r>
      <w:r w:rsidR="0096659A" w:rsidRPr="005758BA">
        <w:rPr>
          <w:rFonts w:asciiTheme="majorHAnsi" w:hAnsiTheme="majorHAnsi"/>
          <w:sz w:val="20"/>
          <w:szCs w:val="20"/>
          <w:lang w:val="es-AR"/>
        </w:rPr>
        <w:t xml:space="preserve"> adicionales</w:t>
      </w:r>
      <w:r w:rsidRPr="005758BA">
        <w:rPr>
          <w:rFonts w:asciiTheme="majorHAnsi" w:hAnsiTheme="majorHAnsi"/>
          <w:sz w:val="20"/>
          <w:szCs w:val="20"/>
          <w:lang w:val="es-AR"/>
        </w:rPr>
        <w:t>, como la toma de declaración testimonial a familiares de la presunta víctima.</w:t>
      </w:r>
      <w:r w:rsidR="00E84CE6" w:rsidRPr="005758BA">
        <w:rPr>
          <w:rFonts w:asciiTheme="majorHAnsi" w:hAnsiTheme="majorHAnsi"/>
          <w:sz w:val="20"/>
          <w:szCs w:val="20"/>
          <w:lang w:val="es-AR"/>
        </w:rPr>
        <w:t xml:space="preserve"> </w:t>
      </w:r>
      <w:r w:rsidR="00C608C0" w:rsidRPr="005758BA">
        <w:rPr>
          <w:rFonts w:asciiTheme="majorHAnsi" w:hAnsiTheme="majorHAnsi"/>
          <w:sz w:val="20"/>
          <w:szCs w:val="20"/>
          <w:lang w:val="es-AR"/>
        </w:rPr>
        <w:t>Finalmente, el 27 de mar</w:t>
      </w:r>
      <w:r w:rsidR="00B10483">
        <w:rPr>
          <w:rFonts w:asciiTheme="majorHAnsi" w:hAnsiTheme="majorHAnsi"/>
          <w:sz w:val="20"/>
          <w:szCs w:val="20"/>
          <w:lang w:val="es-AR"/>
        </w:rPr>
        <w:t>z</w:t>
      </w:r>
      <w:r w:rsidR="00C608C0" w:rsidRPr="005758BA">
        <w:rPr>
          <w:rFonts w:asciiTheme="majorHAnsi" w:hAnsiTheme="majorHAnsi"/>
          <w:sz w:val="20"/>
          <w:szCs w:val="20"/>
          <w:lang w:val="es-AR"/>
        </w:rPr>
        <w:t xml:space="preserve">o de 1992, trascurridos más de dos </w:t>
      </w:r>
      <w:r w:rsidR="00B46DE5" w:rsidRPr="005758BA">
        <w:rPr>
          <w:rFonts w:asciiTheme="majorHAnsi" w:hAnsiTheme="majorHAnsi"/>
          <w:sz w:val="20"/>
          <w:szCs w:val="20"/>
          <w:lang w:val="es-AR"/>
        </w:rPr>
        <w:t xml:space="preserve">años </w:t>
      </w:r>
      <w:r w:rsidR="00C608C0" w:rsidRPr="005758BA">
        <w:rPr>
          <w:rFonts w:asciiTheme="majorHAnsi" w:hAnsiTheme="majorHAnsi"/>
          <w:sz w:val="20"/>
          <w:szCs w:val="20"/>
          <w:lang w:val="es-AR"/>
        </w:rPr>
        <w:t>desde que se habría iniciado la investigación</w:t>
      </w:r>
      <w:r w:rsidR="00B46DE5" w:rsidRPr="005758BA">
        <w:rPr>
          <w:rFonts w:asciiTheme="majorHAnsi" w:hAnsiTheme="majorHAnsi"/>
          <w:sz w:val="20"/>
          <w:szCs w:val="20"/>
          <w:lang w:val="es-AR"/>
        </w:rPr>
        <w:t>,</w:t>
      </w:r>
      <w:r w:rsidR="00C608C0" w:rsidRPr="005758BA">
        <w:rPr>
          <w:rFonts w:asciiTheme="majorHAnsi" w:hAnsiTheme="majorHAnsi"/>
          <w:sz w:val="20"/>
          <w:szCs w:val="20"/>
          <w:lang w:val="es-AR"/>
        </w:rPr>
        <w:t xml:space="preserve"> y sin que se hubiese logrado la identificación de los autores, el Juzgado </w:t>
      </w:r>
      <w:r w:rsidR="00180243" w:rsidRPr="005758BA">
        <w:rPr>
          <w:rFonts w:asciiTheme="majorHAnsi" w:hAnsiTheme="majorHAnsi"/>
          <w:sz w:val="20"/>
          <w:szCs w:val="20"/>
          <w:lang w:val="es-AR"/>
        </w:rPr>
        <w:t>Quinto</w:t>
      </w:r>
      <w:r w:rsidR="00C608C0" w:rsidRPr="005758BA">
        <w:rPr>
          <w:rFonts w:asciiTheme="majorHAnsi" w:hAnsiTheme="majorHAnsi"/>
          <w:sz w:val="20"/>
          <w:szCs w:val="20"/>
          <w:lang w:val="es-AR"/>
        </w:rPr>
        <w:t xml:space="preserve"> de Instrucción Criminal habría decidido archivar la investigación. </w:t>
      </w:r>
    </w:p>
    <w:p w:rsidR="005758BA" w:rsidRPr="005758BA" w:rsidRDefault="005758BA" w:rsidP="005758BA">
      <w:pPr>
        <w:spacing w:after="0"/>
        <w:jc w:val="both"/>
        <w:rPr>
          <w:rFonts w:asciiTheme="majorHAnsi" w:hAnsiTheme="majorHAnsi"/>
          <w:sz w:val="20"/>
          <w:szCs w:val="20"/>
          <w:lang w:val="es-AR"/>
        </w:rPr>
      </w:pPr>
    </w:p>
    <w:p w:rsidR="0014253F" w:rsidRDefault="0014253F"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El Estado agregó que los peticionarios no habrían demostrado que hubiera existido privación de libertad alguna de la presunta víctima, ni que para la época hubiera existido en Colombia una práctica de desapariciones forzadas toleradas o impulsadas desde el Estado. En tal sentido, concluyó que, a pesar de la diligente investigación desplegada, no existen pruebas que demuestren que la presunta víctima hubiera sido privada de su libertad, ni que en la desaparición de Juan Fernando Porras Martínez hubieran participado agentes estatales, o particulares que actuasen con la aquiescencia o apoyo del Estado. Por el contrario, el Estado sostiene que dicha orfandad probatoria parecería indicar que el presente caso se trata de una “desaparición voluntaria”.</w:t>
      </w:r>
    </w:p>
    <w:p w:rsidR="005758BA" w:rsidRPr="005758BA" w:rsidRDefault="005758BA" w:rsidP="005758BA">
      <w:pPr>
        <w:spacing w:after="0"/>
        <w:jc w:val="both"/>
        <w:rPr>
          <w:rFonts w:asciiTheme="majorHAnsi" w:hAnsiTheme="majorHAnsi"/>
          <w:sz w:val="20"/>
          <w:szCs w:val="20"/>
          <w:lang w:val="es-AR"/>
        </w:rPr>
      </w:pPr>
    </w:p>
    <w:p w:rsidR="00974F85" w:rsidRDefault="00B46DE5"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Adicionalmente</w:t>
      </w:r>
      <w:r w:rsidR="00C608C0" w:rsidRPr="005758BA">
        <w:rPr>
          <w:rFonts w:asciiTheme="majorHAnsi" w:hAnsiTheme="majorHAnsi"/>
          <w:sz w:val="20"/>
          <w:szCs w:val="20"/>
          <w:lang w:val="es-AR"/>
        </w:rPr>
        <w:t xml:space="preserve">, el Estado informó que el día 15 de marzo de 2007, la Fiscalía </w:t>
      </w:r>
      <w:r w:rsidR="003C440C" w:rsidRPr="005758BA">
        <w:rPr>
          <w:rFonts w:asciiTheme="majorHAnsi" w:hAnsiTheme="majorHAnsi"/>
          <w:sz w:val="20"/>
          <w:szCs w:val="20"/>
          <w:lang w:val="es-AR"/>
        </w:rPr>
        <w:t>habría considerado</w:t>
      </w:r>
      <w:r w:rsidR="00C608C0" w:rsidRPr="005758BA">
        <w:rPr>
          <w:rFonts w:asciiTheme="majorHAnsi" w:hAnsiTheme="majorHAnsi"/>
          <w:sz w:val="20"/>
          <w:szCs w:val="20"/>
          <w:lang w:val="es-AR"/>
        </w:rPr>
        <w:t xml:space="preserve"> </w:t>
      </w:r>
      <w:r w:rsidR="00FF7C78" w:rsidRPr="005758BA">
        <w:rPr>
          <w:rFonts w:asciiTheme="majorHAnsi" w:hAnsiTheme="majorHAnsi"/>
          <w:sz w:val="20"/>
          <w:szCs w:val="20"/>
          <w:lang w:val="es-AR"/>
        </w:rPr>
        <w:t xml:space="preserve">que </w:t>
      </w:r>
      <w:r w:rsidR="00C608C0" w:rsidRPr="005758BA">
        <w:rPr>
          <w:rFonts w:asciiTheme="majorHAnsi" w:hAnsiTheme="majorHAnsi"/>
          <w:sz w:val="20"/>
          <w:szCs w:val="20"/>
          <w:lang w:val="es-AR"/>
        </w:rPr>
        <w:t xml:space="preserve">“no existían los supuestos legales (nueva prueba) que justificaran la reapertura de la investigación”. </w:t>
      </w:r>
      <w:r w:rsidR="0014253F" w:rsidRPr="005758BA">
        <w:rPr>
          <w:rFonts w:asciiTheme="majorHAnsi" w:hAnsiTheme="majorHAnsi"/>
          <w:sz w:val="20"/>
          <w:szCs w:val="20"/>
          <w:lang w:val="es-AR"/>
        </w:rPr>
        <w:t xml:space="preserve">Sin embargo, </w:t>
      </w:r>
      <w:r w:rsidR="00BE5445" w:rsidRPr="005758BA">
        <w:rPr>
          <w:rFonts w:asciiTheme="majorHAnsi" w:hAnsiTheme="majorHAnsi"/>
          <w:sz w:val="20"/>
          <w:szCs w:val="20"/>
          <w:lang w:val="es-AR"/>
        </w:rPr>
        <w:t>en sus últimas observaciones remitidas a la CIDH, el Estado señaló</w:t>
      </w:r>
      <w:r w:rsidR="0014253F" w:rsidRPr="005758BA">
        <w:rPr>
          <w:rFonts w:asciiTheme="majorHAnsi" w:hAnsiTheme="majorHAnsi"/>
          <w:sz w:val="20"/>
          <w:szCs w:val="20"/>
          <w:lang w:val="es-AR"/>
        </w:rPr>
        <w:t xml:space="preserve"> que la investigación penal fue reabierta en el año 2009 y que, en el marco de dicha causa, se estaban tomando medidas investigativas al efecto de esclarecer los hechos del presente caso.</w:t>
      </w:r>
    </w:p>
    <w:p w:rsidR="005758BA" w:rsidRPr="005758BA" w:rsidRDefault="005758BA" w:rsidP="005758BA">
      <w:pPr>
        <w:spacing w:after="0"/>
        <w:jc w:val="both"/>
        <w:rPr>
          <w:rFonts w:asciiTheme="majorHAnsi" w:hAnsiTheme="majorHAnsi"/>
          <w:sz w:val="20"/>
          <w:szCs w:val="20"/>
          <w:lang w:val="es-AR"/>
        </w:rPr>
      </w:pPr>
    </w:p>
    <w:p w:rsidR="00EC4FB6" w:rsidRDefault="00B17572" w:rsidP="005758BA">
      <w:pPr>
        <w:pStyle w:val="Heading1"/>
      </w:pPr>
      <w:r w:rsidRPr="005758BA">
        <w:t>ANALISIS LEGAL</w:t>
      </w:r>
    </w:p>
    <w:p w:rsidR="005758BA" w:rsidRPr="005758BA" w:rsidRDefault="005758BA" w:rsidP="005758BA">
      <w:pPr>
        <w:spacing w:after="0"/>
        <w:ind w:left="720"/>
        <w:jc w:val="both"/>
        <w:rPr>
          <w:rFonts w:asciiTheme="majorHAnsi" w:hAnsiTheme="majorHAnsi"/>
          <w:b/>
          <w:sz w:val="20"/>
          <w:szCs w:val="20"/>
          <w:lang w:val="es-AR"/>
        </w:rPr>
      </w:pPr>
    </w:p>
    <w:p w:rsidR="00B17572" w:rsidRPr="005758BA" w:rsidRDefault="00B17572" w:rsidP="005758BA">
      <w:pPr>
        <w:pStyle w:val="ListParagraph"/>
        <w:numPr>
          <w:ilvl w:val="0"/>
          <w:numId w:val="8"/>
        </w:numPr>
        <w:spacing w:after="0"/>
        <w:jc w:val="both"/>
        <w:outlineLvl w:val="1"/>
        <w:rPr>
          <w:rFonts w:asciiTheme="majorHAnsi" w:hAnsiTheme="majorHAnsi"/>
          <w:b/>
          <w:sz w:val="20"/>
          <w:szCs w:val="20"/>
          <w:lang w:val="es-AR"/>
        </w:rPr>
      </w:pPr>
      <w:r w:rsidRPr="005758BA">
        <w:rPr>
          <w:rFonts w:asciiTheme="majorHAnsi" w:hAnsiTheme="majorHAnsi"/>
          <w:b/>
          <w:sz w:val="20"/>
          <w:szCs w:val="20"/>
          <w:lang w:val="es-AR"/>
        </w:rPr>
        <w:t>Competencia</w:t>
      </w:r>
    </w:p>
    <w:p w:rsidR="005758BA" w:rsidRPr="005758BA" w:rsidRDefault="005758BA" w:rsidP="005758BA">
      <w:pPr>
        <w:spacing w:after="0"/>
        <w:jc w:val="both"/>
        <w:rPr>
          <w:rFonts w:asciiTheme="majorHAnsi" w:hAnsiTheme="majorHAnsi"/>
          <w:b/>
          <w:sz w:val="20"/>
          <w:szCs w:val="20"/>
          <w:lang w:val="es-AR"/>
        </w:rPr>
      </w:pPr>
    </w:p>
    <w:p w:rsidR="00456443" w:rsidRDefault="004564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Los peticion</w:t>
      </w:r>
      <w:r w:rsidR="0014253F" w:rsidRPr="005758BA">
        <w:rPr>
          <w:rFonts w:asciiTheme="majorHAnsi" w:hAnsiTheme="majorHAnsi"/>
          <w:sz w:val="20"/>
          <w:szCs w:val="20"/>
          <w:lang w:val="es-AR"/>
        </w:rPr>
        <w:t xml:space="preserve">arios se encuentran facultados </w:t>
      </w:r>
      <w:r w:rsidRPr="005758BA">
        <w:rPr>
          <w:rFonts w:asciiTheme="majorHAnsi" w:hAnsiTheme="majorHAnsi"/>
          <w:sz w:val="20"/>
          <w:szCs w:val="20"/>
          <w:lang w:val="es-AR"/>
        </w:rPr>
        <w:t>por el artículo 44 de la Convención Americana para presentar peticiones ante la Comisión. La presunta víctima es un</w:t>
      </w:r>
      <w:r w:rsidR="008D5090" w:rsidRPr="005758BA">
        <w:rPr>
          <w:rFonts w:asciiTheme="majorHAnsi" w:hAnsiTheme="majorHAnsi"/>
          <w:sz w:val="20"/>
          <w:szCs w:val="20"/>
          <w:lang w:val="es-AR"/>
        </w:rPr>
        <w:t>a</w:t>
      </w:r>
      <w:r w:rsidRPr="005758BA">
        <w:rPr>
          <w:rFonts w:asciiTheme="majorHAnsi" w:hAnsiTheme="majorHAnsi"/>
          <w:sz w:val="20"/>
          <w:szCs w:val="20"/>
          <w:lang w:val="es-AR"/>
        </w:rPr>
        <w:t xml:space="preserve"> persona natural respecto de quien el Estado se comprometió a </w:t>
      </w:r>
      <w:r w:rsidR="008D5090" w:rsidRPr="005758BA">
        <w:rPr>
          <w:rFonts w:asciiTheme="majorHAnsi" w:hAnsiTheme="majorHAnsi"/>
          <w:sz w:val="20"/>
          <w:szCs w:val="20"/>
          <w:lang w:val="es-AR"/>
        </w:rPr>
        <w:t xml:space="preserve">respetar y </w:t>
      </w:r>
      <w:r w:rsidRPr="005758BA">
        <w:rPr>
          <w:rFonts w:asciiTheme="majorHAnsi" w:hAnsiTheme="majorHAnsi"/>
          <w:sz w:val="20"/>
          <w:szCs w:val="20"/>
          <w:lang w:val="es-AR"/>
        </w:rPr>
        <w:t>garantizar los derechos consagrados en l</w:t>
      </w:r>
      <w:r w:rsidR="00ED5EAC" w:rsidRPr="005758BA">
        <w:rPr>
          <w:rFonts w:asciiTheme="majorHAnsi" w:hAnsiTheme="majorHAnsi"/>
          <w:sz w:val="20"/>
          <w:szCs w:val="20"/>
          <w:lang w:val="es-AR"/>
        </w:rPr>
        <w:t>a Convención Americana,</w:t>
      </w:r>
      <w:r w:rsidRPr="005758BA">
        <w:rPr>
          <w:rFonts w:asciiTheme="majorHAnsi" w:hAnsiTheme="majorHAnsi"/>
          <w:sz w:val="20"/>
          <w:szCs w:val="20"/>
          <w:lang w:val="es-AR"/>
        </w:rPr>
        <w:t xml:space="preserve"> la Convención Interamericana sobre Desaparición Forzada de Personas</w:t>
      </w:r>
      <w:r w:rsidR="009D7F89" w:rsidRPr="005758BA">
        <w:rPr>
          <w:rFonts w:asciiTheme="majorHAnsi" w:hAnsiTheme="majorHAnsi"/>
          <w:sz w:val="20"/>
          <w:szCs w:val="20"/>
          <w:lang w:val="es-AR"/>
        </w:rPr>
        <w:t xml:space="preserve"> y la </w:t>
      </w:r>
      <w:r w:rsidR="009D7F89" w:rsidRPr="005758BA">
        <w:rPr>
          <w:rFonts w:asciiTheme="majorHAnsi" w:hAnsiTheme="majorHAnsi"/>
          <w:bCs/>
          <w:sz w:val="20"/>
          <w:szCs w:val="20"/>
          <w:lang w:val="es-AR"/>
        </w:rPr>
        <w:t>Convención Interamericana para Prevenir y Sancionar la Tortura.</w:t>
      </w:r>
      <w:r w:rsidRPr="005758BA">
        <w:rPr>
          <w:rFonts w:asciiTheme="majorHAnsi" w:hAnsiTheme="majorHAnsi"/>
          <w:sz w:val="20"/>
          <w:szCs w:val="20"/>
          <w:lang w:val="es-AR"/>
        </w:rPr>
        <w:t xml:space="preserve"> En lo concerniente al Estado, la Comisión señala que Colombia es un Estado parte de la Convención America</w:t>
      </w:r>
      <w:r w:rsidR="009D7F89" w:rsidRPr="005758BA">
        <w:rPr>
          <w:rFonts w:asciiTheme="majorHAnsi" w:hAnsiTheme="majorHAnsi"/>
          <w:sz w:val="20"/>
          <w:szCs w:val="20"/>
          <w:lang w:val="es-AR"/>
        </w:rPr>
        <w:t>na desde el 31 de julio de 1973,</w:t>
      </w:r>
      <w:r w:rsidRPr="005758BA">
        <w:rPr>
          <w:rFonts w:asciiTheme="majorHAnsi" w:hAnsiTheme="majorHAnsi"/>
          <w:sz w:val="20"/>
          <w:szCs w:val="20"/>
          <w:lang w:val="es-AR"/>
        </w:rPr>
        <w:t xml:space="preserve"> </w:t>
      </w:r>
      <w:r w:rsidR="009D7F89" w:rsidRPr="005758BA">
        <w:rPr>
          <w:rFonts w:asciiTheme="majorHAnsi" w:hAnsiTheme="majorHAnsi"/>
          <w:sz w:val="20"/>
          <w:szCs w:val="20"/>
          <w:lang w:val="es-AR"/>
        </w:rPr>
        <w:t xml:space="preserve">de la </w:t>
      </w:r>
      <w:r w:rsidR="009D7F89" w:rsidRPr="005758BA">
        <w:rPr>
          <w:rFonts w:asciiTheme="majorHAnsi" w:hAnsiTheme="majorHAnsi"/>
          <w:bCs/>
          <w:sz w:val="20"/>
          <w:szCs w:val="20"/>
          <w:lang w:val="es-AR"/>
        </w:rPr>
        <w:t xml:space="preserve">Convención Interamericana para Prevenir y Sancionar la Tortura </w:t>
      </w:r>
      <w:r w:rsidR="001F4EE9" w:rsidRPr="005758BA">
        <w:rPr>
          <w:rFonts w:asciiTheme="majorHAnsi" w:hAnsiTheme="majorHAnsi"/>
          <w:bCs/>
          <w:sz w:val="20"/>
          <w:szCs w:val="20"/>
          <w:lang w:val="es-AR"/>
        </w:rPr>
        <w:t xml:space="preserve">desde el 2 de </w:t>
      </w:r>
      <w:r w:rsidR="00B10483">
        <w:rPr>
          <w:rFonts w:asciiTheme="majorHAnsi" w:hAnsiTheme="majorHAnsi"/>
          <w:bCs/>
          <w:sz w:val="20"/>
          <w:szCs w:val="20"/>
          <w:lang w:val="es-AR"/>
        </w:rPr>
        <w:t>d</w:t>
      </w:r>
      <w:r w:rsidR="001F4EE9" w:rsidRPr="005758BA">
        <w:rPr>
          <w:rFonts w:asciiTheme="majorHAnsi" w:hAnsiTheme="majorHAnsi"/>
          <w:bCs/>
          <w:sz w:val="20"/>
          <w:szCs w:val="20"/>
          <w:lang w:val="es-AR"/>
        </w:rPr>
        <w:t>iciembre de 1998</w:t>
      </w:r>
      <w:r w:rsidR="006D336C" w:rsidRPr="005758BA">
        <w:rPr>
          <w:rFonts w:asciiTheme="majorHAnsi" w:hAnsiTheme="majorHAnsi"/>
          <w:bCs/>
          <w:sz w:val="20"/>
          <w:szCs w:val="20"/>
          <w:lang w:val="es-AR"/>
        </w:rPr>
        <w:t>,</w:t>
      </w:r>
      <w:r w:rsidRPr="005758BA">
        <w:rPr>
          <w:rFonts w:asciiTheme="majorHAnsi" w:hAnsiTheme="majorHAnsi"/>
          <w:sz w:val="20"/>
          <w:szCs w:val="20"/>
          <w:lang w:val="es-AR"/>
        </w:rPr>
        <w:t xml:space="preserve"> </w:t>
      </w:r>
      <w:r w:rsidR="001F4EE9" w:rsidRPr="005758BA">
        <w:rPr>
          <w:rFonts w:asciiTheme="majorHAnsi" w:hAnsiTheme="majorHAnsi"/>
          <w:sz w:val="20"/>
          <w:szCs w:val="20"/>
          <w:lang w:val="es-AR"/>
        </w:rPr>
        <w:t xml:space="preserve">y de la Convención Interamericana sobre Desaparición Forzada de Personas desde el 12 de abril de 2005, </w:t>
      </w:r>
      <w:r w:rsidRPr="005758BA">
        <w:rPr>
          <w:rFonts w:asciiTheme="majorHAnsi" w:hAnsiTheme="majorHAnsi"/>
          <w:sz w:val="20"/>
          <w:szCs w:val="20"/>
          <w:lang w:val="es-AR"/>
        </w:rPr>
        <w:t xml:space="preserve">fechas en </w:t>
      </w:r>
      <w:r w:rsidR="006D336C" w:rsidRPr="005758BA">
        <w:rPr>
          <w:rFonts w:asciiTheme="majorHAnsi" w:hAnsiTheme="majorHAnsi"/>
          <w:sz w:val="20"/>
          <w:szCs w:val="20"/>
          <w:lang w:val="es-AR"/>
        </w:rPr>
        <w:t xml:space="preserve">las </w:t>
      </w:r>
      <w:r w:rsidRPr="005758BA">
        <w:rPr>
          <w:rFonts w:asciiTheme="majorHAnsi" w:hAnsiTheme="majorHAnsi"/>
          <w:sz w:val="20"/>
          <w:szCs w:val="20"/>
          <w:lang w:val="es-AR"/>
        </w:rPr>
        <w:t xml:space="preserve">que depositó sus instrumentos de ratificación, respectivamente. Por lo tanto, la Comisión tiene competencia </w:t>
      </w:r>
      <w:r w:rsidRPr="005758BA">
        <w:rPr>
          <w:rFonts w:asciiTheme="majorHAnsi" w:hAnsiTheme="majorHAnsi"/>
          <w:i/>
          <w:sz w:val="20"/>
          <w:szCs w:val="20"/>
          <w:lang w:val="es-AR"/>
        </w:rPr>
        <w:t>ratione personae</w:t>
      </w:r>
      <w:r w:rsidRPr="005758BA">
        <w:rPr>
          <w:rFonts w:asciiTheme="majorHAnsi" w:hAnsiTheme="majorHAnsi"/>
          <w:sz w:val="20"/>
          <w:szCs w:val="20"/>
          <w:lang w:val="es-AR"/>
        </w:rPr>
        <w:t xml:space="preserve"> para examinar la petición.</w:t>
      </w:r>
    </w:p>
    <w:p w:rsidR="005758BA" w:rsidRPr="005758BA" w:rsidRDefault="005758BA" w:rsidP="005758BA">
      <w:pPr>
        <w:spacing w:after="0"/>
        <w:jc w:val="both"/>
        <w:rPr>
          <w:rFonts w:asciiTheme="majorHAnsi" w:hAnsiTheme="majorHAnsi"/>
          <w:sz w:val="20"/>
          <w:szCs w:val="20"/>
          <w:lang w:val="es-AR"/>
        </w:rPr>
      </w:pPr>
    </w:p>
    <w:p w:rsidR="00456443" w:rsidRDefault="004564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Asimismo, la Comisión tiene competencia </w:t>
      </w:r>
      <w:r w:rsidRPr="005758BA">
        <w:rPr>
          <w:rFonts w:asciiTheme="majorHAnsi" w:hAnsiTheme="majorHAnsi"/>
          <w:i/>
          <w:sz w:val="20"/>
          <w:szCs w:val="20"/>
          <w:lang w:val="es-AR"/>
        </w:rPr>
        <w:t>ratione temporis</w:t>
      </w:r>
      <w:r w:rsidRPr="005758BA">
        <w:rPr>
          <w:rFonts w:asciiTheme="majorHAnsi" w:hAnsiTheme="majorHAnsi"/>
          <w:sz w:val="20"/>
          <w:szCs w:val="20"/>
          <w:lang w:val="es-AR"/>
        </w:rPr>
        <w:t xml:space="preserve"> por cuanto la obligación de respetar y garantizar los derechos protegidos en la Convención Americana ya se encontraba en vigor para el Estado en la fecha en que habrían ocurrido los hechos alegados en la petición. </w:t>
      </w:r>
      <w:r w:rsidR="00B10483">
        <w:rPr>
          <w:rFonts w:asciiTheme="majorHAnsi" w:hAnsiTheme="majorHAnsi"/>
          <w:sz w:val="20"/>
          <w:szCs w:val="20"/>
          <w:lang w:val="es-AR"/>
        </w:rPr>
        <w:t>L</w:t>
      </w:r>
      <w:r w:rsidR="009D7F89" w:rsidRPr="005758BA">
        <w:rPr>
          <w:rFonts w:asciiTheme="majorHAnsi" w:hAnsiTheme="majorHAnsi"/>
          <w:sz w:val="20"/>
          <w:szCs w:val="20"/>
          <w:lang w:val="es-AR"/>
        </w:rPr>
        <w:t xml:space="preserve">a CIDH observa que </w:t>
      </w:r>
      <w:r w:rsidR="00C775A8" w:rsidRPr="005758BA">
        <w:rPr>
          <w:rFonts w:asciiTheme="majorHAnsi" w:hAnsiTheme="majorHAnsi"/>
          <w:sz w:val="20"/>
          <w:szCs w:val="20"/>
          <w:lang w:val="es-AR"/>
        </w:rPr>
        <w:t xml:space="preserve">la </w:t>
      </w:r>
      <w:r w:rsidR="00C775A8" w:rsidRPr="005758BA">
        <w:rPr>
          <w:rFonts w:asciiTheme="majorHAnsi" w:hAnsiTheme="majorHAnsi"/>
          <w:bCs/>
          <w:sz w:val="20"/>
          <w:szCs w:val="20"/>
          <w:lang w:val="es-AR"/>
        </w:rPr>
        <w:t>Convención Interamericana para Prevenir y Sancionar la Tortura</w:t>
      </w:r>
      <w:r w:rsidR="00945945" w:rsidRPr="005758BA">
        <w:rPr>
          <w:rFonts w:asciiTheme="majorHAnsi" w:hAnsiTheme="majorHAnsi"/>
          <w:bCs/>
          <w:sz w:val="20"/>
          <w:szCs w:val="20"/>
          <w:lang w:val="es-AR"/>
        </w:rPr>
        <w:t xml:space="preserve"> </w:t>
      </w:r>
      <w:r w:rsidR="00C775A8" w:rsidRPr="005758BA">
        <w:rPr>
          <w:rFonts w:asciiTheme="majorHAnsi" w:hAnsiTheme="majorHAnsi"/>
          <w:bCs/>
          <w:sz w:val="20"/>
          <w:szCs w:val="20"/>
          <w:lang w:val="es-AR"/>
        </w:rPr>
        <w:t xml:space="preserve">entró en </w:t>
      </w:r>
      <w:r w:rsidR="006D336C" w:rsidRPr="005758BA">
        <w:rPr>
          <w:rFonts w:asciiTheme="majorHAnsi" w:hAnsiTheme="majorHAnsi"/>
          <w:bCs/>
          <w:sz w:val="20"/>
          <w:szCs w:val="20"/>
          <w:lang w:val="es-AR"/>
        </w:rPr>
        <w:t>vigor</w:t>
      </w:r>
      <w:r w:rsidR="00C775A8" w:rsidRPr="005758BA">
        <w:rPr>
          <w:rFonts w:asciiTheme="majorHAnsi" w:hAnsiTheme="majorHAnsi"/>
          <w:bCs/>
          <w:sz w:val="20"/>
          <w:szCs w:val="20"/>
          <w:lang w:val="es-AR"/>
        </w:rPr>
        <w:t xml:space="preserve"> </w:t>
      </w:r>
      <w:r w:rsidR="001F4EE9" w:rsidRPr="005758BA">
        <w:rPr>
          <w:rFonts w:asciiTheme="majorHAnsi" w:hAnsiTheme="majorHAnsi"/>
          <w:bCs/>
          <w:sz w:val="20"/>
          <w:szCs w:val="20"/>
          <w:lang w:val="es-AR"/>
        </w:rPr>
        <w:t xml:space="preserve">para Colombia </w:t>
      </w:r>
      <w:r w:rsidR="00C775A8" w:rsidRPr="005758BA">
        <w:rPr>
          <w:rFonts w:asciiTheme="majorHAnsi" w:hAnsiTheme="majorHAnsi"/>
          <w:bCs/>
          <w:sz w:val="20"/>
          <w:szCs w:val="20"/>
          <w:lang w:val="es-AR"/>
        </w:rPr>
        <w:t xml:space="preserve">el </w:t>
      </w:r>
      <w:r w:rsidR="00C775A8" w:rsidRPr="005758BA">
        <w:rPr>
          <w:rFonts w:asciiTheme="majorHAnsi" w:hAnsiTheme="majorHAnsi"/>
          <w:sz w:val="20"/>
          <w:szCs w:val="20"/>
          <w:lang w:val="es-AR"/>
        </w:rPr>
        <w:t xml:space="preserve">2 de </w:t>
      </w:r>
      <w:r w:rsidR="00E2276E" w:rsidRPr="005758BA">
        <w:rPr>
          <w:rFonts w:asciiTheme="majorHAnsi" w:hAnsiTheme="majorHAnsi"/>
          <w:sz w:val="20"/>
          <w:szCs w:val="20"/>
          <w:lang w:val="es-AR"/>
        </w:rPr>
        <w:t>d</w:t>
      </w:r>
      <w:r w:rsidR="00C775A8" w:rsidRPr="005758BA">
        <w:rPr>
          <w:rFonts w:asciiTheme="majorHAnsi" w:hAnsiTheme="majorHAnsi"/>
          <w:sz w:val="20"/>
          <w:szCs w:val="20"/>
          <w:lang w:val="es-AR"/>
        </w:rPr>
        <w:t>iciembre de 1998</w:t>
      </w:r>
      <w:r w:rsidR="00B51396" w:rsidRPr="005758BA">
        <w:rPr>
          <w:rFonts w:asciiTheme="majorHAnsi" w:hAnsiTheme="majorHAnsi"/>
          <w:sz w:val="20"/>
          <w:szCs w:val="20"/>
          <w:lang w:val="es-AR"/>
        </w:rPr>
        <w:t xml:space="preserve"> y la </w:t>
      </w:r>
      <w:r w:rsidR="003029D0" w:rsidRPr="005758BA">
        <w:rPr>
          <w:rFonts w:asciiTheme="majorHAnsi" w:hAnsiTheme="majorHAnsi"/>
          <w:sz w:val="20"/>
          <w:szCs w:val="20"/>
          <w:lang w:val="es-AR"/>
        </w:rPr>
        <w:t>Convención Interamericana sobre D</w:t>
      </w:r>
      <w:r w:rsidR="001F4EE9" w:rsidRPr="005758BA">
        <w:rPr>
          <w:rFonts w:asciiTheme="majorHAnsi" w:hAnsiTheme="majorHAnsi"/>
          <w:sz w:val="20"/>
          <w:szCs w:val="20"/>
          <w:lang w:val="es-AR"/>
        </w:rPr>
        <w:t xml:space="preserve">esaparición Forzada de Personas, </w:t>
      </w:r>
      <w:r w:rsidRPr="005758BA">
        <w:rPr>
          <w:rFonts w:asciiTheme="majorHAnsi" w:hAnsiTheme="majorHAnsi"/>
          <w:sz w:val="20"/>
          <w:szCs w:val="20"/>
          <w:lang w:val="es-AR"/>
        </w:rPr>
        <w:t xml:space="preserve">el 1 de abril de 2005. Por lo tanto, la CIDH tiene competencia </w:t>
      </w:r>
      <w:r w:rsidRPr="005758BA">
        <w:rPr>
          <w:rFonts w:asciiTheme="majorHAnsi" w:hAnsiTheme="majorHAnsi"/>
          <w:i/>
          <w:sz w:val="20"/>
          <w:szCs w:val="20"/>
          <w:lang w:val="es-AR"/>
        </w:rPr>
        <w:t>ratione temporis</w:t>
      </w:r>
      <w:r w:rsidRPr="005758BA">
        <w:rPr>
          <w:rFonts w:asciiTheme="majorHAnsi" w:hAnsiTheme="majorHAnsi"/>
          <w:sz w:val="20"/>
          <w:szCs w:val="20"/>
          <w:lang w:val="es-AR"/>
        </w:rPr>
        <w:t xml:space="preserve"> </w:t>
      </w:r>
      <w:r w:rsidR="008B07DF" w:rsidRPr="005758BA">
        <w:rPr>
          <w:rFonts w:asciiTheme="majorHAnsi" w:hAnsiTheme="majorHAnsi"/>
          <w:sz w:val="20"/>
          <w:szCs w:val="20"/>
          <w:lang w:val="es-AR"/>
        </w:rPr>
        <w:t xml:space="preserve">para en análisis de los hechos de caso </w:t>
      </w:r>
      <w:r w:rsidR="00B51396" w:rsidRPr="005758BA">
        <w:rPr>
          <w:rFonts w:asciiTheme="majorHAnsi" w:hAnsiTheme="majorHAnsi"/>
          <w:sz w:val="20"/>
          <w:szCs w:val="20"/>
          <w:lang w:val="es-AR"/>
        </w:rPr>
        <w:t xml:space="preserve">con base en estos instrumentos legales </w:t>
      </w:r>
      <w:r w:rsidR="001F4EE9" w:rsidRPr="005758BA">
        <w:rPr>
          <w:rFonts w:asciiTheme="majorHAnsi" w:hAnsiTheme="majorHAnsi"/>
          <w:sz w:val="20"/>
          <w:szCs w:val="20"/>
          <w:lang w:val="es-AR"/>
        </w:rPr>
        <w:t xml:space="preserve">únicamente </w:t>
      </w:r>
      <w:r w:rsidR="008B07DF" w:rsidRPr="005758BA">
        <w:rPr>
          <w:rFonts w:asciiTheme="majorHAnsi" w:hAnsiTheme="majorHAnsi"/>
          <w:sz w:val="20"/>
          <w:szCs w:val="20"/>
          <w:lang w:val="es-AR"/>
        </w:rPr>
        <w:t>a partir</w:t>
      </w:r>
      <w:r w:rsidR="00945945" w:rsidRPr="005758BA">
        <w:rPr>
          <w:rFonts w:asciiTheme="majorHAnsi" w:hAnsiTheme="majorHAnsi"/>
          <w:sz w:val="20"/>
          <w:szCs w:val="20"/>
          <w:lang w:val="es-AR"/>
        </w:rPr>
        <w:t xml:space="preserve"> de </w:t>
      </w:r>
      <w:r w:rsidR="008B07DF" w:rsidRPr="005758BA">
        <w:rPr>
          <w:rFonts w:asciiTheme="majorHAnsi" w:hAnsiTheme="majorHAnsi"/>
          <w:sz w:val="20"/>
          <w:szCs w:val="20"/>
          <w:lang w:val="es-AR"/>
        </w:rPr>
        <w:t xml:space="preserve">sendas </w:t>
      </w:r>
      <w:r w:rsidR="00945945" w:rsidRPr="005758BA">
        <w:rPr>
          <w:rFonts w:asciiTheme="majorHAnsi" w:hAnsiTheme="majorHAnsi"/>
          <w:sz w:val="20"/>
          <w:szCs w:val="20"/>
          <w:lang w:val="es-AR"/>
        </w:rPr>
        <w:t>fechas.</w:t>
      </w:r>
    </w:p>
    <w:p w:rsidR="005758BA" w:rsidRPr="005758BA" w:rsidRDefault="005758BA" w:rsidP="005758BA">
      <w:pPr>
        <w:spacing w:after="0"/>
        <w:jc w:val="both"/>
        <w:rPr>
          <w:rFonts w:asciiTheme="majorHAnsi" w:hAnsiTheme="majorHAnsi"/>
          <w:sz w:val="20"/>
          <w:szCs w:val="20"/>
          <w:lang w:val="es-AR"/>
        </w:rPr>
      </w:pPr>
    </w:p>
    <w:p w:rsidR="00C775A8" w:rsidRDefault="004564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La Comisión tiene competencia </w:t>
      </w:r>
      <w:r w:rsidRPr="005758BA">
        <w:rPr>
          <w:rFonts w:asciiTheme="majorHAnsi" w:hAnsiTheme="majorHAnsi"/>
          <w:i/>
          <w:sz w:val="20"/>
          <w:szCs w:val="20"/>
          <w:lang w:val="es-AR"/>
        </w:rPr>
        <w:t>ratione loci</w:t>
      </w:r>
      <w:r w:rsidRPr="005758BA">
        <w:rPr>
          <w:rFonts w:asciiTheme="majorHAnsi" w:hAnsiTheme="majorHAnsi"/>
          <w:sz w:val="20"/>
          <w:szCs w:val="20"/>
          <w:lang w:val="es-AR"/>
        </w:rPr>
        <w:t xml:space="preserve"> para conocer la petición por cuanto en ella se alegan violaciones de derechos protegidos en la Convención Americana que habría</w:t>
      </w:r>
      <w:r w:rsidR="008B07DF" w:rsidRPr="005758BA">
        <w:rPr>
          <w:rFonts w:asciiTheme="majorHAnsi" w:hAnsiTheme="majorHAnsi"/>
          <w:sz w:val="20"/>
          <w:szCs w:val="20"/>
          <w:lang w:val="es-AR"/>
        </w:rPr>
        <w:t>n</w:t>
      </w:r>
      <w:r w:rsidRPr="005758BA">
        <w:rPr>
          <w:rFonts w:asciiTheme="majorHAnsi" w:hAnsiTheme="majorHAnsi"/>
          <w:sz w:val="20"/>
          <w:szCs w:val="20"/>
          <w:lang w:val="es-AR"/>
        </w:rPr>
        <w:t xml:space="preserve"> tenido lugar </w:t>
      </w:r>
      <w:r w:rsidR="008B07DF" w:rsidRPr="005758BA">
        <w:rPr>
          <w:rFonts w:asciiTheme="majorHAnsi" w:hAnsiTheme="majorHAnsi"/>
          <w:sz w:val="20"/>
          <w:szCs w:val="20"/>
          <w:lang w:val="es-AR"/>
        </w:rPr>
        <w:t xml:space="preserve">bajo la jurisdicción </w:t>
      </w:r>
      <w:r w:rsidRPr="005758BA">
        <w:rPr>
          <w:rFonts w:asciiTheme="majorHAnsi" w:hAnsiTheme="majorHAnsi"/>
          <w:sz w:val="20"/>
          <w:szCs w:val="20"/>
          <w:lang w:val="es-AR"/>
        </w:rPr>
        <w:t>de</w:t>
      </w:r>
      <w:r w:rsidR="008B07DF" w:rsidRPr="005758BA">
        <w:rPr>
          <w:rFonts w:asciiTheme="majorHAnsi" w:hAnsiTheme="majorHAnsi"/>
          <w:sz w:val="20"/>
          <w:szCs w:val="20"/>
          <w:lang w:val="es-AR"/>
        </w:rPr>
        <w:t>l Estado de</w:t>
      </w:r>
      <w:r w:rsidRPr="005758BA">
        <w:rPr>
          <w:rFonts w:asciiTheme="majorHAnsi" w:hAnsiTheme="majorHAnsi"/>
          <w:sz w:val="20"/>
          <w:szCs w:val="20"/>
          <w:lang w:val="es-AR"/>
        </w:rPr>
        <w:t xml:space="preserve"> Colombia, Estado Parte en dicho tratado. </w:t>
      </w:r>
    </w:p>
    <w:p w:rsidR="005758BA" w:rsidRPr="005758BA" w:rsidRDefault="005758BA" w:rsidP="005758BA">
      <w:pPr>
        <w:spacing w:after="0"/>
        <w:jc w:val="both"/>
        <w:rPr>
          <w:rFonts w:asciiTheme="majorHAnsi" w:hAnsiTheme="majorHAnsi"/>
          <w:sz w:val="20"/>
          <w:szCs w:val="20"/>
          <w:lang w:val="es-AR"/>
        </w:rPr>
      </w:pPr>
    </w:p>
    <w:p w:rsidR="00456443" w:rsidRPr="005758BA" w:rsidRDefault="00456443"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Finalmente, la Comisión tiene competencia </w:t>
      </w:r>
      <w:r w:rsidRPr="005758BA">
        <w:rPr>
          <w:rFonts w:asciiTheme="majorHAnsi" w:hAnsiTheme="majorHAnsi"/>
          <w:i/>
          <w:sz w:val="20"/>
          <w:szCs w:val="20"/>
          <w:lang w:val="es-AR"/>
        </w:rPr>
        <w:t>ratione materiae</w:t>
      </w:r>
      <w:r w:rsidRPr="005758BA">
        <w:rPr>
          <w:rFonts w:asciiTheme="majorHAnsi" w:hAnsiTheme="majorHAnsi"/>
          <w:sz w:val="20"/>
          <w:szCs w:val="20"/>
          <w:lang w:val="es-AR"/>
        </w:rPr>
        <w:t>, porque en la petición se denuncian posibles violaciones a derechos humanos protegidos por la Convención Americana y</w:t>
      </w:r>
      <w:r w:rsidR="00FF7C78" w:rsidRPr="005758BA">
        <w:rPr>
          <w:rFonts w:asciiTheme="majorHAnsi" w:hAnsiTheme="majorHAnsi"/>
          <w:sz w:val="20"/>
          <w:szCs w:val="20"/>
          <w:lang w:val="es-AR"/>
        </w:rPr>
        <w:t xml:space="preserve"> —con las limitaciones temporales establecida</w:t>
      </w:r>
      <w:r w:rsidR="008B07DF" w:rsidRPr="005758BA">
        <w:rPr>
          <w:rFonts w:asciiTheme="majorHAnsi" w:hAnsiTheme="majorHAnsi"/>
          <w:sz w:val="20"/>
          <w:szCs w:val="20"/>
          <w:lang w:val="es-AR"/>
        </w:rPr>
        <w:t xml:space="preserve">s </w:t>
      </w:r>
      <w:r w:rsidR="00FF7C78" w:rsidRPr="005758BA">
        <w:rPr>
          <w:rFonts w:asciiTheme="majorHAnsi" w:hAnsiTheme="majorHAnsi"/>
          <w:sz w:val="20"/>
          <w:szCs w:val="20"/>
          <w:lang w:val="es-AR"/>
        </w:rPr>
        <w:t>en este apartado—</w:t>
      </w:r>
      <w:r w:rsidRPr="005758BA">
        <w:rPr>
          <w:rFonts w:asciiTheme="majorHAnsi" w:hAnsiTheme="majorHAnsi"/>
          <w:sz w:val="20"/>
          <w:szCs w:val="20"/>
          <w:lang w:val="es-AR"/>
        </w:rPr>
        <w:t xml:space="preserve"> </w:t>
      </w:r>
      <w:r w:rsidR="00FF7C78" w:rsidRPr="005758BA">
        <w:rPr>
          <w:rFonts w:asciiTheme="majorHAnsi" w:hAnsiTheme="majorHAnsi"/>
          <w:sz w:val="20"/>
          <w:szCs w:val="20"/>
          <w:lang w:val="es-AR"/>
        </w:rPr>
        <w:t xml:space="preserve">en la </w:t>
      </w:r>
      <w:r w:rsidRPr="005758BA">
        <w:rPr>
          <w:rFonts w:asciiTheme="majorHAnsi" w:hAnsiTheme="majorHAnsi"/>
          <w:sz w:val="20"/>
          <w:szCs w:val="20"/>
          <w:lang w:val="es-AR"/>
        </w:rPr>
        <w:t>Convención Interamericana sobre Desaparición Forzada de Personas</w:t>
      </w:r>
      <w:r w:rsidR="00806A99" w:rsidRPr="005758BA">
        <w:rPr>
          <w:rFonts w:asciiTheme="majorHAnsi" w:hAnsiTheme="majorHAnsi"/>
          <w:sz w:val="20"/>
          <w:szCs w:val="20"/>
          <w:lang w:val="es-AR"/>
        </w:rPr>
        <w:t xml:space="preserve"> y la </w:t>
      </w:r>
      <w:r w:rsidR="00806A99" w:rsidRPr="005758BA">
        <w:rPr>
          <w:rFonts w:asciiTheme="majorHAnsi" w:hAnsiTheme="majorHAnsi"/>
          <w:bCs/>
          <w:sz w:val="20"/>
          <w:szCs w:val="20"/>
          <w:lang w:val="es-AR"/>
        </w:rPr>
        <w:t>Convención Interamericana para Prevenir y Sancionar la Tortura.</w:t>
      </w:r>
    </w:p>
    <w:p w:rsidR="005758BA" w:rsidRPr="005758BA" w:rsidRDefault="005758BA" w:rsidP="005758BA">
      <w:pPr>
        <w:spacing w:after="0"/>
        <w:jc w:val="both"/>
        <w:rPr>
          <w:rFonts w:asciiTheme="majorHAnsi" w:hAnsiTheme="majorHAnsi"/>
          <w:sz w:val="20"/>
          <w:szCs w:val="20"/>
          <w:lang w:val="es-AR"/>
        </w:rPr>
      </w:pPr>
    </w:p>
    <w:p w:rsidR="006C11B0" w:rsidRPr="005758BA" w:rsidRDefault="006C11B0" w:rsidP="005758BA">
      <w:pPr>
        <w:pStyle w:val="ListParagraph"/>
        <w:numPr>
          <w:ilvl w:val="0"/>
          <w:numId w:val="8"/>
        </w:numPr>
        <w:spacing w:after="0"/>
        <w:jc w:val="both"/>
        <w:outlineLvl w:val="1"/>
        <w:rPr>
          <w:rFonts w:asciiTheme="majorHAnsi" w:hAnsiTheme="majorHAnsi"/>
          <w:b/>
          <w:sz w:val="20"/>
          <w:szCs w:val="20"/>
          <w:lang w:val="es-AR"/>
        </w:rPr>
      </w:pPr>
      <w:r w:rsidRPr="005758BA">
        <w:rPr>
          <w:rFonts w:asciiTheme="majorHAnsi" w:hAnsiTheme="majorHAnsi"/>
          <w:b/>
          <w:sz w:val="20"/>
          <w:szCs w:val="20"/>
          <w:lang w:val="es-AR"/>
        </w:rPr>
        <w:t xml:space="preserve">Requisitos de Admisibilidad </w:t>
      </w:r>
    </w:p>
    <w:p w:rsidR="005758BA" w:rsidRPr="005758BA" w:rsidRDefault="005758BA" w:rsidP="005758BA">
      <w:pPr>
        <w:spacing w:after="0"/>
        <w:jc w:val="both"/>
        <w:rPr>
          <w:rFonts w:asciiTheme="majorHAnsi" w:hAnsiTheme="majorHAnsi"/>
          <w:b/>
          <w:sz w:val="20"/>
          <w:szCs w:val="20"/>
          <w:lang w:val="es-AR"/>
        </w:rPr>
      </w:pPr>
    </w:p>
    <w:p w:rsidR="00456443" w:rsidRPr="005758BA" w:rsidRDefault="006C11B0" w:rsidP="005758BA">
      <w:pPr>
        <w:pStyle w:val="ListParagraph"/>
        <w:numPr>
          <w:ilvl w:val="0"/>
          <w:numId w:val="9"/>
        </w:numPr>
        <w:spacing w:after="0"/>
        <w:jc w:val="both"/>
        <w:outlineLvl w:val="2"/>
        <w:rPr>
          <w:rFonts w:asciiTheme="majorHAnsi" w:hAnsiTheme="majorHAnsi"/>
          <w:b/>
          <w:sz w:val="20"/>
          <w:szCs w:val="20"/>
          <w:lang w:val="es-AR"/>
        </w:rPr>
      </w:pPr>
      <w:r w:rsidRPr="005758BA">
        <w:rPr>
          <w:rFonts w:asciiTheme="majorHAnsi" w:hAnsiTheme="majorHAnsi"/>
          <w:b/>
          <w:sz w:val="20"/>
          <w:szCs w:val="20"/>
          <w:lang w:val="es-AR"/>
        </w:rPr>
        <w:t>Agotamiento de los recursos internos</w:t>
      </w:r>
    </w:p>
    <w:p w:rsidR="005758BA" w:rsidRPr="005758BA" w:rsidRDefault="005758BA" w:rsidP="005758BA">
      <w:pPr>
        <w:spacing w:after="0"/>
        <w:jc w:val="both"/>
        <w:rPr>
          <w:rFonts w:asciiTheme="majorHAnsi" w:hAnsiTheme="majorHAnsi"/>
          <w:b/>
          <w:sz w:val="20"/>
          <w:szCs w:val="20"/>
          <w:lang w:val="es-AR"/>
        </w:rPr>
      </w:pPr>
    </w:p>
    <w:p w:rsidR="006C11B0" w:rsidRDefault="006C11B0"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El artículo 46.1.a de la Convención dispone que</w:t>
      </w:r>
      <w:r w:rsidR="005C7977" w:rsidRPr="005758BA">
        <w:rPr>
          <w:rFonts w:asciiTheme="majorHAnsi" w:hAnsiTheme="majorHAnsi"/>
          <w:sz w:val="20"/>
          <w:szCs w:val="20"/>
          <w:lang w:val="es-AR"/>
        </w:rPr>
        <w:t>,</w:t>
      </w:r>
      <w:r w:rsidRPr="005758BA">
        <w:rPr>
          <w:rFonts w:asciiTheme="majorHAnsi" w:hAnsiTheme="majorHAnsi"/>
          <w:sz w:val="20"/>
          <w:szCs w:val="20"/>
          <w:lang w:val="es-AR"/>
        </w:rPr>
        <w:t xml:space="preserve"> para determinar la admisibilidad de una petición o comunicación presentada ante la CIDH, es necesario que se hayan interpuesto y agotado los recursos internos, según los principios del derecho internacional generalmente reconocidos. </w:t>
      </w:r>
    </w:p>
    <w:p w:rsidR="005758BA" w:rsidRPr="005758BA" w:rsidRDefault="005758BA" w:rsidP="005758BA">
      <w:pPr>
        <w:spacing w:after="0"/>
        <w:jc w:val="both"/>
        <w:rPr>
          <w:rFonts w:asciiTheme="majorHAnsi" w:hAnsiTheme="majorHAnsi"/>
          <w:sz w:val="20"/>
          <w:szCs w:val="20"/>
          <w:lang w:val="es-AR"/>
        </w:rPr>
      </w:pPr>
    </w:p>
    <w:p w:rsidR="006D336C" w:rsidRPr="005758BA" w:rsidRDefault="00EC4B58"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De manera preliminar</w:t>
      </w:r>
      <w:r w:rsidRPr="005758BA">
        <w:rPr>
          <w:rFonts w:asciiTheme="majorHAnsi" w:hAnsiTheme="majorHAnsi" w:cs="Calibri"/>
          <w:sz w:val="20"/>
          <w:szCs w:val="20"/>
          <w:lang w:val="es-ES"/>
        </w:rPr>
        <w:t xml:space="preserve">, corresponde en primer término aclarar cuáles son los recursos </w:t>
      </w:r>
      <w:r w:rsidR="005C7977" w:rsidRPr="005758BA">
        <w:rPr>
          <w:rFonts w:asciiTheme="majorHAnsi" w:hAnsiTheme="majorHAnsi" w:cs="Calibri"/>
          <w:sz w:val="20"/>
          <w:szCs w:val="20"/>
          <w:lang w:val="es-ES"/>
        </w:rPr>
        <w:t>internos que deben ser agotados</w:t>
      </w:r>
      <w:r w:rsidRPr="005758BA">
        <w:rPr>
          <w:rFonts w:asciiTheme="majorHAnsi" w:hAnsiTheme="majorHAnsi" w:cs="Calibri"/>
          <w:sz w:val="20"/>
          <w:szCs w:val="20"/>
          <w:lang w:val="es-ES"/>
        </w:rPr>
        <w:t>.</w:t>
      </w:r>
      <w:r w:rsidR="00AB7CC9" w:rsidRPr="005758BA">
        <w:rPr>
          <w:rFonts w:asciiTheme="majorHAnsi" w:hAnsiTheme="majorHAnsi" w:cs="Calibri"/>
          <w:sz w:val="20"/>
          <w:szCs w:val="20"/>
          <w:lang w:val="es-ES"/>
        </w:rPr>
        <w:t xml:space="preserve"> </w:t>
      </w:r>
      <w:r w:rsidRPr="005758BA">
        <w:rPr>
          <w:rFonts w:asciiTheme="majorHAnsi" w:hAnsiTheme="majorHAnsi" w:cs="Calibri"/>
          <w:sz w:val="20"/>
          <w:szCs w:val="20"/>
          <w:lang w:val="es-ES"/>
        </w:rPr>
        <w:t>La Comisión observa que el objeto de la presente petición se refiere a la presunta desaparición forzada, tortura y asesinato de Juan Fernando Porras Martínez</w:t>
      </w:r>
      <w:r w:rsidR="008D5090" w:rsidRPr="005758BA">
        <w:rPr>
          <w:rFonts w:asciiTheme="majorHAnsi" w:hAnsiTheme="majorHAnsi" w:cs="Calibri"/>
          <w:sz w:val="20"/>
          <w:szCs w:val="20"/>
          <w:lang w:val="es-ES"/>
        </w:rPr>
        <w:t xml:space="preserve">, así como </w:t>
      </w:r>
      <w:r w:rsidRPr="005758BA">
        <w:rPr>
          <w:rFonts w:asciiTheme="majorHAnsi" w:hAnsiTheme="majorHAnsi" w:cs="Calibri"/>
          <w:sz w:val="20"/>
          <w:szCs w:val="20"/>
          <w:lang w:val="es-ES"/>
        </w:rPr>
        <w:t xml:space="preserve">a la </w:t>
      </w:r>
      <w:r w:rsidR="005C7977" w:rsidRPr="005758BA">
        <w:rPr>
          <w:rFonts w:asciiTheme="majorHAnsi" w:hAnsiTheme="majorHAnsi" w:cs="Calibri"/>
          <w:sz w:val="20"/>
          <w:szCs w:val="20"/>
          <w:lang w:val="es-ES"/>
        </w:rPr>
        <w:t>investigación</w:t>
      </w:r>
      <w:r w:rsidRPr="005758BA">
        <w:rPr>
          <w:rFonts w:asciiTheme="majorHAnsi" w:hAnsiTheme="majorHAnsi" w:cs="Calibri"/>
          <w:sz w:val="20"/>
          <w:szCs w:val="20"/>
          <w:lang w:val="es-ES"/>
        </w:rPr>
        <w:t xml:space="preserve"> de dichos </w:t>
      </w:r>
      <w:r w:rsidR="00B10483">
        <w:rPr>
          <w:rFonts w:asciiTheme="majorHAnsi" w:hAnsiTheme="majorHAnsi" w:cs="Calibri"/>
          <w:sz w:val="20"/>
          <w:szCs w:val="20"/>
          <w:lang w:val="es-ES"/>
        </w:rPr>
        <w:t>alegatos</w:t>
      </w:r>
      <w:r w:rsidRPr="005758BA">
        <w:rPr>
          <w:rFonts w:asciiTheme="majorHAnsi" w:hAnsiTheme="majorHAnsi" w:cs="Calibri"/>
          <w:sz w:val="20"/>
          <w:szCs w:val="20"/>
          <w:lang w:val="es-ES"/>
        </w:rPr>
        <w:t>.</w:t>
      </w:r>
      <w:r w:rsidR="00AB7CC9" w:rsidRPr="005758BA">
        <w:rPr>
          <w:rFonts w:asciiTheme="majorHAnsi" w:hAnsiTheme="majorHAnsi" w:cs="Calibri"/>
          <w:sz w:val="20"/>
          <w:szCs w:val="20"/>
          <w:lang w:val="es-ES"/>
        </w:rPr>
        <w:t xml:space="preserve"> </w:t>
      </w:r>
      <w:r w:rsidRPr="005758BA">
        <w:rPr>
          <w:rFonts w:asciiTheme="majorHAnsi" w:hAnsiTheme="majorHAnsi" w:cs="Calibri"/>
          <w:sz w:val="20"/>
          <w:szCs w:val="20"/>
          <w:lang w:val="es-ES"/>
        </w:rPr>
        <w:t>Los precedentes establecidos por la Comisión señalan que</w:t>
      </w:r>
      <w:r w:rsidR="00CA6649" w:rsidRPr="005758BA">
        <w:rPr>
          <w:rFonts w:asciiTheme="majorHAnsi" w:hAnsiTheme="majorHAnsi" w:cs="Calibri"/>
          <w:sz w:val="20"/>
          <w:szCs w:val="20"/>
          <w:lang w:val="es-ES"/>
        </w:rPr>
        <w:t>,</w:t>
      </w:r>
      <w:r w:rsidRPr="005758BA">
        <w:rPr>
          <w:rFonts w:asciiTheme="majorHAnsi" w:hAnsiTheme="majorHAnsi" w:cs="Calibri"/>
          <w:sz w:val="20"/>
          <w:szCs w:val="20"/>
          <w:lang w:val="es-ES"/>
        </w:rPr>
        <w:t xml:space="preserve"> toda vez que se cometa un presunto delito perseguible de oficio, el Estado tiene la obligación de promover e i</w:t>
      </w:r>
      <w:r w:rsidR="008D5090" w:rsidRPr="005758BA">
        <w:rPr>
          <w:rFonts w:asciiTheme="majorHAnsi" w:hAnsiTheme="majorHAnsi" w:cs="Calibri"/>
          <w:sz w:val="20"/>
          <w:szCs w:val="20"/>
          <w:lang w:val="es-ES"/>
        </w:rPr>
        <w:t xml:space="preserve">mpulsar el proceso penal y que </w:t>
      </w:r>
      <w:r w:rsidRPr="005758BA">
        <w:rPr>
          <w:rFonts w:asciiTheme="majorHAnsi" w:hAnsiTheme="majorHAnsi" w:cs="Calibri"/>
          <w:sz w:val="20"/>
          <w:szCs w:val="20"/>
          <w:lang w:val="es-ES"/>
        </w:rPr>
        <w:t>éste constituye la vía idónea para esclarecer los hechos, juzgar a los responsables y establecer las sanciones penales correspondientes, además de posibilitar otros modos de reparación de tipo pecuniario</w:t>
      </w:r>
      <w:r w:rsidRPr="005758BA">
        <w:rPr>
          <w:rStyle w:val="FootnoteReference"/>
          <w:rFonts w:asciiTheme="majorHAnsi" w:hAnsiTheme="majorHAnsi" w:cs="Calibri"/>
          <w:sz w:val="20"/>
          <w:szCs w:val="20"/>
          <w:lang w:val="es-ES"/>
        </w:rPr>
        <w:footnoteReference w:id="2"/>
      </w:r>
      <w:r w:rsidRPr="005758BA">
        <w:rPr>
          <w:rFonts w:asciiTheme="majorHAnsi" w:hAnsiTheme="majorHAnsi" w:cs="Calibri"/>
          <w:sz w:val="20"/>
          <w:szCs w:val="20"/>
          <w:lang w:val="es-ES"/>
        </w:rPr>
        <w:t xml:space="preserve">. </w:t>
      </w:r>
      <w:r w:rsidR="006D336C" w:rsidRPr="005758BA">
        <w:rPr>
          <w:rFonts w:asciiTheme="majorHAnsi" w:hAnsiTheme="majorHAnsi" w:cs="Calibri"/>
          <w:sz w:val="20"/>
          <w:szCs w:val="20"/>
          <w:lang w:val="es-ES"/>
        </w:rPr>
        <w:t>Por lo tanto, y e</w:t>
      </w:r>
      <w:r w:rsidRPr="005758BA">
        <w:rPr>
          <w:rFonts w:asciiTheme="majorHAnsi" w:hAnsiTheme="majorHAnsi"/>
          <w:color w:val="000000"/>
          <w:sz w:val="20"/>
          <w:szCs w:val="20"/>
          <w:lang w:val="es-ES"/>
        </w:rPr>
        <w:t xml:space="preserve">n vista de que los hechos alegados por los peticionarios constituyen delitos perseguibles de oficio, </w:t>
      </w:r>
      <w:r w:rsidR="005F22A8" w:rsidRPr="005758BA">
        <w:rPr>
          <w:rFonts w:asciiTheme="majorHAnsi" w:hAnsiTheme="majorHAnsi"/>
          <w:color w:val="000000"/>
          <w:sz w:val="20"/>
          <w:szCs w:val="20"/>
          <w:lang w:val="es-ES"/>
        </w:rPr>
        <w:t>el proceso interno que debe ser agotado en el presente caso es la investigación en sede penal, la cual debe ser asumida e impulsada por el Estado mismo.</w:t>
      </w:r>
      <w:r w:rsidR="001F6D52" w:rsidRPr="005758BA">
        <w:rPr>
          <w:rFonts w:asciiTheme="majorHAnsi" w:hAnsiTheme="majorHAnsi"/>
          <w:color w:val="000000"/>
          <w:sz w:val="20"/>
          <w:szCs w:val="20"/>
          <w:lang w:val="es-ES"/>
        </w:rPr>
        <w:t xml:space="preserve"> </w:t>
      </w:r>
    </w:p>
    <w:p w:rsidR="005758BA" w:rsidRPr="005758BA" w:rsidRDefault="005758BA" w:rsidP="005758BA">
      <w:pPr>
        <w:spacing w:after="0"/>
        <w:jc w:val="both"/>
        <w:rPr>
          <w:rFonts w:asciiTheme="majorHAnsi" w:hAnsiTheme="majorHAnsi"/>
          <w:sz w:val="20"/>
          <w:szCs w:val="20"/>
          <w:lang w:val="es-AR"/>
        </w:rPr>
      </w:pPr>
    </w:p>
    <w:p w:rsidR="001F6D52" w:rsidRDefault="001F6D52"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La </w:t>
      </w:r>
      <w:r w:rsidR="00DA56DE" w:rsidRPr="005758BA">
        <w:rPr>
          <w:rFonts w:asciiTheme="majorHAnsi" w:hAnsiTheme="majorHAnsi"/>
          <w:sz w:val="20"/>
          <w:szCs w:val="20"/>
          <w:lang w:val="es-AR"/>
        </w:rPr>
        <w:t>Comisión</w:t>
      </w:r>
      <w:r w:rsidRPr="005758BA">
        <w:rPr>
          <w:rFonts w:asciiTheme="majorHAnsi" w:hAnsiTheme="majorHAnsi"/>
          <w:sz w:val="20"/>
          <w:szCs w:val="20"/>
          <w:lang w:val="es-AR"/>
        </w:rPr>
        <w:t xml:space="preserve"> nota que, a lo largo de la tramitación del caso, el Estado ofreció múltiples argumentos relacionados con el requisito del previo agotamiento de los recursos internos, lo cuales pasan a detallarse a continuación. </w:t>
      </w:r>
    </w:p>
    <w:p w:rsidR="005758BA" w:rsidRPr="005758BA" w:rsidRDefault="005758BA" w:rsidP="005758BA">
      <w:pPr>
        <w:spacing w:after="0"/>
        <w:jc w:val="both"/>
        <w:rPr>
          <w:rFonts w:asciiTheme="majorHAnsi" w:hAnsiTheme="majorHAnsi"/>
          <w:sz w:val="20"/>
          <w:szCs w:val="20"/>
          <w:lang w:val="es-AR"/>
        </w:rPr>
      </w:pPr>
    </w:p>
    <w:p w:rsidR="005F0841" w:rsidRDefault="00DA56DE"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En primer lugar, e</w:t>
      </w:r>
      <w:r w:rsidR="00CD3035" w:rsidRPr="005758BA">
        <w:rPr>
          <w:rFonts w:asciiTheme="majorHAnsi" w:hAnsiTheme="majorHAnsi"/>
          <w:sz w:val="20"/>
          <w:szCs w:val="20"/>
          <w:lang w:val="es-AR"/>
        </w:rPr>
        <w:t xml:space="preserve">l Estado especificó que, al momento en que las autoridades </w:t>
      </w:r>
      <w:r w:rsidR="001F5805" w:rsidRPr="005758BA">
        <w:rPr>
          <w:rFonts w:asciiTheme="majorHAnsi" w:hAnsiTheme="majorHAnsi"/>
          <w:sz w:val="20"/>
          <w:szCs w:val="20"/>
          <w:lang w:val="es-AR"/>
        </w:rPr>
        <w:t xml:space="preserve">tomaron conocimiento </w:t>
      </w:r>
      <w:r w:rsidR="00CD3035" w:rsidRPr="005758BA">
        <w:rPr>
          <w:rFonts w:asciiTheme="majorHAnsi" w:hAnsiTheme="majorHAnsi"/>
          <w:sz w:val="20"/>
          <w:szCs w:val="20"/>
          <w:lang w:val="es-AR"/>
        </w:rPr>
        <w:t xml:space="preserve">de lo </w:t>
      </w:r>
      <w:r w:rsidR="00B10483">
        <w:rPr>
          <w:rFonts w:asciiTheme="majorHAnsi" w:hAnsiTheme="majorHAnsi"/>
          <w:sz w:val="20"/>
          <w:szCs w:val="20"/>
          <w:lang w:val="es-AR"/>
        </w:rPr>
        <w:t xml:space="preserve">presuntamente </w:t>
      </w:r>
      <w:r w:rsidR="00CD3035" w:rsidRPr="005758BA">
        <w:rPr>
          <w:rFonts w:asciiTheme="majorHAnsi" w:hAnsiTheme="majorHAnsi"/>
          <w:sz w:val="20"/>
          <w:szCs w:val="20"/>
          <w:lang w:val="es-AR"/>
        </w:rPr>
        <w:t>acaecido a Juan Fernando Porras Martínez</w:t>
      </w:r>
      <w:r w:rsidR="00F518F1" w:rsidRPr="005758BA">
        <w:rPr>
          <w:rFonts w:asciiTheme="majorHAnsi" w:hAnsiTheme="majorHAnsi"/>
          <w:sz w:val="20"/>
          <w:szCs w:val="20"/>
          <w:lang w:val="es-AR"/>
        </w:rPr>
        <w:t xml:space="preserve"> </w:t>
      </w:r>
      <w:r w:rsidRPr="005758BA">
        <w:rPr>
          <w:rFonts w:asciiTheme="majorHAnsi" w:hAnsiTheme="majorHAnsi"/>
          <w:sz w:val="20"/>
          <w:szCs w:val="20"/>
          <w:lang w:val="es-AR"/>
        </w:rPr>
        <w:t>—</w:t>
      </w:r>
      <w:r w:rsidR="001F5805" w:rsidRPr="005758BA">
        <w:rPr>
          <w:rFonts w:asciiTheme="majorHAnsi" w:hAnsiTheme="majorHAnsi"/>
          <w:sz w:val="20"/>
          <w:szCs w:val="20"/>
          <w:lang w:val="es-AR"/>
        </w:rPr>
        <w:t xml:space="preserve">15 </w:t>
      </w:r>
      <w:r w:rsidR="00F518F1" w:rsidRPr="005758BA">
        <w:rPr>
          <w:rFonts w:asciiTheme="majorHAnsi" w:hAnsiTheme="majorHAnsi"/>
          <w:sz w:val="20"/>
          <w:szCs w:val="20"/>
          <w:lang w:val="es-AR"/>
        </w:rPr>
        <w:t>días después de ocurridos los hechos</w:t>
      </w:r>
      <w:r w:rsidRPr="005758BA">
        <w:rPr>
          <w:rFonts w:asciiTheme="majorHAnsi" w:hAnsiTheme="majorHAnsi"/>
          <w:sz w:val="20"/>
          <w:szCs w:val="20"/>
          <w:lang w:val="es-AR"/>
        </w:rPr>
        <w:t>—</w:t>
      </w:r>
      <w:r w:rsidR="00F518F1" w:rsidRPr="005758BA">
        <w:rPr>
          <w:rFonts w:asciiTheme="majorHAnsi" w:hAnsiTheme="majorHAnsi"/>
          <w:sz w:val="20"/>
          <w:szCs w:val="20"/>
          <w:lang w:val="es-AR"/>
        </w:rPr>
        <w:t xml:space="preserve"> instauraron “de forma inmediata” la denuncia por desaparición. </w:t>
      </w:r>
      <w:r w:rsidRPr="005758BA">
        <w:rPr>
          <w:rFonts w:asciiTheme="majorHAnsi" w:hAnsiTheme="majorHAnsi"/>
          <w:sz w:val="20"/>
          <w:szCs w:val="20"/>
          <w:lang w:val="es-AR"/>
        </w:rPr>
        <w:t>E</w:t>
      </w:r>
      <w:r w:rsidR="00F518F1" w:rsidRPr="005758BA">
        <w:rPr>
          <w:rFonts w:asciiTheme="majorHAnsi" w:hAnsiTheme="majorHAnsi"/>
          <w:sz w:val="20"/>
          <w:szCs w:val="20"/>
          <w:lang w:val="es-AR"/>
        </w:rPr>
        <w:t xml:space="preserve">n el trámite de dicha denuncia, los investigadores </w:t>
      </w:r>
      <w:r w:rsidR="0005708D" w:rsidRPr="005758BA">
        <w:rPr>
          <w:rFonts w:asciiTheme="majorHAnsi" w:hAnsiTheme="majorHAnsi"/>
          <w:sz w:val="20"/>
          <w:szCs w:val="20"/>
          <w:lang w:val="es-AR"/>
        </w:rPr>
        <w:t xml:space="preserve">habrían </w:t>
      </w:r>
      <w:r w:rsidRPr="005758BA">
        <w:rPr>
          <w:rFonts w:asciiTheme="majorHAnsi" w:hAnsiTheme="majorHAnsi"/>
          <w:sz w:val="20"/>
          <w:szCs w:val="20"/>
          <w:lang w:val="es-AR"/>
        </w:rPr>
        <w:t>llevado a cabo determinadas averiguaciones y medidas de prueba</w:t>
      </w:r>
      <w:r w:rsidR="001F5805" w:rsidRPr="005758BA">
        <w:rPr>
          <w:rFonts w:asciiTheme="majorHAnsi" w:hAnsiTheme="majorHAnsi"/>
          <w:sz w:val="20"/>
          <w:szCs w:val="20"/>
          <w:lang w:val="es-AR"/>
        </w:rPr>
        <w:t>,</w:t>
      </w:r>
      <w:r w:rsidR="00527515" w:rsidRPr="005758BA">
        <w:rPr>
          <w:rFonts w:asciiTheme="majorHAnsi" w:hAnsiTheme="majorHAnsi"/>
          <w:sz w:val="20"/>
          <w:szCs w:val="20"/>
          <w:lang w:val="es-AR"/>
        </w:rPr>
        <w:t xml:space="preserve"> pero </w:t>
      </w:r>
      <w:r w:rsidR="0005708D" w:rsidRPr="005758BA">
        <w:rPr>
          <w:rFonts w:asciiTheme="majorHAnsi" w:hAnsiTheme="majorHAnsi"/>
          <w:sz w:val="20"/>
          <w:szCs w:val="20"/>
          <w:lang w:val="es-AR"/>
        </w:rPr>
        <w:t xml:space="preserve">habrían siempre </w:t>
      </w:r>
      <w:r w:rsidR="00F518F1" w:rsidRPr="005758BA">
        <w:rPr>
          <w:rFonts w:asciiTheme="majorHAnsi" w:hAnsiTheme="majorHAnsi"/>
          <w:sz w:val="20"/>
          <w:szCs w:val="20"/>
          <w:lang w:val="es-AR"/>
        </w:rPr>
        <w:t xml:space="preserve">obtenido resultados negativos. Asimismo, </w:t>
      </w:r>
      <w:r w:rsidR="0072305D" w:rsidRPr="005758BA">
        <w:rPr>
          <w:rFonts w:asciiTheme="majorHAnsi" w:hAnsiTheme="majorHAnsi"/>
          <w:sz w:val="20"/>
          <w:szCs w:val="20"/>
          <w:lang w:val="es-AR"/>
        </w:rPr>
        <w:t xml:space="preserve">el Estado afirmó que </w:t>
      </w:r>
      <w:r w:rsidR="00F518F1" w:rsidRPr="005758BA">
        <w:rPr>
          <w:rFonts w:asciiTheme="majorHAnsi" w:hAnsiTheme="majorHAnsi"/>
          <w:sz w:val="20"/>
          <w:szCs w:val="20"/>
          <w:lang w:val="es-AR"/>
        </w:rPr>
        <w:t>se habrían practicado exámenes y pruebas técnicas a un cadáver encontrado en el departamento de Santander,</w:t>
      </w:r>
      <w:r w:rsidR="005C7977" w:rsidRPr="005758BA">
        <w:rPr>
          <w:rFonts w:asciiTheme="majorHAnsi" w:hAnsiTheme="majorHAnsi"/>
          <w:sz w:val="20"/>
          <w:szCs w:val="20"/>
          <w:lang w:val="es-AR"/>
        </w:rPr>
        <w:t xml:space="preserve"> </w:t>
      </w:r>
      <w:r w:rsidR="0072305D" w:rsidRPr="005758BA">
        <w:rPr>
          <w:rFonts w:asciiTheme="majorHAnsi" w:hAnsiTheme="majorHAnsi"/>
          <w:sz w:val="20"/>
          <w:szCs w:val="20"/>
          <w:lang w:val="es-AR"/>
        </w:rPr>
        <w:t>pero se habría hallado que dicho cuerpo</w:t>
      </w:r>
      <w:r w:rsidR="00F518F1" w:rsidRPr="005758BA">
        <w:rPr>
          <w:rFonts w:asciiTheme="majorHAnsi" w:hAnsiTheme="majorHAnsi"/>
          <w:sz w:val="20"/>
          <w:szCs w:val="20"/>
          <w:lang w:val="es-AR"/>
        </w:rPr>
        <w:t xml:space="preserve"> no correspondía a</w:t>
      </w:r>
      <w:r w:rsidR="001B2DC1" w:rsidRPr="005758BA">
        <w:rPr>
          <w:rFonts w:asciiTheme="majorHAnsi" w:hAnsiTheme="majorHAnsi"/>
          <w:sz w:val="20"/>
          <w:szCs w:val="20"/>
          <w:lang w:val="es-AR"/>
        </w:rPr>
        <w:t>l de</w:t>
      </w:r>
      <w:r w:rsidR="00F518F1" w:rsidRPr="005758BA">
        <w:rPr>
          <w:rFonts w:asciiTheme="majorHAnsi" w:hAnsiTheme="majorHAnsi"/>
          <w:sz w:val="20"/>
          <w:szCs w:val="20"/>
          <w:lang w:val="es-AR"/>
        </w:rPr>
        <w:t xml:space="preserve"> la presunta víctima.</w:t>
      </w:r>
      <w:r w:rsidR="00441877" w:rsidRPr="005758BA">
        <w:rPr>
          <w:rFonts w:asciiTheme="majorHAnsi" w:hAnsiTheme="majorHAnsi"/>
          <w:sz w:val="20"/>
          <w:szCs w:val="20"/>
          <w:lang w:val="es-AR"/>
        </w:rPr>
        <w:t xml:space="preserve"> </w:t>
      </w:r>
      <w:r w:rsidR="0072305D" w:rsidRPr="005758BA">
        <w:rPr>
          <w:rFonts w:asciiTheme="majorHAnsi" w:hAnsiTheme="majorHAnsi"/>
          <w:sz w:val="20"/>
          <w:szCs w:val="20"/>
          <w:lang w:val="es-AR"/>
        </w:rPr>
        <w:t>Concluye el Estado que, t</w:t>
      </w:r>
      <w:r w:rsidR="00441877" w:rsidRPr="005758BA">
        <w:rPr>
          <w:rFonts w:asciiTheme="majorHAnsi" w:hAnsiTheme="majorHAnsi"/>
          <w:sz w:val="20"/>
          <w:szCs w:val="20"/>
          <w:lang w:val="es-AR"/>
        </w:rPr>
        <w:t>eniendo como soporte probatorio todo lo anterior</w:t>
      </w:r>
      <w:r w:rsidR="0072305D" w:rsidRPr="005758BA">
        <w:rPr>
          <w:rFonts w:asciiTheme="majorHAnsi" w:hAnsiTheme="majorHAnsi"/>
          <w:sz w:val="20"/>
          <w:szCs w:val="20"/>
          <w:lang w:val="es-AR"/>
        </w:rPr>
        <w:t>,</w:t>
      </w:r>
      <w:r w:rsidR="00441877" w:rsidRPr="005758BA">
        <w:rPr>
          <w:rFonts w:asciiTheme="majorHAnsi" w:hAnsiTheme="majorHAnsi"/>
          <w:sz w:val="20"/>
          <w:szCs w:val="20"/>
          <w:lang w:val="es-AR"/>
        </w:rPr>
        <w:t xml:space="preserve"> y con base en las normas de derecho interno vigentes en aquel entonces, el 27 de marzo de 1992, el Juzgado </w:t>
      </w:r>
      <w:r w:rsidR="00180243" w:rsidRPr="005758BA">
        <w:rPr>
          <w:rFonts w:asciiTheme="majorHAnsi" w:hAnsiTheme="majorHAnsi"/>
          <w:sz w:val="20"/>
          <w:szCs w:val="20"/>
          <w:lang w:val="es-AR"/>
        </w:rPr>
        <w:t>Quinto</w:t>
      </w:r>
      <w:r w:rsidR="00441877" w:rsidRPr="005758BA">
        <w:rPr>
          <w:rFonts w:asciiTheme="majorHAnsi" w:hAnsiTheme="majorHAnsi"/>
          <w:sz w:val="20"/>
          <w:szCs w:val="20"/>
          <w:lang w:val="es-AR"/>
        </w:rPr>
        <w:t xml:space="preserve"> de Instrucción Criminal de Bucaramanga resolvió inhibirse de continuar con el tratamiento de la investigación preliminar y ordenar el archivo de la actuación. </w:t>
      </w:r>
    </w:p>
    <w:p w:rsidR="005758BA" w:rsidRPr="005758BA" w:rsidRDefault="005758BA" w:rsidP="005758BA">
      <w:pPr>
        <w:spacing w:after="0"/>
        <w:jc w:val="both"/>
        <w:rPr>
          <w:rFonts w:asciiTheme="majorHAnsi" w:hAnsiTheme="majorHAnsi"/>
          <w:sz w:val="20"/>
          <w:szCs w:val="20"/>
          <w:lang w:val="es-AR"/>
        </w:rPr>
      </w:pPr>
    </w:p>
    <w:p w:rsidR="00864378" w:rsidRDefault="00E135F9"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Según inform</w:t>
      </w:r>
      <w:r w:rsidR="006C2740" w:rsidRPr="005758BA">
        <w:rPr>
          <w:rFonts w:asciiTheme="majorHAnsi" w:hAnsiTheme="majorHAnsi"/>
          <w:sz w:val="20"/>
          <w:szCs w:val="20"/>
          <w:lang w:val="es-AR"/>
        </w:rPr>
        <w:t>ó</w:t>
      </w:r>
      <w:r w:rsidRPr="005758BA">
        <w:rPr>
          <w:rFonts w:asciiTheme="majorHAnsi" w:hAnsiTheme="majorHAnsi"/>
          <w:sz w:val="20"/>
          <w:szCs w:val="20"/>
          <w:lang w:val="es-AR"/>
        </w:rPr>
        <w:t xml:space="preserve"> el Estado, </w:t>
      </w:r>
      <w:r w:rsidR="00441877" w:rsidRPr="005758BA">
        <w:rPr>
          <w:rFonts w:asciiTheme="majorHAnsi" w:hAnsiTheme="majorHAnsi"/>
          <w:sz w:val="20"/>
          <w:szCs w:val="20"/>
          <w:lang w:val="es-AR"/>
        </w:rPr>
        <w:t>tal decisión procesal “es una decisión que tiene fuerza de cosa juzgada, sin</w:t>
      </w:r>
      <w:r w:rsidR="006D336C" w:rsidRPr="005758BA">
        <w:rPr>
          <w:rFonts w:asciiTheme="majorHAnsi" w:hAnsiTheme="majorHAnsi"/>
          <w:sz w:val="20"/>
          <w:szCs w:val="20"/>
          <w:lang w:val="es-AR"/>
        </w:rPr>
        <w:t xml:space="preserve"> hacer tránsito a cosa juzgada” (sic),</w:t>
      </w:r>
      <w:r w:rsidR="00441877" w:rsidRPr="005758BA">
        <w:rPr>
          <w:rFonts w:asciiTheme="majorHAnsi" w:hAnsiTheme="majorHAnsi"/>
          <w:sz w:val="20"/>
          <w:szCs w:val="20"/>
          <w:lang w:val="es-AR"/>
        </w:rPr>
        <w:t xml:space="preserve"> razón por la cual la resolución le </w:t>
      </w:r>
      <w:r w:rsidRPr="005758BA">
        <w:rPr>
          <w:rFonts w:asciiTheme="majorHAnsi" w:hAnsiTheme="majorHAnsi"/>
          <w:sz w:val="20"/>
          <w:szCs w:val="20"/>
          <w:lang w:val="es-AR"/>
        </w:rPr>
        <w:t>po</w:t>
      </w:r>
      <w:r w:rsidR="00180243" w:rsidRPr="005758BA">
        <w:rPr>
          <w:rFonts w:asciiTheme="majorHAnsi" w:hAnsiTheme="majorHAnsi"/>
          <w:sz w:val="20"/>
          <w:szCs w:val="20"/>
          <w:lang w:val="es-AR"/>
        </w:rPr>
        <w:t>n</w:t>
      </w:r>
      <w:r w:rsidRPr="005758BA">
        <w:rPr>
          <w:rFonts w:asciiTheme="majorHAnsi" w:hAnsiTheme="majorHAnsi"/>
          <w:sz w:val="20"/>
          <w:szCs w:val="20"/>
          <w:lang w:val="es-AR"/>
        </w:rPr>
        <w:t xml:space="preserve">dría </w:t>
      </w:r>
      <w:r w:rsidR="00441877" w:rsidRPr="005758BA">
        <w:rPr>
          <w:rFonts w:asciiTheme="majorHAnsi" w:hAnsiTheme="majorHAnsi"/>
          <w:sz w:val="20"/>
          <w:szCs w:val="20"/>
          <w:lang w:val="es-AR"/>
        </w:rPr>
        <w:t>fin a la indagación “de manera temporal”</w:t>
      </w:r>
      <w:r w:rsidR="002C227E" w:rsidRPr="005758BA">
        <w:rPr>
          <w:rFonts w:asciiTheme="majorHAnsi" w:hAnsiTheme="majorHAnsi"/>
          <w:sz w:val="20"/>
          <w:szCs w:val="20"/>
          <w:lang w:val="es-AR"/>
        </w:rPr>
        <w:t xml:space="preserve">. Ello, por cuanto </w:t>
      </w:r>
      <w:r w:rsidR="00180243" w:rsidRPr="005758BA">
        <w:rPr>
          <w:rFonts w:asciiTheme="majorHAnsi" w:hAnsiTheme="majorHAnsi"/>
          <w:sz w:val="20"/>
          <w:szCs w:val="20"/>
          <w:lang w:val="es-AR"/>
        </w:rPr>
        <w:t>é</w:t>
      </w:r>
      <w:r w:rsidR="00680B26" w:rsidRPr="005758BA">
        <w:rPr>
          <w:rFonts w:asciiTheme="majorHAnsi" w:hAnsiTheme="majorHAnsi"/>
          <w:sz w:val="20"/>
          <w:szCs w:val="20"/>
          <w:lang w:val="es-AR"/>
        </w:rPr>
        <w:t>sta podría ser revocada de oficio</w:t>
      </w:r>
      <w:r w:rsidR="00FC43D1" w:rsidRPr="005758BA">
        <w:rPr>
          <w:rFonts w:asciiTheme="majorHAnsi" w:hAnsiTheme="majorHAnsi"/>
          <w:sz w:val="20"/>
          <w:szCs w:val="20"/>
          <w:lang w:val="es-AR"/>
        </w:rPr>
        <w:t>,</w:t>
      </w:r>
      <w:r w:rsidR="00680B26" w:rsidRPr="005758BA">
        <w:rPr>
          <w:rFonts w:asciiTheme="majorHAnsi" w:hAnsiTheme="majorHAnsi"/>
          <w:sz w:val="20"/>
          <w:szCs w:val="20"/>
          <w:lang w:val="es-AR"/>
        </w:rPr>
        <w:t xml:space="preserve"> o a petición del denunciante o querellante, aunque se encuentre ejecutoriada, siempre que aparezcan nuevas pruebas que desvirtúen los </w:t>
      </w:r>
      <w:r w:rsidR="00680B26" w:rsidRPr="005758BA">
        <w:rPr>
          <w:rFonts w:asciiTheme="majorHAnsi" w:hAnsiTheme="majorHAnsi"/>
          <w:sz w:val="20"/>
          <w:szCs w:val="20"/>
          <w:lang w:val="es-AR"/>
        </w:rPr>
        <w:lastRenderedPageBreak/>
        <w:t>fundamentos que sirvieron de base para proferirla.</w:t>
      </w:r>
      <w:r w:rsidRPr="005758BA">
        <w:rPr>
          <w:rFonts w:asciiTheme="majorHAnsi" w:hAnsiTheme="majorHAnsi"/>
          <w:sz w:val="20"/>
          <w:szCs w:val="20"/>
          <w:lang w:val="es-AR"/>
        </w:rPr>
        <w:t xml:space="preserve"> </w:t>
      </w:r>
      <w:r w:rsidR="005F0841" w:rsidRPr="005758BA">
        <w:rPr>
          <w:rFonts w:asciiTheme="majorHAnsi" w:hAnsiTheme="majorHAnsi"/>
          <w:sz w:val="20"/>
          <w:szCs w:val="20"/>
          <w:lang w:val="es-AR"/>
        </w:rPr>
        <w:t xml:space="preserve">En </w:t>
      </w:r>
      <w:r w:rsidR="00FC43D1" w:rsidRPr="005758BA">
        <w:rPr>
          <w:rFonts w:asciiTheme="majorHAnsi" w:hAnsiTheme="majorHAnsi"/>
          <w:sz w:val="20"/>
          <w:szCs w:val="20"/>
          <w:lang w:val="es-AR"/>
        </w:rPr>
        <w:t>esta misma línea</w:t>
      </w:r>
      <w:r w:rsidR="005F0841" w:rsidRPr="005758BA">
        <w:rPr>
          <w:rFonts w:asciiTheme="majorHAnsi" w:hAnsiTheme="majorHAnsi"/>
          <w:sz w:val="20"/>
          <w:szCs w:val="20"/>
          <w:lang w:val="es-AR"/>
        </w:rPr>
        <w:t>, el Estado informó que el día 15 de marzo de 2007, la Fiscalía consideró “no existían los supuestos legales (nueva prueba) que justificaran la reapertura de la investigación”</w:t>
      </w:r>
      <w:r w:rsidR="005F0841" w:rsidRPr="005758BA">
        <w:rPr>
          <w:rStyle w:val="FootnoteReference"/>
          <w:rFonts w:asciiTheme="majorHAnsi" w:hAnsiTheme="majorHAnsi"/>
          <w:sz w:val="20"/>
          <w:szCs w:val="20"/>
          <w:lang w:val="es-AR"/>
        </w:rPr>
        <w:footnoteReference w:id="3"/>
      </w:r>
      <w:r w:rsidR="005F0841" w:rsidRPr="005758BA">
        <w:rPr>
          <w:rFonts w:asciiTheme="majorHAnsi" w:hAnsiTheme="majorHAnsi"/>
          <w:sz w:val="20"/>
          <w:szCs w:val="20"/>
          <w:lang w:val="es-AR"/>
        </w:rPr>
        <w:t>.</w:t>
      </w:r>
      <w:r w:rsidR="00CE63E3" w:rsidRPr="005758BA">
        <w:rPr>
          <w:rFonts w:asciiTheme="majorHAnsi" w:hAnsiTheme="majorHAnsi"/>
          <w:sz w:val="20"/>
          <w:szCs w:val="20"/>
          <w:lang w:val="es-AR"/>
        </w:rPr>
        <w:t xml:space="preserve"> Con base en ello, </w:t>
      </w:r>
      <w:r w:rsidR="00D86F3C" w:rsidRPr="005758BA">
        <w:rPr>
          <w:rFonts w:asciiTheme="majorHAnsi" w:hAnsiTheme="majorHAnsi"/>
          <w:sz w:val="20"/>
          <w:szCs w:val="20"/>
          <w:lang w:val="es-AR"/>
        </w:rPr>
        <w:t>en sus observaciones remitidas el 10 de junio de 2009,</w:t>
      </w:r>
      <w:r w:rsidR="00CE63E3" w:rsidRPr="005758BA">
        <w:rPr>
          <w:rFonts w:asciiTheme="majorHAnsi" w:hAnsiTheme="majorHAnsi"/>
          <w:sz w:val="20"/>
          <w:szCs w:val="20"/>
          <w:lang w:val="es-AR"/>
        </w:rPr>
        <w:t xml:space="preserve"> el Estado</w:t>
      </w:r>
      <w:r w:rsidR="00D86F3C" w:rsidRPr="005758BA">
        <w:rPr>
          <w:rFonts w:asciiTheme="majorHAnsi" w:hAnsiTheme="majorHAnsi"/>
          <w:sz w:val="20"/>
          <w:szCs w:val="20"/>
          <w:lang w:val="es-AR"/>
        </w:rPr>
        <w:t xml:space="preserve"> </w:t>
      </w:r>
      <w:r w:rsidR="005F0841" w:rsidRPr="005758BA">
        <w:rPr>
          <w:rFonts w:asciiTheme="majorHAnsi" w:hAnsiTheme="majorHAnsi"/>
          <w:sz w:val="20"/>
          <w:szCs w:val="20"/>
          <w:lang w:val="es-AR"/>
        </w:rPr>
        <w:t>solicitó a la CIDH</w:t>
      </w:r>
      <w:r w:rsidR="004A6ADE" w:rsidRPr="005758BA">
        <w:rPr>
          <w:rFonts w:asciiTheme="majorHAnsi" w:hAnsiTheme="majorHAnsi"/>
          <w:sz w:val="20"/>
          <w:szCs w:val="20"/>
          <w:lang w:val="es-AR"/>
        </w:rPr>
        <w:t>:</w:t>
      </w:r>
      <w:r w:rsidR="00864378" w:rsidRPr="005758BA">
        <w:rPr>
          <w:rFonts w:asciiTheme="majorHAnsi" w:hAnsiTheme="majorHAnsi"/>
          <w:sz w:val="20"/>
          <w:szCs w:val="20"/>
          <w:lang w:val="es-AR"/>
        </w:rPr>
        <w:t xml:space="preserve"> </w:t>
      </w:r>
    </w:p>
    <w:p w:rsidR="005758BA" w:rsidRPr="005758BA" w:rsidRDefault="005758BA" w:rsidP="005758BA">
      <w:pPr>
        <w:spacing w:after="0"/>
        <w:ind w:left="720"/>
        <w:jc w:val="both"/>
        <w:rPr>
          <w:rFonts w:asciiTheme="majorHAnsi" w:hAnsiTheme="majorHAnsi"/>
          <w:sz w:val="20"/>
          <w:szCs w:val="20"/>
          <w:lang w:val="es-AR"/>
        </w:rPr>
      </w:pPr>
    </w:p>
    <w:p w:rsidR="00864378" w:rsidRPr="00DA75F6" w:rsidRDefault="00864378" w:rsidP="005758BA">
      <w:pPr>
        <w:tabs>
          <w:tab w:val="left" w:pos="8640"/>
        </w:tabs>
        <w:spacing w:after="0"/>
        <w:ind w:left="720" w:right="720"/>
        <w:jc w:val="both"/>
        <w:rPr>
          <w:rFonts w:asciiTheme="majorHAnsi" w:hAnsiTheme="majorHAnsi"/>
          <w:sz w:val="18"/>
          <w:szCs w:val="20"/>
          <w:lang w:val="es-AR"/>
        </w:rPr>
      </w:pPr>
      <w:r w:rsidRPr="00DA75F6">
        <w:rPr>
          <w:rFonts w:asciiTheme="majorHAnsi" w:hAnsiTheme="majorHAnsi"/>
          <w:sz w:val="18"/>
          <w:szCs w:val="20"/>
          <w:lang w:val="es-AR"/>
        </w:rPr>
        <w:t>Que en virtud del artículo 46.1.a de la CADH, declare que mientras la resolución inhibitoria del Juzgado Quinto de Instrucción Criminal del 27 de marzo de 1992 no sea revocada por un órgano competente, se considerarán agotados los recursos internos en lo que concierne a los hechos acaecidos al señor Juan Fernando Porras el día 5 de febrero de 1990</w:t>
      </w:r>
      <w:r w:rsidRPr="00DA75F6">
        <w:rPr>
          <w:rStyle w:val="FootnoteReference"/>
          <w:rFonts w:asciiTheme="majorHAnsi" w:hAnsiTheme="majorHAnsi"/>
          <w:sz w:val="18"/>
          <w:szCs w:val="20"/>
          <w:lang w:val="es-AR"/>
        </w:rPr>
        <w:footnoteReference w:id="4"/>
      </w:r>
      <w:r w:rsidRPr="00DA75F6">
        <w:rPr>
          <w:rFonts w:asciiTheme="majorHAnsi" w:hAnsiTheme="majorHAnsi"/>
          <w:sz w:val="18"/>
          <w:szCs w:val="20"/>
          <w:lang w:val="es-AR"/>
        </w:rPr>
        <w:t>.</w:t>
      </w:r>
    </w:p>
    <w:p w:rsidR="005758BA" w:rsidRPr="005758BA" w:rsidRDefault="005758BA" w:rsidP="005758BA">
      <w:pPr>
        <w:tabs>
          <w:tab w:val="left" w:pos="8640"/>
        </w:tabs>
        <w:spacing w:after="0"/>
        <w:ind w:left="720" w:right="720"/>
        <w:jc w:val="both"/>
        <w:rPr>
          <w:rFonts w:asciiTheme="majorHAnsi" w:hAnsiTheme="majorHAnsi"/>
          <w:sz w:val="20"/>
          <w:szCs w:val="20"/>
          <w:lang w:val="es-AR"/>
        </w:rPr>
      </w:pPr>
    </w:p>
    <w:p w:rsidR="00761251" w:rsidRDefault="003751C9"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En sus observaciones remitidas el 7 de mayo de 2014</w:t>
      </w:r>
      <w:r w:rsidRPr="005758BA">
        <w:rPr>
          <w:rStyle w:val="FootnoteReference"/>
          <w:rFonts w:asciiTheme="majorHAnsi" w:hAnsiTheme="majorHAnsi"/>
          <w:sz w:val="20"/>
          <w:szCs w:val="20"/>
          <w:lang w:val="es-AR"/>
        </w:rPr>
        <w:footnoteReference w:id="5"/>
      </w:r>
      <w:r w:rsidRPr="005758BA">
        <w:rPr>
          <w:rFonts w:asciiTheme="majorHAnsi" w:hAnsiTheme="majorHAnsi"/>
          <w:sz w:val="20"/>
          <w:szCs w:val="20"/>
          <w:lang w:val="es-AR"/>
        </w:rPr>
        <w:t>, el Estado ratificó lo argumentado</w:t>
      </w:r>
      <w:r w:rsidR="00BD07BC" w:rsidRPr="005758BA">
        <w:rPr>
          <w:rFonts w:asciiTheme="majorHAnsi" w:hAnsiTheme="majorHAnsi"/>
          <w:sz w:val="20"/>
          <w:szCs w:val="20"/>
          <w:lang w:val="es-AR"/>
        </w:rPr>
        <w:t xml:space="preserve">, afirmando que en las partes pertinentes de las observaciones </w:t>
      </w:r>
      <w:r w:rsidR="00FC43D1" w:rsidRPr="005758BA">
        <w:rPr>
          <w:rFonts w:asciiTheme="majorHAnsi" w:hAnsiTheme="majorHAnsi"/>
          <w:sz w:val="20"/>
          <w:szCs w:val="20"/>
          <w:lang w:val="es-AR"/>
        </w:rPr>
        <w:t xml:space="preserve">adicionales </w:t>
      </w:r>
      <w:r w:rsidR="00BD07BC" w:rsidRPr="005758BA">
        <w:rPr>
          <w:rFonts w:asciiTheme="majorHAnsi" w:hAnsiTheme="majorHAnsi"/>
          <w:sz w:val="20"/>
          <w:szCs w:val="20"/>
          <w:lang w:val="es-AR"/>
        </w:rPr>
        <w:t>remitidas por los</w:t>
      </w:r>
      <w:r w:rsidRPr="005758BA">
        <w:rPr>
          <w:rFonts w:asciiTheme="majorHAnsi" w:hAnsiTheme="majorHAnsi"/>
          <w:sz w:val="20"/>
          <w:szCs w:val="20"/>
          <w:lang w:val="es-AR"/>
        </w:rPr>
        <w:t xml:space="preserve"> </w:t>
      </w:r>
      <w:r w:rsidR="00BD07BC" w:rsidRPr="005758BA">
        <w:rPr>
          <w:rFonts w:asciiTheme="majorHAnsi" w:hAnsiTheme="majorHAnsi"/>
          <w:sz w:val="20"/>
          <w:szCs w:val="20"/>
          <w:lang w:val="es-AR"/>
        </w:rPr>
        <w:t xml:space="preserve">peticionarios no se encontraba información que controvirtiera los argumentos jurídicos </w:t>
      </w:r>
      <w:r w:rsidR="00C11831" w:rsidRPr="005758BA">
        <w:rPr>
          <w:rFonts w:asciiTheme="majorHAnsi" w:hAnsiTheme="majorHAnsi"/>
          <w:sz w:val="20"/>
          <w:szCs w:val="20"/>
          <w:lang w:val="es-AR"/>
        </w:rPr>
        <w:t>esbozados en su presentación anterior</w:t>
      </w:r>
      <w:r w:rsidR="00C11831" w:rsidRPr="005758BA">
        <w:rPr>
          <w:rStyle w:val="FootnoteReference"/>
          <w:rFonts w:asciiTheme="majorHAnsi" w:hAnsiTheme="majorHAnsi"/>
          <w:sz w:val="20"/>
          <w:szCs w:val="20"/>
          <w:lang w:val="es-AR"/>
        </w:rPr>
        <w:footnoteReference w:id="6"/>
      </w:r>
      <w:r w:rsidR="00BD07BC" w:rsidRPr="005758BA">
        <w:rPr>
          <w:rFonts w:asciiTheme="majorHAnsi" w:hAnsiTheme="majorHAnsi"/>
          <w:sz w:val="20"/>
          <w:szCs w:val="20"/>
          <w:lang w:val="es-AR"/>
        </w:rPr>
        <w:t>.</w:t>
      </w:r>
      <w:r w:rsidR="00C11831" w:rsidRPr="005758BA">
        <w:rPr>
          <w:rFonts w:asciiTheme="majorHAnsi" w:hAnsiTheme="majorHAnsi"/>
          <w:sz w:val="20"/>
          <w:szCs w:val="20"/>
          <w:lang w:val="es-AR"/>
        </w:rPr>
        <w:t xml:space="preserve"> </w:t>
      </w:r>
    </w:p>
    <w:p w:rsidR="005758BA" w:rsidRPr="005758BA" w:rsidRDefault="005758BA" w:rsidP="005758BA">
      <w:pPr>
        <w:spacing w:after="0"/>
        <w:jc w:val="both"/>
        <w:rPr>
          <w:rFonts w:asciiTheme="majorHAnsi" w:hAnsiTheme="majorHAnsi"/>
          <w:sz w:val="20"/>
          <w:szCs w:val="20"/>
          <w:lang w:val="es-AR"/>
        </w:rPr>
      </w:pPr>
    </w:p>
    <w:p w:rsidR="005F22A8" w:rsidRDefault="006C2740"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Sin embargo, </w:t>
      </w:r>
      <w:r w:rsidR="00C11831" w:rsidRPr="005758BA">
        <w:rPr>
          <w:rFonts w:asciiTheme="majorHAnsi" w:hAnsiTheme="majorHAnsi"/>
          <w:sz w:val="20"/>
          <w:szCs w:val="20"/>
          <w:lang w:val="es-AR"/>
        </w:rPr>
        <w:t xml:space="preserve">en las observaciones remitidas a la CIDH el </w:t>
      </w:r>
      <w:r w:rsidR="000E5A63" w:rsidRPr="005758BA">
        <w:rPr>
          <w:rFonts w:asciiTheme="majorHAnsi" w:hAnsiTheme="majorHAnsi"/>
          <w:sz w:val="20"/>
          <w:szCs w:val="20"/>
          <w:lang w:val="es-AR"/>
        </w:rPr>
        <w:t xml:space="preserve">24 de abril de 2015, </w:t>
      </w:r>
      <w:r w:rsidR="00CE63E3" w:rsidRPr="005758BA">
        <w:rPr>
          <w:rFonts w:asciiTheme="majorHAnsi" w:hAnsiTheme="majorHAnsi"/>
          <w:sz w:val="20"/>
          <w:szCs w:val="20"/>
          <w:lang w:val="es-AR"/>
        </w:rPr>
        <w:t>el Estado modificó su postura</w:t>
      </w:r>
      <w:r w:rsidR="000E5A63" w:rsidRPr="005758BA">
        <w:rPr>
          <w:rFonts w:asciiTheme="majorHAnsi" w:hAnsiTheme="majorHAnsi"/>
          <w:sz w:val="20"/>
          <w:szCs w:val="20"/>
          <w:lang w:val="es-AR"/>
        </w:rPr>
        <w:t xml:space="preserve">, afirmando que en el 2009 se habría </w:t>
      </w:r>
      <w:r w:rsidR="00761251" w:rsidRPr="005758BA">
        <w:rPr>
          <w:rFonts w:asciiTheme="majorHAnsi" w:hAnsiTheme="majorHAnsi"/>
          <w:sz w:val="20"/>
          <w:szCs w:val="20"/>
          <w:lang w:val="es-AR"/>
        </w:rPr>
        <w:t>“</w:t>
      </w:r>
      <w:r w:rsidR="000E5A63" w:rsidRPr="005758BA">
        <w:rPr>
          <w:rFonts w:asciiTheme="majorHAnsi" w:hAnsiTheme="majorHAnsi"/>
          <w:sz w:val="20"/>
          <w:szCs w:val="20"/>
          <w:lang w:val="es-AR"/>
        </w:rPr>
        <w:t>reactivado</w:t>
      </w:r>
      <w:r w:rsidR="00761251" w:rsidRPr="005758BA">
        <w:rPr>
          <w:rFonts w:asciiTheme="majorHAnsi" w:hAnsiTheme="majorHAnsi"/>
          <w:sz w:val="20"/>
          <w:szCs w:val="20"/>
          <w:lang w:val="es-AR"/>
        </w:rPr>
        <w:t>”</w:t>
      </w:r>
      <w:r w:rsidR="000E5A63" w:rsidRPr="005758BA">
        <w:rPr>
          <w:rFonts w:asciiTheme="majorHAnsi" w:hAnsiTheme="majorHAnsi"/>
          <w:sz w:val="20"/>
          <w:szCs w:val="20"/>
          <w:lang w:val="es-AR"/>
        </w:rPr>
        <w:t xml:space="preserve"> la investigación</w:t>
      </w:r>
      <w:r w:rsidR="006D336C" w:rsidRPr="005758BA">
        <w:rPr>
          <w:rFonts w:asciiTheme="majorHAnsi" w:hAnsiTheme="majorHAnsi"/>
          <w:sz w:val="20"/>
          <w:szCs w:val="20"/>
          <w:lang w:val="es-AR"/>
        </w:rPr>
        <w:t xml:space="preserve"> penal</w:t>
      </w:r>
      <w:r w:rsidR="000E5A63" w:rsidRPr="005758BA">
        <w:rPr>
          <w:rFonts w:asciiTheme="majorHAnsi" w:hAnsiTheme="majorHAnsi"/>
          <w:sz w:val="20"/>
          <w:szCs w:val="20"/>
          <w:lang w:val="es-AR"/>
        </w:rPr>
        <w:t>. Asimismo, detalló algunos actos procesales que habrían tenido lugar en el marco de la investigación penal</w:t>
      </w:r>
      <w:r w:rsidR="00FC43D1" w:rsidRPr="005758BA">
        <w:rPr>
          <w:rFonts w:asciiTheme="majorHAnsi" w:hAnsiTheme="majorHAnsi"/>
          <w:sz w:val="20"/>
          <w:szCs w:val="20"/>
          <w:lang w:val="es-AR"/>
        </w:rPr>
        <w:t xml:space="preserve"> </w:t>
      </w:r>
      <w:r w:rsidR="003E28BB">
        <w:rPr>
          <w:rFonts w:asciiTheme="majorHAnsi" w:hAnsiTheme="majorHAnsi"/>
          <w:sz w:val="20"/>
          <w:szCs w:val="20"/>
          <w:lang w:val="es-AR"/>
        </w:rPr>
        <w:t>“</w:t>
      </w:r>
      <w:r w:rsidR="00FC43D1" w:rsidRPr="005758BA">
        <w:rPr>
          <w:rFonts w:asciiTheme="majorHAnsi" w:hAnsiTheme="majorHAnsi"/>
          <w:sz w:val="20"/>
          <w:szCs w:val="20"/>
          <w:lang w:val="es-AR"/>
        </w:rPr>
        <w:t>reactivada</w:t>
      </w:r>
      <w:r w:rsidR="003E28BB">
        <w:rPr>
          <w:rFonts w:asciiTheme="majorHAnsi" w:hAnsiTheme="majorHAnsi"/>
          <w:sz w:val="20"/>
          <w:szCs w:val="20"/>
          <w:lang w:val="es-AR"/>
        </w:rPr>
        <w:t>”</w:t>
      </w:r>
      <w:r w:rsidR="000E5A63" w:rsidRPr="005758BA">
        <w:rPr>
          <w:rFonts w:asciiTheme="majorHAnsi" w:hAnsiTheme="majorHAnsi"/>
          <w:sz w:val="20"/>
          <w:szCs w:val="20"/>
          <w:lang w:val="es-AR"/>
        </w:rPr>
        <w:t>, señalando que “se evidencia[ba] una labor investigativa</w:t>
      </w:r>
      <w:r w:rsidR="007B3C1A" w:rsidRPr="005758BA">
        <w:rPr>
          <w:rFonts w:asciiTheme="majorHAnsi" w:hAnsiTheme="majorHAnsi"/>
          <w:sz w:val="20"/>
          <w:szCs w:val="20"/>
          <w:lang w:val="es-AR"/>
        </w:rPr>
        <w:t xml:space="preserve"> caracterizada por la debida diligencia”.</w:t>
      </w:r>
      <w:r w:rsidR="00FF0ED7" w:rsidRPr="005758BA">
        <w:rPr>
          <w:rFonts w:asciiTheme="majorHAnsi" w:hAnsiTheme="majorHAnsi"/>
          <w:sz w:val="20"/>
          <w:szCs w:val="20"/>
          <w:lang w:val="es-AR"/>
        </w:rPr>
        <w:t xml:space="preserve"> Por lo tanto, concluyó el Estado</w:t>
      </w:r>
      <w:r w:rsidR="000F39AC" w:rsidRPr="005758BA">
        <w:rPr>
          <w:rFonts w:asciiTheme="majorHAnsi" w:hAnsiTheme="majorHAnsi"/>
          <w:sz w:val="20"/>
          <w:szCs w:val="20"/>
          <w:lang w:val="es-AR"/>
        </w:rPr>
        <w:t>,</w:t>
      </w:r>
      <w:r w:rsidR="00FF0ED7" w:rsidRPr="005758BA">
        <w:rPr>
          <w:rFonts w:asciiTheme="majorHAnsi" w:hAnsiTheme="majorHAnsi"/>
          <w:sz w:val="20"/>
          <w:szCs w:val="20"/>
          <w:lang w:val="es-AR"/>
        </w:rPr>
        <w:t xml:space="preserve"> “es evidente que el recurso adecuado y efectivo aún no ha sido agotado” y, en consecuencia, no </w:t>
      </w:r>
      <w:r w:rsidR="000F39AC" w:rsidRPr="005758BA">
        <w:rPr>
          <w:rFonts w:asciiTheme="majorHAnsi" w:hAnsiTheme="majorHAnsi"/>
          <w:sz w:val="20"/>
          <w:szCs w:val="20"/>
          <w:lang w:val="es-AR"/>
        </w:rPr>
        <w:t>e</w:t>
      </w:r>
      <w:r w:rsidR="00FC43D1" w:rsidRPr="005758BA">
        <w:rPr>
          <w:rFonts w:asciiTheme="majorHAnsi" w:hAnsiTheme="majorHAnsi"/>
          <w:sz w:val="20"/>
          <w:szCs w:val="20"/>
          <w:lang w:val="es-AR"/>
        </w:rPr>
        <w:t>s</w:t>
      </w:r>
      <w:r w:rsidR="00FF0ED7" w:rsidRPr="005758BA">
        <w:rPr>
          <w:rFonts w:asciiTheme="majorHAnsi" w:hAnsiTheme="majorHAnsi"/>
          <w:sz w:val="20"/>
          <w:szCs w:val="20"/>
          <w:lang w:val="es-AR"/>
        </w:rPr>
        <w:t xml:space="preserve"> viable acudir a la jurisdicción internacional</w:t>
      </w:r>
      <w:r w:rsidR="007B3C1A" w:rsidRPr="005758BA">
        <w:rPr>
          <w:rStyle w:val="FootnoteReference"/>
          <w:rFonts w:asciiTheme="majorHAnsi" w:hAnsiTheme="majorHAnsi"/>
          <w:sz w:val="20"/>
          <w:szCs w:val="20"/>
          <w:lang w:val="es-AR"/>
        </w:rPr>
        <w:footnoteReference w:id="7"/>
      </w:r>
      <w:r w:rsidR="00FF0ED7" w:rsidRPr="005758BA">
        <w:rPr>
          <w:rFonts w:asciiTheme="majorHAnsi" w:hAnsiTheme="majorHAnsi"/>
          <w:sz w:val="20"/>
          <w:szCs w:val="20"/>
          <w:lang w:val="es-AR"/>
        </w:rPr>
        <w:t>.</w:t>
      </w:r>
      <w:r w:rsidR="001F6D52" w:rsidRPr="005758BA">
        <w:rPr>
          <w:rFonts w:asciiTheme="majorHAnsi" w:hAnsiTheme="majorHAnsi"/>
          <w:sz w:val="20"/>
          <w:szCs w:val="20"/>
          <w:lang w:val="es-AR"/>
        </w:rPr>
        <w:t xml:space="preserve"> </w:t>
      </w:r>
    </w:p>
    <w:p w:rsidR="005758BA" w:rsidRPr="005758BA" w:rsidRDefault="005758BA" w:rsidP="005758BA">
      <w:pPr>
        <w:spacing w:after="0"/>
        <w:jc w:val="both"/>
        <w:rPr>
          <w:rFonts w:asciiTheme="majorHAnsi" w:hAnsiTheme="majorHAnsi"/>
          <w:sz w:val="20"/>
          <w:szCs w:val="20"/>
          <w:lang w:val="es-AR"/>
        </w:rPr>
      </w:pPr>
    </w:p>
    <w:p w:rsidR="001F6D52" w:rsidRDefault="001F6D52"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Asimismo, </w:t>
      </w:r>
      <w:r w:rsidR="00FC43D1" w:rsidRPr="005758BA">
        <w:rPr>
          <w:rFonts w:asciiTheme="majorHAnsi" w:hAnsiTheme="majorHAnsi"/>
          <w:sz w:val="20"/>
          <w:szCs w:val="20"/>
          <w:lang w:val="es-AR"/>
        </w:rPr>
        <w:t xml:space="preserve">el Estado </w:t>
      </w:r>
      <w:r w:rsidRPr="005758BA">
        <w:rPr>
          <w:rFonts w:asciiTheme="majorHAnsi" w:hAnsiTheme="majorHAnsi"/>
          <w:sz w:val="20"/>
          <w:szCs w:val="20"/>
          <w:lang w:val="es-AR"/>
        </w:rPr>
        <w:t xml:space="preserve">agregó que habría existido una “falta de interés” por parte de los peticionarios en acudir a las instancias internas legalmente establecidas, por cuanto no se habían constituido como parte civil en el proceso penal ordinario para reclamar por las presuntas violaciones a los derechos de sus representados. </w:t>
      </w:r>
    </w:p>
    <w:p w:rsidR="005758BA" w:rsidRPr="005758BA" w:rsidRDefault="005758BA" w:rsidP="005758BA">
      <w:pPr>
        <w:spacing w:after="0"/>
        <w:jc w:val="both"/>
        <w:rPr>
          <w:rFonts w:asciiTheme="majorHAnsi" w:hAnsiTheme="majorHAnsi"/>
          <w:sz w:val="20"/>
          <w:szCs w:val="20"/>
          <w:lang w:val="es-AR"/>
        </w:rPr>
      </w:pPr>
    </w:p>
    <w:p w:rsidR="000F39AC" w:rsidRDefault="00FC43D1"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w:t>
      </w:r>
      <w:r w:rsidR="001F6D52" w:rsidRPr="005758BA">
        <w:rPr>
          <w:rFonts w:asciiTheme="majorHAnsi" w:hAnsiTheme="majorHAnsi"/>
          <w:sz w:val="20"/>
          <w:szCs w:val="20"/>
          <w:lang w:val="es-AR"/>
        </w:rPr>
        <w:t xml:space="preserve">l Estado </w:t>
      </w:r>
      <w:r w:rsidRPr="005758BA">
        <w:rPr>
          <w:rFonts w:asciiTheme="majorHAnsi" w:hAnsiTheme="majorHAnsi"/>
          <w:sz w:val="20"/>
          <w:szCs w:val="20"/>
          <w:lang w:val="es-AR"/>
        </w:rPr>
        <w:t xml:space="preserve">agregó </w:t>
      </w:r>
      <w:r w:rsidR="001F6D52" w:rsidRPr="005758BA">
        <w:rPr>
          <w:rFonts w:asciiTheme="majorHAnsi" w:hAnsiTheme="majorHAnsi"/>
          <w:sz w:val="20"/>
          <w:szCs w:val="20"/>
          <w:lang w:val="es-AR"/>
        </w:rPr>
        <w:t xml:space="preserve">que los peticionarios no habían iniciado un proceso contencioso administrativo para declarar la responsabilidad del Estado. En tal sentido detalló que, </w:t>
      </w:r>
      <w:r w:rsidR="000F39AC" w:rsidRPr="005758BA">
        <w:rPr>
          <w:rFonts w:asciiTheme="majorHAnsi" w:hAnsiTheme="majorHAnsi"/>
          <w:sz w:val="20"/>
          <w:szCs w:val="20"/>
          <w:lang w:val="es-AR"/>
        </w:rPr>
        <w:t>dentro de los recursos ofrecidos por el ordenamiento jurídico colombiano, cualquier persona que considere haber sufrido un daño como consecuencia de una acción o una omisión del Estado, se encuentra facultada para demandar su reparación ante la jurisdicción de lo contencioso administrativo.</w:t>
      </w:r>
      <w:r w:rsidR="0021419A" w:rsidRPr="005758BA">
        <w:rPr>
          <w:rFonts w:asciiTheme="majorHAnsi" w:hAnsiTheme="majorHAnsi"/>
          <w:sz w:val="20"/>
          <w:szCs w:val="20"/>
          <w:lang w:val="es-AR"/>
        </w:rPr>
        <w:t xml:space="preserve"> De esta manera, sostuvo el Estado, “en aquellos eventos en los cuales se encuentra demostrada la responsabilidad del Estado, el juez de lo contencioso administrativo ordena la reparación integral de los daños ocasionados”</w:t>
      </w:r>
      <w:r w:rsidR="0021419A" w:rsidRPr="005758BA">
        <w:rPr>
          <w:rStyle w:val="FootnoteReference"/>
          <w:rFonts w:asciiTheme="majorHAnsi" w:hAnsiTheme="majorHAnsi"/>
          <w:sz w:val="20"/>
          <w:szCs w:val="20"/>
          <w:lang w:val="es-AR"/>
        </w:rPr>
        <w:footnoteReference w:id="8"/>
      </w:r>
      <w:r w:rsidR="0021419A" w:rsidRPr="005758BA">
        <w:rPr>
          <w:rFonts w:asciiTheme="majorHAnsi" w:hAnsiTheme="majorHAnsi"/>
          <w:sz w:val="20"/>
          <w:szCs w:val="20"/>
          <w:lang w:val="es-AR"/>
        </w:rPr>
        <w:t>. En atención a ello, el Estado alega que</w:t>
      </w:r>
      <w:r w:rsidR="000F39AC" w:rsidRPr="005758BA">
        <w:rPr>
          <w:rFonts w:asciiTheme="majorHAnsi" w:hAnsiTheme="majorHAnsi"/>
          <w:sz w:val="20"/>
          <w:szCs w:val="20"/>
          <w:lang w:val="es-AR"/>
        </w:rPr>
        <w:t xml:space="preserve"> </w:t>
      </w:r>
      <w:r w:rsidR="001F6D52" w:rsidRPr="005758BA">
        <w:rPr>
          <w:rFonts w:asciiTheme="majorHAnsi" w:hAnsiTheme="majorHAnsi"/>
          <w:sz w:val="20"/>
          <w:szCs w:val="20"/>
          <w:lang w:val="es-AR"/>
        </w:rPr>
        <w:t xml:space="preserve">la </w:t>
      </w:r>
      <w:r w:rsidR="000F39AC" w:rsidRPr="005758BA">
        <w:rPr>
          <w:rFonts w:asciiTheme="majorHAnsi" w:hAnsiTheme="majorHAnsi"/>
          <w:sz w:val="20"/>
          <w:szCs w:val="20"/>
          <w:lang w:val="es-AR"/>
        </w:rPr>
        <w:t>pretensión indemnizatoria</w:t>
      </w:r>
      <w:r w:rsidR="001F6D52" w:rsidRPr="005758BA">
        <w:rPr>
          <w:rFonts w:asciiTheme="majorHAnsi" w:hAnsiTheme="majorHAnsi"/>
          <w:sz w:val="20"/>
          <w:szCs w:val="20"/>
          <w:lang w:val="es-AR"/>
        </w:rPr>
        <w:t xml:space="preserve"> de los peticionarios no puede ser objeto de estudio de la CIDH por cuanto </w:t>
      </w:r>
      <w:r w:rsidR="000F39AC" w:rsidRPr="005758BA">
        <w:rPr>
          <w:rFonts w:asciiTheme="majorHAnsi" w:hAnsiTheme="majorHAnsi"/>
          <w:sz w:val="20"/>
          <w:szCs w:val="20"/>
          <w:lang w:val="es-AR"/>
        </w:rPr>
        <w:t>no cumple con el requisito del previo agotamiento de los recursos internos”</w:t>
      </w:r>
      <w:r w:rsidR="0021419A" w:rsidRPr="005758BA">
        <w:rPr>
          <w:rStyle w:val="FootnoteReference"/>
          <w:rFonts w:asciiTheme="majorHAnsi" w:hAnsiTheme="majorHAnsi"/>
          <w:sz w:val="20"/>
          <w:szCs w:val="20"/>
          <w:lang w:val="es-AR"/>
        </w:rPr>
        <w:footnoteReference w:id="9"/>
      </w:r>
      <w:r w:rsidR="001F6D52" w:rsidRPr="005758BA">
        <w:rPr>
          <w:rFonts w:asciiTheme="majorHAnsi" w:hAnsiTheme="majorHAnsi"/>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FF067D" w:rsidRDefault="00FF067D"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Adicionalmente,</w:t>
      </w:r>
      <w:r w:rsidR="001829C6" w:rsidRPr="005758BA">
        <w:rPr>
          <w:rFonts w:asciiTheme="majorHAnsi" w:hAnsiTheme="majorHAnsi"/>
          <w:sz w:val="20"/>
          <w:szCs w:val="20"/>
          <w:lang w:val="es-AR"/>
        </w:rPr>
        <w:t xml:space="preserve"> el Estado sostuvo</w:t>
      </w:r>
      <w:r w:rsidRPr="005758BA">
        <w:rPr>
          <w:rFonts w:asciiTheme="majorHAnsi" w:hAnsiTheme="majorHAnsi"/>
          <w:sz w:val="20"/>
          <w:szCs w:val="20"/>
          <w:lang w:val="es-AR"/>
        </w:rPr>
        <w:t>, en relación con la investigación administrativa</w:t>
      </w:r>
      <w:r w:rsidR="001829C6" w:rsidRPr="005758BA">
        <w:rPr>
          <w:rFonts w:asciiTheme="majorHAnsi" w:hAnsiTheme="majorHAnsi"/>
          <w:sz w:val="20"/>
          <w:szCs w:val="20"/>
          <w:lang w:val="es-AR"/>
        </w:rPr>
        <w:t xml:space="preserve">, que la misma se había adelantado diligentemente, “razón por la cual respecto de ésta opera la fórmula  de la cuarta </w:t>
      </w:r>
      <w:r w:rsidR="001829C6" w:rsidRPr="005758BA">
        <w:rPr>
          <w:rFonts w:asciiTheme="majorHAnsi" w:hAnsiTheme="majorHAnsi"/>
          <w:sz w:val="20"/>
          <w:szCs w:val="20"/>
          <w:lang w:val="es-AR"/>
        </w:rPr>
        <w:lastRenderedPageBreak/>
        <w:t>instancia”. Ello, por cuanto, a pesar de todas las pesquisas adelantadas, la investigación no arrojó resultados que permitieran vincular directamente a funcionarios estatales, “toda vez que no se reunieron los requ</w:t>
      </w:r>
      <w:r w:rsidR="009F7B16" w:rsidRPr="005758BA">
        <w:rPr>
          <w:rFonts w:asciiTheme="majorHAnsi" w:hAnsiTheme="majorHAnsi"/>
          <w:sz w:val="20"/>
          <w:szCs w:val="20"/>
          <w:lang w:val="es-AR"/>
        </w:rPr>
        <w:t>i</w:t>
      </w:r>
      <w:r w:rsidR="001829C6" w:rsidRPr="005758BA">
        <w:rPr>
          <w:rFonts w:asciiTheme="majorHAnsi" w:hAnsiTheme="majorHAnsi"/>
          <w:sz w:val="20"/>
          <w:szCs w:val="20"/>
          <w:lang w:val="es-AR"/>
        </w:rPr>
        <w:t>sitos para iniciar una investigación formal en contra de persona determinada”.</w:t>
      </w:r>
    </w:p>
    <w:p w:rsidR="008423D9" w:rsidRPr="005758BA" w:rsidRDefault="008423D9" w:rsidP="008423D9">
      <w:pPr>
        <w:spacing w:after="0"/>
        <w:jc w:val="both"/>
        <w:rPr>
          <w:rFonts w:asciiTheme="majorHAnsi" w:hAnsiTheme="majorHAnsi"/>
          <w:sz w:val="20"/>
          <w:szCs w:val="20"/>
          <w:lang w:val="es-AR"/>
        </w:rPr>
      </w:pPr>
    </w:p>
    <w:p w:rsidR="00F2225B" w:rsidRDefault="00F2225B" w:rsidP="005758BA">
      <w:pPr>
        <w:numPr>
          <w:ilvl w:val="0"/>
          <w:numId w:val="1"/>
        </w:numPr>
        <w:spacing w:after="0"/>
        <w:ind w:left="0" w:firstLine="720"/>
        <w:jc w:val="both"/>
        <w:rPr>
          <w:rFonts w:asciiTheme="majorHAnsi" w:hAnsiTheme="majorHAnsi"/>
          <w:color w:val="000000"/>
          <w:sz w:val="20"/>
          <w:szCs w:val="20"/>
          <w:lang w:val="es-ES"/>
        </w:rPr>
      </w:pPr>
      <w:r w:rsidRPr="005758BA">
        <w:rPr>
          <w:rFonts w:asciiTheme="majorHAnsi" w:hAnsiTheme="majorHAnsi"/>
          <w:color w:val="000000"/>
          <w:sz w:val="20"/>
          <w:szCs w:val="20"/>
          <w:lang w:val="es-ES"/>
        </w:rPr>
        <w:t>A fin de poder esclarecer si la presente petición cumple con el requisito del previo agotamiento de los recursos internos, l</w:t>
      </w:r>
      <w:r w:rsidR="007C0EC5" w:rsidRPr="005758BA">
        <w:rPr>
          <w:rFonts w:asciiTheme="majorHAnsi" w:hAnsiTheme="majorHAnsi"/>
          <w:color w:val="000000"/>
          <w:sz w:val="20"/>
          <w:szCs w:val="20"/>
          <w:lang w:val="es-ES"/>
        </w:rPr>
        <w:t xml:space="preserve">a Comisión se referirá a cada uno de los argumentos adelantados por el Estado en los siguientes términos. </w:t>
      </w:r>
    </w:p>
    <w:p w:rsidR="005758BA" w:rsidRPr="005758BA" w:rsidRDefault="005758BA" w:rsidP="005758BA">
      <w:pPr>
        <w:spacing w:after="0"/>
        <w:jc w:val="both"/>
        <w:rPr>
          <w:rFonts w:asciiTheme="majorHAnsi" w:hAnsiTheme="majorHAnsi"/>
          <w:color w:val="000000"/>
          <w:sz w:val="20"/>
          <w:szCs w:val="20"/>
          <w:lang w:val="es-ES"/>
        </w:rPr>
      </w:pPr>
    </w:p>
    <w:p w:rsidR="000620BA" w:rsidRDefault="007C0EC5" w:rsidP="005758BA">
      <w:pPr>
        <w:numPr>
          <w:ilvl w:val="0"/>
          <w:numId w:val="1"/>
        </w:numPr>
        <w:spacing w:after="0"/>
        <w:ind w:left="0" w:firstLine="720"/>
        <w:jc w:val="both"/>
        <w:rPr>
          <w:rFonts w:asciiTheme="majorHAnsi" w:hAnsiTheme="majorHAnsi"/>
          <w:color w:val="000000"/>
          <w:sz w:val="20"/>
          <w:szCs w:val="20"/>
          <w:lang w:val="es-ES"/>
        </w:rPr>
      </w:pPr>
      <w:r w:rsidRPr="005758BA">
        <w:rPr>
          <w:rFonts w:asciiTheme="majorHAnsi" w:hAnsiTheme="majorHAnsi"/>
          <w:color w:val="000000"/>
          <w:sz w:val="20"/>
          <w:szCs w:val="20"/>
          <w:lang w:val="es-ES"/>
        </w:rPr>
        <w:t xml:space="preserve">En primer lugar, </w:t>
      </w:r>
      <w:r w:rsidR="00F2225B" w:rsidRPr="005758BA">
        <w:rPr>
          <w:rFonts w:asciiTheme="majorHAnsi" w:hAnsiTheme="majorHAnsi"/>
          <w:color w:val="000000"/>
          <w:sz w:val="20"/>
          <w:szCs w:val="20"/>
          <w:lang w:val="es-ES"/>
        </w:rPr>
        <w:t xml:space="preserve">esta Comisión </w:t>
      </w:r>
      <w:r w:rsidR="00930B96" w:rsidRPr="005758BA">
        <w:rPr>
          <w:rFonts w:asciiTheme="majorHAnsi" w:hAnsiTheme="majorHAnsi"/>
          <w:color w:val="000000"/>
          <w:sz w:val="20"/>
          <w:szCs w:val="20"/>
          <w:lang w:val="es-ES"/>
        </w:rPr>
        <w:t xml:space="preserve">ya se ha pronunciado en casos anteriores sobre las implicancias de un cambio de postura por parte del Estado a lo largo del trámite ante la CIDH con relación al requisito del previo agotamiento de los recursos internos. En tal sentido, la CIDH ha sostenido de manera conteste que </w:t>
      </w:r>
      <w:r w:rsidR="005B0579" w:rsidRPr="005758BA">
        <w:rPr>
          <w:rFonts w:asciiTheme="majorHAnsi" w:hAnsiTheme="majorHAnsi"/>
          <w:color w:val="000000"/>
          <w:sz w:val="20"/>
          <w:szCs w:val="20"/>
          <w:lang w:val="es-AR"/>
        </w:rPr>
        <w:t>el Estado, en virtud del principio de </w:t>
      </w:r>
      <w:r w:rsidR="005B0579" w:rsidRPr="005758BA">
        <w:rPr>
          <w:rFonts w:asciiTheme="majorHAnsi" w:hAnsiTheme="majorHAnsi"/>
          <w:i/>
          <w:iCs/>
          <w:color w:val="000000"/>
          <w:sz w:val="20"/>
          <w:szCs w:val="20"/>
          <w:lang w:val="es-AR"/>
        </w:rPr>
        <w:t>estoppel</w:t>
      </w:r>
      <w:r w:rsidR="005B0579" w:rsidRPr="005758BA">
        <w:rPr>
          <w:rFonts w:asciiTheme="majorHAnsi" w:hAnsiTheme="majorHAnsi"/>
          <w:color w:val="000000"/>
          <w:sz w:val="20"/>
          <w:szCs w:val="20"/>
          <w:lang w:val="es-AR"/>
        </w:rPr>
        <w:t>, no puede desconocer lo que ya ha afirmado en presentaciones anteriores, por lo que no puede afirmar primero que los recursos de jurisdicción interna están agotados, para luego manifestar lo contrario. En efecto, para tal conducta rige la doctrina de los actos propios, generalmente expresada en los antecedentes de esta Comisión mediante la alocución latina “</w:t>
      </w:r>
      <w:r w:rsidR="005B0579" w:rsidRPr="005758BA">
        <w:rPr>
          <w:rFonts w:asciiTheme="majorHAnsi" w:hAnsiTheme="majorHAnsi"/>
          <w:i/>
          <w:iCs/>
          <w:color w:val="000000"/>
          <w:sz w:val="20"/>
          <w:szCs w:val="20"/>
          <w:lang w:val="es-AR"/>
        </w:rPr>
        <w:t>non concedit venire contra factum proprium</w:t>
      </w:r>
      <w:r w:rsidR="005B0579" w:rsidRPr="005758BA">
        <w:rPr>
          <w:rFonts w:asciiTheme="majorHAnsi" w:hAnsiTheme="majorHAnsi"/>
          <w:iCs/>
          <w:color w:val="000000"/>
          <w:sz w:val="20"/>
          <w:szCs w:val="20"/>
          <w:lang w:val="es-AR"/>
        </w:rPr>
        <w:t>”</w:t>
      </w:r>
      <w:r w:rsidR="00F25FF7" w:rsidRPr="005758BA">
        <w:rPr>
          <w:rStyle w:val="FootnoteReference"/>
          <w:rFonts w:asciiTheme="majorHAnsi" w:hAnsiTheme="majorHAnsi"/>
          <w:iCs/>
          <w:color w:val="000000"/>
          <w:sz w:val="20"/>
          <w:szCs w:val="20"/>
          <w:lang w:val="es-AR"/>
        </w:rPr>
        <w:footnoteReference w:id="10"/>
      </w:r>
      <w:r w:rsidR="00057F83" w:rsidRPr="005758BA">
        <w:rPr>
          <w:rFonts w:asciiTheme="majorHAnsi" w:hAnsiTheme="majorHAnsi"/>
          <w:iCs/>
          <w:color w:val="000000"/>
          <w:sz w:val="20"/>
          <w:szCs w:val="20"/>
          <w:lang w:val="es-AR"/>
        </w:rPr>
        <w:t xml:space="preserve">. </w:t>
      </w:r>
      <w:r w:rsidR="008C05EC" w:rsidRPr="005758BA">
        <w:rPr>
          <w:rFonts w:asciiTheme="majorHAnsi" w:hAnsiTheme="majorHAnsi"/>
          <w:iCs/>
          <w:color w:val="000000"/>
          <w:sz w:val="20"/>
          <w:szCs w:val="20"/>
          <w:lang w:val="es-AR"/>
        </w:rPr>
        <w:t xml:space="preserve">A mayor abundamiento, </w:t>
      </w:r>
      <w:r w:rsidR="00761251" w:rsidRPr="005758BA">
        <w:rPr>
          <w:rFonts w:asciiTheme="majorHAnsi" w:hAnsiTheme="majorHAnsi"/>
          <w:color w:val="000000"/>
          <w:sz w:val="20"/>
          <w:szCs w:val="20"/>
          <w:lang w:val="es-ES"/>
        </w:rPr>
        <w:t xml:space="preserve">la CIDH nota que el Estado no </w:t>
      </w:r>
      <w:r w:rsidR="00AF2F84" w:rsidRPr="005758BA">
        <w:rPr>
          <w:rFonts w:asciiTheme="majorHAnsi" w:hAnsiTheme="majorHAnsi"/>
          <w:color w:val="000000"/>
          <w:sz w:val="20"/>
          <w:szCs w:val="20"/>
          <w:lang w:val="es-ES"/>
        </w:rPr>
        <w:t>informó</w:t>
      </w:r>
      <w:r w:rsidR="00761251" w:rsidRPr="005758BA">
        <w:rPr>
          <w:rFonts w:asciiTheme="majorHAnsi" w:hAnsiTheme="majorHAnsi"/>
          <w:color w:val="000000"/>
          <w:sz w:val="20"/>
          <w:szCs w:val="20"/>
          <w:lang w:val="es-ES"/>
        </w:rPr>
        <w:t xml:space="preserve"> sobre la reapertura de la investigación</w:t>
      </w:r>
      <w:r w:rsidR="003D6834" w:rsidRPr="005758BA">
        <w:rPr>
          <w:rFonts w:asciiTheme="majorHAnsi" w:hAnsiTheme="majorHAnsi"/>
          <w:color w:val="000000"/>
          <w:sz w:val="20"/>
          <w:szCs w:val="20"/>
          <w:lang w:val="es-ES"/>
        </w:rPr>
        <w:t xml:space="preserve"> penal</w:t>
      </w:r>
      <w:r w:rsidR="00761251" w:rsidRPr="005758BA">
        <w:rPr>
          <w:rFonts w:asciiTheme="majorHAnsi" w:hAnsiTheme="majorHAnsi"/>
          <w:color w:val="000000"/>
          <w:sz w:val="20"/>
          <w:szCs w:val="20"/>
          <w:lang w:val="es-ES"/>
        </w:rPr>
        <w:t xml:space="preserve"> </w:t>
      </w:r>
      <w:r w:rsidR="00AF2F84" w:rsidRPr="005758BA">
        <w:rPr>
          <w:rFonts w:asciiTheme="majorHAnsi" w:hAnsiTheme="majorHAnsi"/>
          <w:color w:val="000000"/>
          <w:sz w:val="20"/>
          <w:szCs w:val="20"/>
          <w:lang w:val="es-ES"/>
        </w:rPr>
        <w:t>—</w:t>
      </w:r>
      <w:r w:rsidR="00761251" w:rsidRPr="005758BA">
        <w:rPr>
          <w:rFonts w:asciiTheme="majorHAnsi" w:hAnsiTheme="majorHAnsi"/>
          <w:color w:val="000000"/>
          <w:sz w:val="20"/>
          <w:szCs w:val="20"/>
          <w:lang w:val="es-ES"/>
        </w:rPr>
        <w:t xml:space="preserve">la cual habría </w:t>
      </w:r>
      <w:r w:rsidR="003D6834" w:rsidRPr="005758BA">
        <w:rPr>
          <w:rFonts w:asciiTheme="majorHAnsi" w:hAnsiTheme="majorHAnsi"/>
          <w:color w:val="000000"/>
          <w:sz w:val="20"/>
          <w:szCs w:val="20"/>
          <w:lang w:val="es-ES"/>
        </w:rPr>
        <w:t>tenido lugar en 2009</w:t>
      </w:r>
      <w:r w:rsidR="00AF2F84" w:rsidRPr="005758BA">
        <w:rPr>
          <w:rFonts w:asciiTheme="majorHAnsi" w:hAnsiTheme="majorHAnsi"/>
          <w:color w:val="000000"/>
          <w:sz w:val="20"/>
          <w:szCs w:val="20"/>
          <w:lang w:val="es-ES"/>
        </w:rPr>
        <w:t>— sino hasta el año 2015</w:t>
      </w:r>
      <w:r w:rsidR="00666069" w:rsidRPr="005758BA">
        <w:rPr>
          <w:rFonts w:asciiTheme="majorHAnsi" w:hAnsiTheme="majorHAnsi"/>
          <w:color w:val="000000"/>
          <w:sz w:val="20"/>
          <w:szCs w:val="20"/>
          <w:lang w:val="es-ES"/>
        </w:rPr>
        <w:t>. Aún más, en su comunicación de 2014, cinco años después de que fuera reabierta la investigación, no habría informado sobre tal circunstancia, sino que habría solicit</w:t>
      </w:r>
      <w:r w:rsidR="008C05EC" w:rsidRPr="005758BA">
        <w:rPr>
          <w:rFonts w:asciiTheme="majorHAnsi" w:hAnsiTheme="majorHAnsi"/>
          <w:color w:val="000000"/>
          <w:sz w:val="20"/>
          <w:szCs w:val="20"/>
          <w:lang w:val="es-ES"/>
        </w:rPr>
        <w:t>ado a la Comisión</w:t>
      </w:r>
      <w:r w:rsidR="00C60D09" w:rsidRPr="005758BA">
        <w:rPr>
          <w:rFonts w:asciiTheme="majorHAnsi" w:hAnsiTheme="majorHAnsi"/>
          <w:color w:val="000000"/>
          <w:sz w:val="20"/>
          <w:szCs w:val="20"/>
          <w:lang w:val="es-ES"/>
        </w:rPr>
        <w:t>, por remisión a su comunicación anterior,</w:t>
      </w:r>
      <w:r w:rsidR="008C05EC" w:rsidRPr="005758BA">
        <w:rPr>
          <w:rFonts w:asciiTheme="majorHAnsi" w:hAnsiTheme="majorHAnsi"/>
          <w:color w:val="000000"/>
          <w:sz w:val="20"/>
          <w:szCs w:val="20"/>
          <w:lang w:val="es-ES"/>
        </w:rPr>
        <w:t xml:space="preserve"> que se declarara</w:t>
      </w:r>
      <w:r w:rsidR="00C60D09" w:rsidRPr="005758BA">
        <w:rPr>
          <w:rFonts w:asciiTheme="majorHAnsi" w:hAnsiTheme="majorHAnsi"/>
          <w:color w:val="000000"/>
          <w:sz w:val="20"/>
          <w:szCs w:val="20"/>
          <w:lang w:val="es-ES"/>
        </w:rPr>
        <w:t>n</w:t>
      </w:r>
      <w:r w:rsidR="00666069" w:rsidRPr="005758BA">
        <w:rPr>
          <w:rFonts w:asciiTheme="majorHAnsi" w:hAnsiTheme="majorHAnsi"/>
          <w:color w:val="000000"/>
          <w:sz w:val="20"/>
          <w:szCs w:val="20"/>
          <w:lang w:val="es-ES"/>
        </w:rPr>
        <w:t xml:space="preserve"> </w:t>
      </w:r>
      <w:r w:rsidR="00C60D09" w:rsidRPr="005758BA">
        <w:rPr>
          <w:rFonts w:asciiTheme="majorHAnsi" w:hAnsiTheme="majorHAnsi"/>
          <w:color w:val="000000"/>
          <w:sz w:val="20"/>
          <w:szCs w:val="20"/>
          <w:lang w:val="es-ES"/>
        </w:rPr>
        <w:t>agotados los recursos internos y se</w:t>
      </w:r>
      <w:r w:rsidR="00C431B7" w:rsidRPr="005758BA">
        <w:rPr>
          <w:rFonts w:asciiTheme="majorHAnsi" w:hAnsiTheme="majorHAnsi"/>
          <w:color w:val="000000"/>
          <w:sz w:val="20"/>
          <w:szCs w:val="20"/>
          <w:lang w:val="es-ES"/>
        </w:rPr>
        <w:t xml:space="preserve"> inadmitiera la petición por no contener ésta hechos que caractericen violaciones a la Convención Americana.</w:t>
      </w:r>
    </w:p>
    <w:p w:rsidR="005758BA" w:rsidRPr="005758BA" w:rsidRDefault="005758BA" w:rsidP="005758BA">
      <w:pPr>
        <w:spacing w:after="0"/>
        <w:jc w:val="both"/>
        <w:rPr>
          <w:rFonts w:asciiTheme="majorHAnsi" w:hAnsiTheme="majorHAnsi"/>
          <w:color w:val="000000"/>
          <w:sz w:val="20"/>
          <w:szCs w:val="20"/>
          <w:lang w:val="es-ES"/>
        </w:rPr>
      </w:pPr>
    </w:p>
    <w:p w:rsidR="00FC58CE" w:rsidRPr="005758BA" w:rsidRDefault="00666069"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color w:val="000000"/>
          <w:sz w:val="20"/>
          <w:szCs w:val="20"/>
          <w:lang w:val="es-ES"/>
        </w:rPr>
        <w:t xml:space="preserve">En </w:t>
      </w:r>
      <w:r w:rsidR="008C05EC" w:rsidRPr="005758BA">
        <w:rPr>
          <w:rFonts w:asciiTheme="majorHAnsi" w:hAnsiTheme="majorHAnsi"/>
          <w:color w:val="000000"/>
          <w:sz w:val="20"/>
          <w:szCs w:val="20"/>
          <w:lang w:val="es-ES"/>
        </w:rPr>
        <w:t>segundo</w:t>
      </w:r>
      <w:r w:rsidRPr="005758BA">
        <w:rPr>
          <w:rFonts w:asciiTheme="majorHAnsi" w:hAnsiTheme="majorHAnsi"/>
          <w:color w:val="000000"/>
          <w:sz w:val="20"/>
          <w:szCs w:val="20"/>
          <w:lang w:val="es-ES"/>
        </w:rPr>
        <w:t xml:space="preserve"> lugar, </w:t>
      </w:r>
      <w:r w:rsidR="00130550" w:rsidRPr="005758BA">
        <w:rPr>
          <w:rFonts w:asciiTheme="majorHAnsi" w:hAnsiTheme="majorHAnsi"/>
          <w:color w:val="000000"/>
          <w:sz w:val="20"/>
          <w:szCs w:val="20"/>
          <w:lang w:val="es-ES"/>
        </w:rPr>
        <w:t xml:space="preserve">respecto del argumento sobre la </w:t>
      </w:r>
      <w:r w:rsidRPr="005758BA">
        <w:rPr>
          <w:rFonts w:asciiTheme="majorHAnsi" w:hAnsiTheme="majorHAnsi"/>
          <w:color w:val="000000"/>
          <w:sz w:val="20"/>
          <w:szCs w:val="20"/>
          <w:lang w:val="es-ES"/>
        </w:rPr>
        <w:t xml:space="preserve">alegada </w:t>
      </w:r>
      <w:r w:rsidRPr="005758BA">
        <w:rPr>
          <w:rFonts w:asciiTheme="majorHAnsi" w:hAnsiTheme="majorHAnsi"/>
          <w:sz w:val="20"/>
          <w:szCs w:val="20"/>
          <w:lang w:val="es-AR"/>
        </w:rPr>
        <w:t xml:space="preserve">“falta de interés” de los peticionarios </w:t>
      </w:r>
      <w:r w:rsidR="00130550" w:rsidRPr="005758BA">
        <w:rPr>
          <w:rFonts w:asciiTheme="majorHAnsi" w:hAnsiTheme="majorHAnsi"/>
          <w:sz w:val="20"/>
          <w:szCs w:val="20"/>
          <w:lang w:val="es-AR"/>
        </w:rPr>
        <w:t xml:space="preserve">por no haberse </w:t>
      </w:r>
      <w:r w:rsidRPr="005758BA">
        <w:rPr>
          <w:rFonts w:asciiTheme="majorHAnsi" w:hAnsiTheme="majorHAnsi"/>
          <w:sz w:val="20"/>
          <w:szCs w:val="20"/>
          <w:lang w:val="es-AR"/>
        </w:rPr>
        <w:t>constituido como parte civil en el proceso penal ordinario</w:t>
      </w:r>
      <w:r w:rsidR="00130550" w:rsidRPr="005758BA">
        <w:rPr>
          <w:rFonts w:asciiTheme="majorHAnsi" w:hAnsiTheme="majorHAnsi"/>
          <w:sz w:val="20"/>
          <w:szCs w:val="20"/>
          <w:lang w:val="es-AR"/>
        </w:rPr>
        <w:t xml:space="preserve">, la CIDH reitera lo establecido en varios de sus precedentes al respecto, en el sentido de que </w:t>
      </w:r>
      <w:r w:rsidR="00130550" w:rsidRPr="005758BA">
        <w:rPr>
          <w:rFonts w:asciiTheme="majorHAnsi" w:hAnsiTheme="majorHAnsi" w:cs="Calibri"/>
          <w:sz w:val="20"/>
          <w:szCs w:val="20"/>
          <w:lang w:val="es-AR"/>
        </w:rPr>
        <w:t>en los regímenes procesales en los que las víctimas o sus familiares pudieren tener legitimación para intervenir en procesos penales, su ejercicio no es obligatorio sino optativo, y no sustituye en modo alguno a la actividad estatal</w:t>
      </w:r>
      <w:r w:rsidR="00130550" w:rsidRPr="005758BA">
        <w:rPr>
          <w:rStyle w:val="FootnoteReference"/>
          <w:rFonts w:asciiTheme="majorHAnsi" w:hAnsiTheme="majorHAnsi" w:cs="Calibri"/>
          <w:sz w:val="20"/>
          <w:szCs w:val="20"/>
          <w:lang w:val="es-AR"/>
        </w:rPr>
        <w:footnoteReference w:id="11"/>
      </w:r>
      <w:r w:rsidR="00130550" w:rsidRPr="005758BA">
        <w:rPr>
          <w:rFonts w:asciiTheme="majorHAnsi" w:hAnsiTheme="majorHAnsi"/>
          <w:color w:val="000000"/>
          <w:sz w:val="20"/>
          <w:szCs w:val="20"/>
          <w:lang w:val="es-ES"/>
        </w:rPr>
        <w:t>.</w:t>
      </w:r>
      <w:r w:rsidR="00F2225B" w:rsidRPr="005758BA">
        <w:rPr>
          <w:rFonts w:asciiTheme="majorHAnsi" w:hAnsiTheme="majorHAnsi"/>
          <w:color w:val="000000"/>
          <w:sz w:val="20"/>
          <w:szCs w:val="20"/>
          <w:lang w:val="es-ES"/>
        </w:rPr>
        <w:t xml:space="preserve"> En otras palabras, </w:t>
      </w:r>
      <w:r w:rsidR="008F7434" w:rsidRPr="005758BA">
        <w:rPr>
          <w:rFonts w:asciiTheme="majorHAnsi" w:hAnsiTheme="majorHAnsi"/>
          <w:color w:val="000000"/>
          <w:sz w:val="20"/>
          <w:szCs w:val="20"/>
          <w:lang w:val="es-ES"/>
        </w:rPr>
        <w:t>el no haber hecho uso de esas figuras procesales</w:t>
      </w:r>
      <w:r w:rsidR="008C4652" w:rsidRPr="005758BA">
        <w:rPr>
          <w:rFonts w:asciiTheme="majorHAnsi" w:hAnsiTheme="majorHAnsi"/>
          <w:color w:val="000000"/>
          <w:sz w:val="20"/>
          <w:szCs w:val="20"/>
          <w:lang w:val="es-ES"/>
        </w:rPr>
        <w:t xml:space="preserve"> accesorias o</w:t>
      </w:r>
      <w:r w:rsidR="008F7434" w:rsidRPr="005758BA">
        <w:rPr>
          <w:rFonts w:asciiTheme="majorHAnsi" w:hAnsiTheme="majorHAnsi"/>
          <w:color w:val="000000"/>
          <w:sz w:val="20"/>
          <w:szCs w:val="20"/>
          <w:lang w:val="es-ES"/>
        </w:rPr>
        <w:t xml:space="preserve"> coadyuvantes en procesos penales cuyo impulso está a cargo del Estado </w:t>
      </w:r>
      <w:r w:rsidR="00B81D7A">
        <w:rPr>
          <w:rFonts w:asciiTheme="majorHAnsi" w:hAnsiTheme="majorHAnsi"/>
          <w:color w:val="000000"/>
          <w:sz w:val="20"/>
          <w:szCs w:val="20"/>
          <w:lang w:val="es-ES"/>
        </w:rPr>
        <w:t>no</w:t>
      </w:r>
      <w:r w:rsidR="008F7434" w:rsidRPr="005758BA">
        <w:rPr>
          <w:rFonts w:asciiTheme="majorHAnsi" w:hAnsiTheme="majorHAnsi"/>
          <w:color w:val="000000"/>
          <w:sz w:val="20"/>
          <w:szCs w:val="20"/>
          <w:lang w:val="es-ES"/>
        </w:rPr>
        <w:t xml:space="preserve"> afecta al análisis del cumplimiento del requisito del previo agotamiento de los recursos internos.</w:t>
      </w:r>
    </w:p>
    <w:p w:rsidR="005758BA" w:rsidRPr="005758BA" w:rsidRDefault="005758BA" w:rsidP="005758BA">
      <w:pPr>
        <w:spacing w:after="0"/>
        <w:jc w:val="both"/>
        <w:rPr>
          <w:rFonts w:asciiTheme="majorHAnsi" w:hAnsiTheme="majorHAnsi"/>
          <w:sz w:val="20"/>
          <w:szCs w:val="20"/>
          <w:lang w:val="es-AR"/>
        </w:rPr>
      </w:pPr>
    </w:p>
    <w:p w:rsidR="00666069" w:rsidRPr="005758BA" w:rsidRDefault="00FC58CE"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color w:val="000000"/>
          <w:sz w:val="20"/>
          <w:szCs w:val="20"/>
          <w:lang w:val="es-ES"/>
        </w:rPr>
        <w:t xml:space="preserve">Por último, respecto del argumento de la </w:t>
      </w:r>
      <w:r w:rsidR="007951DF" w:rsidRPr="005758BA">
        <w:rPr>
          <w:rFonts w:asciiTheme="majorHAnsi" w:hAnsiTheme="majorHAnsi"/>
          <w:color w:val="000000"/>
          <w:sz w:val="20"/>
          <w:szCs w:val="20"/>
          <w:lang w:val="es-ES"/>
        </w:rPr>
        <w:t xml:space="preserve">supuesta </w:t>
      </w:r>
      <w:r w:rsidR="009F7B16" w:rsidRPr="005758BA">
        <w:rPr>
          <w:rFonts w:asciiTheme="majorHAnsi" w:hAnsiTheme="majorHAnsi"/>
          <w:color w:val="000000"/>
          <w:sz w:val="20"/>
          <w:szCs w:val="20"/>
          <w:lang w:val="es-ES"/>
        </w:rPr>
        <w:t>“</w:t>
      </w:r>
      <w:r w:rsidRPr="005758BA">
        <w:rPr>
          <w:rFonts w:asciiTheme="majorHAnsi" w:hAnsiTheme="majorHAnsi"/>
          <w:color w:val="000000"/>
          <w:sz w:val="20"/>
          <w:szCs w:val="20"/>
          <w:lang w:val="es-ES"/>
        </w:rPr>
        <w:t>cuarta instancia</w:t>
      </w:r>
      <w:r w:rsidR="009F7B16" w:rsidRPr="005758BA">
        <w:rPr>
          <w:rFonts w:asciiTheme="majorHAnsi" w:hAnsiTheme="majorHAnsi"/>
          <w:color w:val="000000"/>
          <w:sz w:val="20"/>
          <w:szCs w:val="20"/>
          <w:lang w:val="es-ES"/>
        </w:rPr>
        <w:t>”</w:t>
      </w:r>
      <w:r w:rsidR="007951DF" w:rsidRPr="005758BA">
        <w:rPr>
          <w:rFonts w:asciiTheme="majorHAnsi" w:hAnsiTheme="majorHAnsi"/>
          <w:color w:val="000000"/>
          <w:sz w:val="20"/>
          <w:szCs w:val="20"/>
          <w:lang w:val="es-ES"/>
        </w:rPr>
        <w:t xml:space="preserve"> que operaría respecto de lo actuado por el Estado en sede interna en </w:t>
      </w:r>
      <w:r w:rsidR="00196921" w:rsidRPr="005758BA">
        <w:rPr>
          <w:rFonts w:asciiTheme="majorHAnsi" w:hAnsiTheme="majorHAnsi"/>
          <w:color w:val="000000"/>
          <w:sz w:val="20"/>
          <w:szCs w:val="20"/>
          <w:lang w:val="es-ES"/>
        </w:rPr>
        <w:t xml:space="preserve">el </w:t>
      </w:r>
      <w:r w:rsidR="007951DF" w:rsidRPr="005758BA">
        <w:rPr>
          <w:rFonts w:asciiTheme="majorHAnsi" w:hAnsiTheme="majorHAnsi"/>
          <w:color w:val="000000"/>
          <w:sz w:val="20"/>
          <w:szCs w:val="20"/>
          <w:lang w:val="es-ES"/>
        </w:rPr>
        <w:t>procedimiento administrativo</w:t>
      </w:r>
      <w:r w:rsidR="00A32377">
        <w:rPr>
          <w:rFonts w:asciiTheme="majorHAnsi" w:hAnsiTheme="majorHAnsi"/>
          <w:color w:val="000000"/>
          <w:sz w:val="20"/>
          <w:szCs w:val="20"/>
          <w:lang w:val="es-ES"/>
        </w:rPr>
        <w:t xml:space="preserve"> y </w:t>
      </w:r>
      <w:r w:rsidR="00A32377" w:rsidRPr="005758BA">
        <w:rPr>
          <w:rFonts w:asciiTheme="majorHAnsi" w:hAnsiTheme="majorHAnsi"/>
          <w:sz w:val="20"/>
          <w:szCs w:val="20"/>
          <w:lang w:val="es-AR"/>
        </w:rPr>
        <w:t>el argumento del Estado de que “la pretensión indemnizatoria de los peticionarios no puede ser objeto de estudio de la CIDH” por falta de agotamiento de una acción indemnizatoria a nivel interno</w:t>
      </w:r>
      <w:r w:rsidR="007951DF" w:rsidRPr="005758BA">
        <w:rPr>
          <w:rFonts w:asciiTheme="majorHAnsi" w:hAnsiTheme="majorHAnsi"/>
          <w:color w:val="000000"/>
          <w:sz w:val="20"/>
          <w:szCs w:val="20"/>
          <w:lang w:val="es-ES"/>
        </w:rPr>
        <w:t xml:space="preserve">, la CIDH reitera </w:t>
      </w:r>
      <w:r w:rsidR="008C05EC" w:rsidRPr="005758BA">
        <w:rPr>
          <w:rFonts w:asciiTheme="majorHAnsi" w:hAnsiTheme="majorHAnsi"/>
          <w:color w:val="000000"/>
          <w:sz w:val="20"/>
          <w:szCs w:val="20"/>
          <w:lang w:val="es-ES"/>
        </w:rPr>
        <w:t>que el recurso idóneo a agotar en el presente caso es la investigación penal</w:t>
      </w:r>
      <w:r w:rsidR="00516FF7" w:rsidRPr="005758BA">
        <w:rPr>
          <w:rFonts w:asciiTheme="majorHAnsi" w:hAnsiTheme="majorHAnsi"/>
          <w:color w:val="000000"/>
          <w:sz w:val="20"/>
          <w:szCs w:val="20"/>
          <w:lang w:val="es-ES"/>
        </w:rPr>
        <w:t xml:space="preserve"> y los demás procedimientos que hayan podido </w:t>
      </w:r>
      <w:r w:rsidR="00DE2899" w:rsidRPr="005758BA">
        <w:rPr>
          <w:rFonts w:asciiTheme="majorHAnsi" w:hAnsiTheme="majorHAnsi"/>
          <w:color w:val="000000"/>
          <w:sz w:val="20"/>
          <w:szCs w:val="20"/>
          <w:lang w:val="es-ES"/>
        </w:rPr>
        <w:t>sustanciarse</w:t>
      </w:r>
      <w:r w:rsidR="00516FF7" w:rsidRPr="005758BA">
        <w:rPr>
          <w:rFonts w:asciiTheme="majorHAnsi" w:hAnsiTheme="majorHAnsi"/>
          <w:color w:val="000000"/>
          <w:sz w:val="20"/>
          <w:szCs w:val="20"/>
          <w:lang w:val="es-ES"/>
        </w:rPr>
        <w:t xml:space="preserve"> en sede interna podrán eventualmente ser objeto de estudio de la Comisión en la medida en que en </w:t>
      </w:r>
      <w:r w:rsidR="00293010" w:rsidRPr="005758BA">
        <w:rPr>
          <w:rFonts w:asciiTheme="majorHAnsi" w:hAnsiTheme="majorHAnsi"/>
          <w:color w:val="000000"/>
          <w:sz w:val="20"/>
          <w:szCs w:val="20"/>
          <w:lang w:val="es-ES"/>
        </w:rPr>
        <w:t>su tramitación</w:t>
      </w:r>
      <w:r w:rsidR="00516FF7" w:rsidRPr="005758BA">
        <w:rPr>
          <w:rFonts w:asciiTheme="majorHAnsi" w:hAnsiTheme="majorHAnsi"/>
          <w:color w:val="000000"/>
          <w:sz w:val="20"/>
          <w:szCs w:val="20"/>
          <w:lang w:val="es-ES"/>
        </w:rPr>
        <w:t xml:space="preserve"> hayan tenido lugar vulneraciones a la Convención Americana</w:t>
      </w:r>
      <w:r w:rsidR="008C05EC" w:rsidRPr="005758BA">
        <w:rPr>
          <w:rFonts w:asciiTheme="majorHAnsi" w:hAnsiTheme="majorHAnsi"/>
          <w:color w:val="000000"/>
          <w:sz w:val="20"/>
          <w:szCs w:val="20"/>
          <w:lang w:val="es-ES"/>
        </w:rPr>
        <w:t>.</w:t>
      </w:r>
    </w:p>
    <w:p w:rsidR="005758BA" w:rsidRPr="005758BA" w:rsidRDefault="005758BA" w:rsidP="005758BA">
      <w:pPr>
        <w:spacing w:after="0"/>
        <w:jc w:val="both"/>
        <w:rPr>
          <w:rFonts w:asciiTheme="majorHAnsi" w:hAnsiTheme="majorHAnsi"/>
          <w:sz w:val="20"/>
          <w:szCs w:val="20"/>
          <w:lang w:val="es-AR"/>
        </w:rPr>
      </w:pPr>
    </w:p>
    <w:p w:rsidR="00636DC3" w:rsidRPr="005758BA" w:rsidRDefault="00666069" w:rsidP="005758BA">
      <w:pPr>
        <w:numPr>
          <w:ilvl w:val="0"/>
          <w:numId w:val="1"/>
        </w:numPr>
        <w:spacing w:after="0"/>
        <w:ind w:left="0" w:firstLine="720"/>
        <w:jc w:val="both"/>
        <w:rPr>
          <w:rFonts w:asciiTheme="majorHAnsi" w:hAnsiTheme="majorHAnsi"/>
          <w:color w:val="000000"/>
          <w:sz w:val="20"/>
          <w:szCs w:val="20"/>
          <w:lang w:val="es-ES"/>
        </w:rPr>
      </w:pPr>
      <w:r w:rsidRPr="005758BA">
        <w:rPr>
          <w:rFonts w:asciiTheme="majorHAnsi" w:hAnsiTheme="majorHAnsi"/>
          <w:color w:val="000000"/>
          <w:sz w:val="20"/>
          <w:szCs w:val="20"/>
          <w:lang w:val="es-ES"/>
        </w:rPr>
        <w:t xml:space="preserve">Sin perjuicio de </w:t>
      </w:r>
      <w:r w:rsidR="00130550" w:rsidRPr="005758BA">
        <w:rPr>
          <w:rFonts w:asciiTheme="majorHAnsi" w:hAnsiTheme="majorHAnsi"/>
          <w:color w:val="000000"/>
          <w:sz w:val="20"/>
          <w:szCs w:val="20"/>
          <w:lang w:val="es-ES"/>
        </w:rPr>
        <w:t>todo lo anterior</w:t>
      </w:r>
      <w:r w:rsidRPr="005758BA">
        <w:rPr>
          <w:rFonts w:asciiTheme="majorHAnsi" w:hAnsiTheme="majorHAnsi"/>
          <w:color w:val="000000"/>
          <w:sz w:val="20"/>
          <w:szCs w:val="20"/>
          <w:lang w:val="es-ES"/>
        </w:rPr>
        <w:t xml:space="preserve">, cabe destacar que </w:t>
      </w:r>
      <w:r w:rsidR="00024781" w:rsidRPr="005758BA">
        <w:rPr>
          <w:rFonts w:asciiTheme="majorHAnsi" w:hAnsiTheme="majorHAnsi" w:cs="Calibri"/>
          <w:snapToGrid w:val="0"/>
          <w:sz w:val="20"/>
          <w:szCs w:val="20"/>
          <w:lang w:val="es-AR"/>
        </w:rPr>
        <w:t xml:space="preserve">hasta la fecha han transcurrido más de 25 años desde que ocurrieron los hechos, sin que las autoridades competentes </w:t>
      </w:r>
      <w:r w:rsidR="00293010" w:rsidRPr="005758BA">
        <w:rPr>
          <w:rFonts w:asciiTheme="majorHAnsi" w:hAnsiTheme="majorHAnsi" w:cs="Calibri"/>
          <w:snapToGrid w:val="0"/>
          <w:sz w:val="20"/>
          <w:szCs w:val="20"/>
          <w:lang w:val="es-AR"/>
        </w:rPr>
        <w:t>hayan</w:t>
      </w:r>
      <w:r w:rsidR="00024781" w:rsidRPr="005758BA">
        <w:rPr>
          <w:rFonts w:asciiTheme="majorHAnsi" w:hAnsiTheme="majorHAnsi" w:cs="Calibri"/>
          <w:snapToGrid w:val="0"/>
          <w:sz w:val="20"/>
          <w:szCs w:val="20"/>
          <w:lang w:val="es-AR"/>
        </w:rPr>
        <w:t xml:space="preserve"> determinado el paradero de la presunta víc</w:t>
      </w:r>
      <w:r w:rsidR="00B077A7" w:rsidRPr="005758BA">
        <w:rPr>
          <w:rFonts w:asciiTheme="majorHAnsi" w:hAnsiTheme="majorHAnsi" w:cs="Calibri"/>
          <w:snapToGrid w:val="0"/>
          <w:sz w:val="20"/>
          <w:szCs w:val="20"/>
          <w:lang w:val="es-AR"/>
        </w:rPr>
        <w:t>tima o el destino de sus restos,</w:t>
      </w:r>
      <w:r w:rsidR="00024781" w:rsidRPr="005758BA">
        <w:rPr>
          <w:rFonts w:asciiTheme="majorHAnsi" w:hAnsiTheme="majorHAnsi" w:cs="Calibri"/>
          <w:snapToGrid w:val="0"/>
          <w:sz w:val="20"/>
          <w:szCs w:val="20"/>
          <w:lang w:val="es-AR"/>
        </w:rPr>
        <w:t xml:space="preserve"> y sin haber esclarecido las respectivas responsabilidades.</w:t>
      </w:r>
      <w:r w:rsidR="000D0F5B" w:rsidRPr="005758BA">
        <w:rPr>
          <w:rFonts w:asciiTheme="majorHAnsi" w:hAnsiTheme="majorHAnsi" w:cs="Calibri"/>
          <w:snapToGrid w:val="0"/>
          <w:sz w:val="20"/>
          <w:szCs w:val="20"/>
          <w:lang w:val="es-AR"/>
        </w:rPr>
        <w:t xml:space="preserve"> </w:t>
      </w:r>
      <w:r w:rsidR="00516FF7" w:rsidRPr="005758BA">
        <w:rPr>
          <w:rFonts w:asciiTheme="majorHAnsi" w:hAnsiTheme="majorHAnsi" w:cs="Calibri"/>
          <w:snapToGrid w:val="0"/>
          <w:sz w:val="20"/>
          <w:szCs w:val="20"/>
          <w:lang w:val="es-AR"/>
        </w:rPr>
        <w:t xml:space="preserve">A dicha situación se llegó luego del archivo de la </w:t>
      </w:r>
      <w:r w:rsidR="00293010" w:rsidRPr="005758BA">
        <w:rPr>
          <w:rFonts w:asciiTheme="majorHAnsi" w:hAnsiTheme="majorHAnsi" w:cs="Calibri"/>
          <w:snapToGrid w:val="0"/>
          <w:sz w:val="20"/>
          <w:szCs w:val="20"/>
          <w:lang w:val="es-AR"/>
        </w:rPr>
        <w:t>investigación penal</w:t>
      </w:r>
      <w:r w:rsidR="00516FF7" w:rsidRPr="005758BA">
        <w:rPr>
          <w:rFonts w:asciiTheme="majorHAnsi" w:hAnsiTheme="majorHAnsi" w:cs="Calibri"/>
          <w:snapToGrid w:val="0"/>
          <w:sz w:val="20"/>
          <w:szCs w:val="20"/>
          <w:lang w:val="es-AR"/>
        </w:rPr>
        <w:t xml:space="preserve"> en 1992, momento a partir de cual no existió actividad jurisdiccional alguna, hasta que 17 años más tarde, en 2009 la investigación fue reabierta. </w:t>
      </w:r>
      <w:r w:rsidR="006F2603" w:rsidRPr="005A64B4">
        <w:rPr>
          <w:rFonts w:asciiTheme="majorHAnsi" w:hAnsiTheme="majorHAnsi" w:cs="Calibri"/>
          <w:snapToGrid w:val="0"/>
          <w:sz w:val="20"/>
          <w:szCs w:val="20"/>
          <w:lang w:val="es-AR"/>
        </w:rPr>
        <w:t>En este sentido, si bien l</w:t>
      </w:r>
      <w:r w:rsidR="00B47D46" w:rsidRPr="005A64B4">
        <w:rPr>
          <w:rFonts w:asciiTheme="majorHAnsi" w:hAnsiTheme="majorHAnsi" w:cs="Calibri"/>
          <w:snapToGrid w:val="0"/>
          <w:sz w:val="20"/>
          <w:szCs w:val="20"/>
          <w:lang w:val="es-AR"/>
        </w:rPr>
        <w:t>a CIDH valora el hecho de que se haya decidido reabrir la investigaci</w:t>
      </w:r>
      <w:r w:rsidR="006F2603" w:rsidRPr="005A64B4">
        <w:rPr>
          <w:rFonts w:asciiTheme="majorHAnsi" w:hAnsiTheme="majorHAnsi" w:cs="Calibri"/>
          <w:snapToGrid w:val="0"/>
          <w:sz w:val="20"/>
          <w:szCs w:val="20"/>
          <w:lang w:val="es-AR"/>
        </w:rPr>
        <w:t>ón en sede interna,</w:t>
      </w:r>
      <w:r w:rsidR="00516FF7" w:rsidRPr="005A64B4">
        <w:rPr>
          <w:rFonts w:asciiTheme="majorHAnsi" w:hAnsiTheme="majorHAnsi" w:cs="Calibri"/>
          <w:snapToGrid w:val="0"/>
          <w:sz w:val="20"/>
          <w:szCs w:val="20"/>
          <w:lang w:val="es-AR"/>
        </w:rPr>
        <w:t xml:space="preserve"> el Estado no ha aportado </w:t>
      </w:r>
      <w:r w:rsidR="002E2213" w:rsidRPr="005A64B4">
        <w:rPr>
          <w:rFonts w:asciiTheme="majorHAnsi" w:hAnsiTheme="majorHAnsi" w:cs="Calibri"/>
          <w:snapToGrid w:val="0"/>
          <w:sz w:val="20"/>
          <w:szCs w:val="20"/>
          <w:lang w:val="es-AR"/>
        </w:rPr>
        <w:t>información</w:t>
      </w:r>
      <w:r w:rsidR="00516FF7" w:rsidRPr="005A64B4">
        <w:rPr>
          <w:rFonts w:asciiTheme="majorHAnsi" w:hAnsiTheme="majorHAnsi" w:cs="Calibri"/>
          <w:snapToGrid w:val="0"/>
          <w:sz w:val="20"/>
          <w:szCs w:val="20"/>
          <w:lang w:val="es-AR"/>
        </w:rPr>
        <w:t xml:space="preserve"> que demuestre </w:t>
      </w:r>
      <w:r w:rsidR="002E2213" w:rsidRPr="005A64B4">
        <w:rPr>
          <w:rFonts w:asciiTheme="majorHAnsi" w:hAnsiTheme="majorHAnsi" w:cs="Calibri"/>
          <w:snapToGrid w:val="0"/>
          <w:sz w:val="20"/>
          <w:szCs w:val="20"/>
          <w:lang w:val="es-AR"/>
        </w:rPr>
        <w:t xml:space="preserve">la existencia de </w:t>
      </w:r>
      <w:r w:rsidR="00516FF7" w:rsidRPr="005A64B4">
        <w:rPr>
          <w:rFonts w:asciiTheme="majorHAnsi" w:hAnsiTheme="majorHAnsi" w:cs="Calibri"/>
          <w:snapToGrid w:val="0"/>
          <w:sz w:val="20"/>
          <w:szCs w:val="20"/>
          <w:lang w:val="es-AR"/>
        </w:rPr>
        <w:t>avance significativo alguno</w:t>
      </w:r>
      <w:r w:rsidR="002E2213" w:rsidRPr="005A64B4">
        <w:rPr>
          <w:rFonts w:asciiTheme="majorHAnsi" w:hAnsiTheme="majorHAnsi" w:cs="Calibri"/>
          <w:snapToGrid w:val="0"/>
          <w:sz w:val="20"/>
          <w:szCs w:val="20"/>
          <w:lang w:val="es-AR"/>
        </w:rPr>
        <w:t>,</w:t>
      </w:r>
      <w:r w:rsidR="006F2603" w:rsidRPr="005A64B4">
        <w:rPr>
          <w:rFonts w:asciiTheme="majorHAnsi" w:hAnsiTheme="majorHAnsi" w:cs="Calibri"/>
          <w:snapToGrid w:val="0"/>
          <w:sz w:val="20"/>
          <w:szCs w:val="20"/>
          <w:lang w:val="es-AR"/>
        </w:rPr>
        <w:t xml:space="preserve"> </w:t>
      </w:r>
      <w:r w:rsidR="002E2213" w:rsidRPr="005A64B4">
        <w:rPr>
          <w:rFonts w:asciiTheme="majorHAnsi" w:hAnsiTheme="majorHAnsi" w:cs="Calibri"/>
          <w:snapToGrid w:val="0"/>
          <w:sz w:val="20"/>
          <w:szCs w:val="20"/>
          <w:lang w:val="es-AR"/>
        </w:rPr>
        <w:t xml:space="preserve">aun </w:t>
      </w:r>
      <w:r w:rsidR="006F2603" w:rsidRPr="005A64B4">
        <w:rPr>
          <w:rFonts w:asciiTheme="majorHAnsi" w:hAnsiTheme="majorHAnsi" w:cs="Calibri"/>
          <w:snapToGrid w:val="0"/>
          <w:sz w:val="20"/>
          <w:szCs w:val="20"/>
          <w:lang w:val="es-AR"/>
        </w:rPr>
        <w:t>habiendo trascurrido más de 5 años desde dicha reapertura</w:t>
      </w:r>
      <w:r w:rsidR="00516FF7" w:rsidRPr="005A64B4">
        <w:rPr>
          <w:rFonts w:asciiTheme="majorHAnsi" w:hAnsiTheme="majorHAnsi" w:cs="Calibri"/>
          <w:snapToGrid w:val="0"/>
          <w:sz w:val="20"/>
          <w:szCs w:val="20"/>
          <w:lang w:val="es-AR"/>
        </w:rPr>
        <w:t>.</w:t>
      </w:r>
      <w:r w:rsidR="00516FF7" w:rsidRPr="005758BA">
        <w:rPr>
          <w:rFonts w:asciiTheme="majorHAnsi" w:hAnsiTheme="majorHAnsi" w:cs="Calibri"/>
          <w:snapToGrid w:val="0"/>
          <w:sz w:val="20"/>
          <w:szCs w:val="20"/>
          <w:lang w:val="es-AR"/>
        </w:rPr>
        <w:t xml:space="preserve"> Por lo tanto, la Comisión entiende</w:t>
      </w:r>
      <w:r w:rsidR="00B077A7" w:rsidRPr="005758BA">
        <w:rPr>
          <w:rFonts w:asciiTheme="majorHAnsi" w:hAnsiTheme="majorHAnsi" w:cs="Calibri"/>
          <w:snapToGrid w:val="0"/>
          <w:sz w:val="20"/>
          <w:szCs w:val="20"/>
          <w:lang w:val="es-AR"/>
        </w:rPr>
        <w:t xml:space="preserve"> </w:t>
      </w:r>
      <w:r w:rsidR="00B077A7" w:rsidRPr="005758BA">
        <w:rPr>
          <w:rFonts w:asciiTheme="majorHAnsi" w:hAnsiTheme="majorHAnsi" w:cs="Calibri"/>
          <w:snapToGrid w:val="0"/>
          <w:sz w:val="20"/>
          <w:szCs w:val="20"/>
          <w:lang w:val="es-AR"/>
        </w:rPr>
        <w:lastRenderedPageBreak/>
        <w:t>que t</w:t>
      </w:r>
      <w:r w:rsidR="000D0F5B" w:rsidRPr="005758BA">
        <w:rPr>
          <w:rFonts w:asciiTheme="majorHAnsi" w:hAnsiTheme="majorHAnsi" w:cs="Calibri"/>
          <w:snapToGrid w:val="0"/>
          <w:sz w:val="20"/>
          <w:szCs w:val="20"/>
          <w:lang w:val="es-AR"/>
        </w:rPr>
        <w:t xml:space="preserve">al circunstancia </w:t>
      </w:r>
      <w:r w:rsidR="000D0F5B" w:rsidRPr="005758BA">
        <w:rPr>
          <w:rFonts w:asciiTheme="majorHAnsi" w:hAnsiTheme="majorHAnsi"/>
          <w:sz w:val="20"/>
          <w:szCs w:val="20"/>
          <w:lang w:val="es-AR"/>
        </w:rPr>
        <w:t xml:space="preserve">habilita </w:t>
      </w:r>
      <w:r w:rsidR="000D0F5B" w:rsidRPr="005758BA">
        <w:rPr>
          <w:rFonts w:asciiTheme="majorHAnsi" w:hAnsiTheme="majorHAnsi"/>
          <w:color w:val="000000"/>
          <w:sz w:val="20"/>
          <w:szCs w:val="20"/>
          <w:lang w:val="es-AR"/>
        </w:rPr>
        <w:t>la excepción a la regla del previo agotamiento de los recursos internos por retardo injustificado prevista en el artículo 46.2.c de la Convención Americana. En virtud de ello, el requisito de agotamiento de recursos internos no resulta exigible para esta petición.</w:t>
      </w:r>
      <w:r w:rsidR="00AB7CC9" w:rsidRPr="005758BA">
        <w:rPr>
          <w:rFonts w:asciiTheme="majorHAnsi" w:hAnsiTheme="majorHAnsi"/>
          <w:color w:val="000000"/>
          <w:sz w:val="20"/>
          <w:szCs w:val="20"/>
          <w:lang w:val="es-AR"/>
        </w:rPr>
        <w:t xml:space="preserve"> </w:t>
      </w:r>
      <w:r w:rsidR="00AB7CC9" w:rsidRPr="005758BA">
        <w:rPr>
          <w:rFonts w:asciiTheme="majorHAnsi" w:hAnsiTheme="majorHAnsi"/>
          <w:sz w:val="20"/>
          <w:szCs w:val="20"/>
          <w:lang w:val="es-ES"/>
        </w:rPr>
        <w:t xml:space="preserve">  </w:t>
      </w:r>
    </w:p>
    <w:p w:rsidR="005758BA" w:rsidRPr="005758BA" w:rsidRDefault="005758BA" w:rsidP="005758BA">
      <w:pPr>
        <w:spacing w:after="0"/>
        <w:jc w:val="both"/>
        <w:rPr>
          <w:rFonts w:asciiTheme="majorHAnsi" w:hAnsiTheme="majorHAnsi"/>
          <w:color w:val="000000"/>
          <w:sz w:val="20"/>
          <w:szCs w:val="20"/>
          <w:lang w:val="es-ES"/>
        </w:rPr>
      </w:pPr>
    </w:p>
    <w:p w:rsidR="005758BA" w:rsidRDefault="006C11B0" w:rsidP="005758BA">
      <w:pPr>
        <w:pStyle w:val="ListParagraph"/>
        <w:numPr>
          <w:ilvl w:val="0"/>
          <w:numId w:val="9"/>
        </w:numPr>
        <w:spacing w:after="0"/>
        <w:jc w:val="both"/>
        <w:outlineLvl w:val="2"/>
        <w:rPr>
          <w:rFonts w:asciiTheme="majorHAnsi" w:hAnsiTheme="majorHAnsi"/>
          <w:b/>
          <w:sz w:val="20"/>
          <w:szCs w:val="20"/>
          <w:lang w:val="es-AR"/>
        </w:rPr>
      </w:pPr>
      <w:r w:rsidRPr="005758BA">
        <w:rPr>
          <w:rFonts w:asciiTheme="majorHAnsi" w:hAnsiTheme="majorHAnsi"/>
          <w:b/>
          <w:sz w:val="20"/>
          <w:szCs w:val="20"/>
          <w:lang w:val="es-AR"/>
        </w:rPr>
        <w:t xml:space="preserve">Plazo de presentación de la petición </w:t>
      </w:r>
    </w:p>
    <w:p w:rsidR="005758BA" w:rsidRPr="005758BA" w:rsidRDefault="005758BA" w:rsidP="005758BA">
      <w:pPr>
        <w:spacing w:after="0"/>
        <w:jc w:val="both"/>
        <w:rPr>
          <w:rFonts w:asciiTheme="majorHAnsi" w:hAnsiTheme="majorHAnsi"/>
          <w:b/>
          <w:sz w:val="20"/>
          <w:szCs w:val="20"/>
          <w:lang w:val="es-AR"/>
        </w:rPr>
      </w:pPr>
    </w:p>
    <w:p w:rsidR="00FA36E4" w:rsidRDefault="006C11B0"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La Convención Americana establece que para que una petición resulte admisible por la Comisión se requerirá que sea presentada dentro del plazo de seis meses a partir de la fecha en que </w:t>
      </w:r>
      <w:r w:rsidR="000362F6" w:rsidRPr="005758BA">
        <w:rPr>
          <w:rFonts w:asciiTheme="majorHAnsi" w:hAnsiTheme="majorHAnsi"/>
          <w:sz w:val="20"/>
          <w:szCs w:val="20"/>
          <w:lang w:val="es-AR"/>
        </w:rPr>
        <w:t>la persona presuntamente</w:t>
      </w:r>
      <w:r w:rsidRPr="005758BA">
        <w:rPr>
          <w:rFonts w:asciiTheme="majorHAnsi" w:hAnsiTheme="majorHAnsi"/>
          <w:sz w:val="20"/>
          <w:szCs w:val="20"/>
          <w:lang w:val="es-AR"/>
        </w:rPr>
        <w:t xml:space="preserve"> lesionad</w:t>
      </w:r>
      <w:r w:rsidR="000362F6" w:rsidRPr="005758BA">
        <w:rPr>
          <w:rFonts w:asciiTheme="majorHAnsi" w:hAnsiTheme="majorHAnsi"/>
          <w:sz w:val="20"/>
          <w:szCs w:val="20"/>
          <w:lang w:val="es-AR"/>
        </w:rPr>
        <w:t>a haya sido notificada</w:t>
      </w:r>
      <w:r w:rsidRPr="005758BA">
        <w:rPr>
          <w:rFonts w:asciiTheme="majorHAnsi" w:hAnsiTheme="majorHAnsi"/>
          <w:sz w:val="20"/>
          <w:szCs w:val="20"/>
          <w:lang w:val="es-AR"/>
        </w:rPr>
        <w:t xml:space="preserve"> de la decisión definitiva</w:t>
      </w:r>
      <w:r w:rsidR="00E15A14" w:rsidRPr="005758BA">
        <w:rPr>
          <w:rFonts w:asciiTheme="majorHAnsi" w:hAnsiTheme="majorHAnsi"/>
          <w:sz w:val="20"/>
          <w:szCs w:val="20"/>
          <w:lang w:val="es-AR"/>
        </w:rPr>
        <w:t xml:space="preserve"> que pone fin a la tramitación de los recursos internos</w:t>
      </w:r>
      <w:r w:rsidRPr="005758BA">
        <w:rPr>
          <w:rFonts w:asciiTheme="majorHAnsi" w:hAnsiTheme="majorHAnsi"/>
          <w:sz w:val="20"/>
          <w:szCs w:val="20"/>
          <w:lang w:val="es-AR"/>
        </w:rPr>
        <w:t>.</w:t>
      </w:r>
      <w:r w:rsidR="006A2FCA" w:rsidRPr="005758BA">
        <w:rPr>
          <w:rFonts w:asciiTheme="majorHAnsi" w:hAnsiTheme="majorHAnsi"/>
          <w:sz w:val="20"/>
          <w:szCs w:val="20"/>
          <w:lang w:val="es-AR"/>
        </w:rPr>
        <w:t xml:space="preserve"> </w:t>
      </w:r>
    </w:p>
    <w:p w:rsidR="005758BA" w:rsidRPr="005758BA" w:rsidRDefault="005758BA" w:rsidP="005758BA">
      <w:pPr>
        <w:spacing w:after="0"/>
        <w:jc w:val="both"/>
        <w:rPr>
          <w:rFonts w:asciiTheme="majorHAnsi" w:hAnsiTheme="majorHAnsi"/>
          <w:sz w:val="20"/>
          <w:szCs w:val="20"/>
          <w:lang w:val="es-AR"/>
        </w:rPr>
      </w:pPr>
    </w:p>
    <w:p w:rsidR="000362F6" w:rsidRDefault="006A2FCA"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En el </w:t>
      </w:r>
      <w:r w:rsidR="000362F6" w:rsidRPr="005758BA">
        <w:rPr>
          <w:rFonts w:asciiTheme="majorHAnsi" w:hAnsiTheme="majorHAnsi"/>
          <w:sz w:val="20"/>
          <w:szCs w:val="20"/>
          <w:lang w:val="es-AR"/>
        </w:rPr>
        <w:t>caso</w:t>
      </w:r>
      <w:r w:rsidRPr="005758BA">
        <w:rPr>
          <w:rFonts w:asciiTheme="majorHAnsi" w:hAnsiTheme="majorHAnsi"/>
          <w:sz w:val="20"/>
          <w:szCs w:val="20"/>
          <w:lang w:val="es-AR"/>
        </w:rPr>
        <w:t xml:space="preserve"> bajo análisis, la CIDH ha establecido la aplicación de la </w:t>
      </w:r>
      <w:r w:rsidR="000362F6" w:rsidRPr="005758BA">
        <w:rPr>
          <w:rFonts w:asciiTheme="majorHAnsi" w:hAnsiTheme="majorHAnsi"/>
          <w:sz w:val="20"/>
          <w:szCs w:val="20"/>
          <w:lang w:val="es-AR"/>
        </w:rPr>
        <w:t>excepción</w:t>
      </w:r>
      <w:r w:rsidRPr="005758BA">
        <w:rPr>
          <w:rFonts w:asciiTheme="majorHAnsi" w:hAnsiTheme="majorHAnsi"/>
          <w:sz w:val="20"/>
          <w:szCs w:val="20"/>
          <w:lang w:val="es-AR"/>
        </w:rPr>
        <w:t xml:space="preserve"> al agotamiento de los recursos internos </w:t>
      </w:r>
      <w:r w:rsidR="000362F6" w:rsidRPr="005758BA">
        <w:rPr>
          <w:rFonts w:asciiTheme="majorHAnsi" w:hAnsiTheme="majorHAnsi"/>
          <w:sz w:val="20"/>
          <w:szCs w:val="20"/>
          <w:lang w:val="es-AR"/>
        </w:rPr>
        <w:t xml:space="preserve">prevista en el artículo </w:t>
      </w:r>
      <w:r w:rsidRPr="005758BA">
        <w:rPr>
          <w:rFonts w:asciiTheme="majorHAnsi" w:hAnsiTheme="majorHAnsi"/>
          <w:sz w:val="20"/>
          <w:szCs w:val="20"/>
          <w:lang w:val="es-AR"/>
        </w:rPr>
        <w:t xml:space="preserve">46.2.c de la Convención Americana. En tales casos, </w:t>
      </w:r>
      <w:r w:rsidR="000362F6" w:rsidRPr="005758BA">
        <w:rPr>
          <w:rFonts w:asciiTheme="majorHAnsi" w:hAnsiTheme="majorHAnsi"/>
          <w:sz w:val="20"/>
          <w:szCs w:val="20"/>
          <w:lang w:val="es-AR"/>
        </w:rPr>
        <w:t xml:space="preserve">y de conformidad con el artículo 32.2 de su Reglamento, </w:t>
      </w:r>
      <w:r w:rsidRPr="005758BA">
        <w:rPr>
          <w:rFonts w:asciiTheme="majorHAnsi" w:hAnsiTheme="majorHAnsi"/>
          <w:sz w:val="20"/>
          <w:szCs w:val="20"/>
          <w:lang w:val="es-AR"/>
        </w:rPr>
        <w:t xml:space="preserve">la Comisión debe determinar si la petición fue presentada en un tiempo razonable. </w:t>
      </w:r>
      <w:r w:rsidR="000362F6" w:rsidRPr="005758BA">
        <w:rPr>
          <w:rFonts w:asciiTheme="majorHAnsi" w:hAnsiTheme="majorHAnsi"/>
          <w:sz w:val="20"/>
          <w:szCs w:val="20"/>
          <w:lang w:val="es-AR"/>
        </w:rPr>
        <w:t>Concretamente, l</w:t>
      </w:r>
      <w:r w:rsidR="001156E0" w:rsidRPr="005758BA">
        <w:rPr>
          <w:rFonts w:asciiTheme="majorHAnsi" w:hAnsiTheme="majorHAnsi"/>
          <w:sz w:val="20"/>
          <w:szCs w:val="20"/>
          <w:lang w:val="es-AR"/>
        </w:rPr>
        <w:t xml:space="preserve">a petición </w:t>
      </w:r>
      <w:r w:rsidR="000362F6" w:rsidRPr="005758BA">
        <w:rPr>
          <w:rFonts w:asciiTheme="majorHAnsi" w:hAnsiTheme="majorHAnsi"/>
          <w:sz w:val="20"/>
          <w:szCs w:val="20"/>
          <w:lang w:val="es-AR"/>
        </w:rPr>
        <w:t xml:space="preserve">original que dio origen al presente caso </w:t>
      </w:r>
      <w:r w:rsidR="001156E0" w:rsidRPr="005758BA">
        <w:rPr>
          <w:rFonts w:asciiTheme="majorHAnsi" w:hAnsiTheme="majorHAnsi"/>
          <w:sz w:val="20"/>
          <w:szCs w:val="20"/>
          <w:lang w:val="es-AR"/>
        </w:rPr>
        <w:t>fue recibida por la CIDH el día 2 de marzo de 1990</w:t>
      </w:r>
      <w:r w:rsidR="00E03B54" w:rsidRPr="005758BA">
        <w:rPr>
          <w:rFonts w:asciiTheme="majorHAnsi" w:hAnsiTheme="majorHAnsi"/>
          <w:sz w:val="20"/>
          <w:szCs w:val="20"/>
          <w:lang w:val="es-AR"/>
        </w:rPr>
        <w:t xml:space="preserve">, a pocos días de ocurridos los hechos </w:t>
      </w:r>
      <w:r w:rsidR="000362F6" w:rsidRPr="005758BA">
        <w:rPr>
          <w:rFonts w:asciiTheme="majorHAnsi" w:hAnsiTheme="majorHAnsi"/>
          <w:sz w:val="20"/>
          <w:szCs w:val="20"/>
          <w:lang w:val="es-AR"/>
        </w:rPr>
        <w:t>bajo estudio</w:t>
      </w:r>
      <w:r w:rsidR="00E03B54" w:rsidRPr="005758BA">
        <w:rPr>
          <w:rFonts w:asciiTheme="majorHAnsi" w:hAnsiTheme="majorHAnsi"/>
          <w:sz w:val="20"/>
          <w:szCs w:val="20"/>
          <w:lang w:val="es-AR"/>
        </w:rPr>
        <w:t xml:space="preserve">. </w:t>
      </w:r>
    </w:p>
    <w:p w:rsidR="005758BA" w:rsidRPr="005758BA" w:rsidRDefault="005758BA" w:rsidP="005758BA">
      <w:pPr>
        <w:spacing w:after="0"/>
        <w:jc w:val="both"/>
        <w:rPr>
          <w:rFonts w:asciiTheme="majorHAnsi" w:hAnsiTheme="majorHAnsi"/>
          <w:sz w:val="20"/>
          <w:szCs w:val="20"/>
          <w:lang w:val="es-AR"/>
        </w:rPr>
      </w:pPr>
    </w:p>
    <w:p w:rsidR="009D01FC" w:rsidRDefault="009D01FC"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En atención a las consideraciones anteriores la Comisión concluye que la presente petición es admisible en los términos del </w:t>
      </w:r>
      <w:r w:rsidR="000D7EE0" w:rsidRPr="005758BA">
        <w:rPr>
          <w:rFonts w:asciiTheme="majorHAnsi" w:hAnsiTheme="majorHAnsi"/>
          <w:sz w:val="20"/>
          <w:szCs w:val="20"/>
          <w:lang w:val="es-AR"/>
        </w:rPr>
        <w:t>artículo 46.1.</w:t>
      </w:r>
      <w:r w:rsidRPr="005758BA">
        <w:rPr>
          <w:rFonts w:asciiTheme="majorHAnsi" w:hAnsiTheme="majorHAnsi"/>
          <w:sz w:val="20"/>
          <w:szCs w:val="20"/>
          <w:lang w:val="es-AR"/>
        </w:rPr>
        <w:t>b de la Convención Americana.</w:t>
      </w:r>
    </w:p>
    <w:p w:rsidR="005758BA" w:rsidRPr="005758BA" w:rsidRDefault="005758BA" w:rsidP="005758BA">
      <w:pPr>
        <w:spacing w:after="0"/>
        <w:jc w:val="both"/>
        <w:rPr>
          <w:rFonts w:asciiTheme="majorHAnsi" w:hAnsiTheme="majorHAnsi"/>
          <w:sz w:val="20"/>
          <w:szCs w:val="20"/>
          <w:lang w:val="es-AR"/>
        </w:rPr>
      </w:pPr>
    </w:p>
    <w:p w:rsidR="00EE50AA" w:rsidRPr="005758BA" w:rsidRDefault="00EE50AA" w:rsidP="005758BA">
      <w:pPr>
        <w:pStyle w:val="ListParagraph"/>
        <w:numPr>
          <w:ilvl w:val="0"/>
          <w:numId w:val="9"/>
        </w:numPr>
        <w:spacing w:after="0"/>
        <w:jc w:val="both"/>
        <w:outlineLvl w:val="2"/>
        <w:rPr>
          <w:rFonts w:asciiTheme="majorHAnsi" w:hAnsiTheme="majorHAnsi"/>
          <w:b/>
          <w:sz w:val="20"/>
          <w:szCs w:val="20"/>
          <w:lang w:val="es-AR"/>
        </w:rPr>
      </w:pPr>
      <w:r w:rsidRPr="005758BA">
        <w:rPr>
          <w:rFonts w:asciiTheme="majorHAnsi" w:hAnsiTheme="majorHAnsi"/>
          <w:b/>
          <w:sz w:val="20"/>
          <w:szCs w:val="20"/>
          <w:lang w:val="es-AR"/>
        </w:rPr>
        <w:t xml:space="preserve">Duplicación de procedimientos y cosa juzgada internacional </w:t>
      </w:r>
    </w:p>
    <w:p w:rsidR="005758BA" w:rsidRPr="005758BA" w:rsidRDefault="005758BA" w:rsidP="005758BA">
      <w:pPr>
        <w:spacing w:after="0"/>
        <w:jc w:val="both"/>
        <w:rPr>
          <w:rFonts w:asciiTheme="majorHAnsi" w:hAnsiTheme="majorHAnsi"/>
          <w:b/>
          <w:sz w:val="20"/>
          <w:szCs w:val="20"/>
          <w:lang w:val="es-AR"/>
        </w:rPr>
      </w:pPr>
    </w:p>
    <w:p w:rsidR="00EE50AA" w:rsidRDefault="00EE50AA"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 </w:t>
      </w:r>
    </w:p>
    <w:p w:rsidR="005758BA" w:rsidRPr="005758BA" w:rsidRDefault="005758BA" w:rsidP="005758BA">
      <w:pPr>
        <w:spacing w:after="0"/>
        <w:jc w:val="both"/>
        <w:rPr>
          <w:rFonts w:asciiTheme="majorHAnsi" w:hAnsiTheme="majorHAnsi"/>
          <w:sz w:val="20"/>
          <w:szCs w:val="20"/>
          <w:lang w:val="es-AR"/>
        </w:rPr>
      </w:pPr>
    </w:p>
    <w:p w:rsidR="00EE50AA" w:rsidRPr="005758BA" w:rsidRDefault="00EE50AA" w:rsidP="005758BA">
      <w:pPr>
        <w:pStyle w:val="ListParagraph"/>
        <w:numPr>
          <w:ilvl w:val="0"/>
          <w:numId w:val="9"/>
        </w:numPr>
        <w:spacing w:after="0"/>
        <w:jc w:val="both"/>
        <w:outlineLvl w:val="2"/>
        <w:rPr>
          <w:rFonts w:asciiTheme="majorHAnsi" w:hAnsiTheme="majorHAnsi"/>
          <w:b/>
          <w:sz w:val="20"/>
          <w:szCs w:val="20"/>
          <w:lang w:val="es-AR"/>
        </w:rPr>
      </w:pPr>
      <w:r w:rsidRPr="005758BA">
        <w:rPr>
          <w:rFonts w:asciiTheme="majorHAnsi" w:hAnsiTheme="majorHAnsi"/>
          <w:b/>
          <w:sz w:val="20"/>
          <w:szCs w:val="20"/>
          <w:lang w:val="es-AR"/>
        </w:rPr>
        <w:t xml:space="preserve">Caracterización de los hechos alegados </w:t>
      </w:r>
    </w:p>
    <w:p w:rsidR="005758BA" w:rsidRPr="005758BA" w:rsidRDefault="005758BA" w:rsidP="005758BA">
      <w:pPr>
        <w:spacing w:after="0"/>
        <w:jc w:val="both"/>
        <w:rPr>
          <w:rFonts w:asciiTheme="majorHAnsi" w:hAnsiTheme="majorHAnsi"/>
          <w:b/>
          <w:sz w:val="20"/>
          <w:szCs w:val="20"/>
          <w:lang w:val="es-AR"/>
        </w:rPr>
      </w:pPr>
    </w:p>
    <w:p w:rsidR="006F487B" w:rsidRPr="005758BA" w:rsidRDefault="00EE50AA"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En vista de los elementos de hecho y de derecho presentados por las partes y la naturaleza del asunto puesto bajo su conocimiento, la CIDH considera que los alegatos de los peticionarios</w:t>
      </w:r>
      <w:r w:rsidR="00194E0D" w:rsidRPr="005758BA">
        <w:rPr>
          <w:rFonts w:asciiTheme="majorHAnsi" w:hAnsiTheme="majorHAnsi"/>
          <w:sz w:val="20"/>
          <w:szCs w:val="20"/>
          <w:lang w:val="es-AR"/>
        </w:rPr>
        <w:t xml:space="preserve">, de corroborarse, podrían </w:t>
      </w:r>
      <w:r w:rsidR="000362F6" w:rsidRPr="005758BA">
        <w:rPr>
          <w:rFonts w:asciiTheme="majorHAnsi" w:hAnsiTheme="majorHAnsi"/>
          <w:sz w:val="20"/>
          <w:szCs w:val="20"/>
          <w:lang w:val="es-AR"/>
        </w:rPr>
        <w:t>acarrear</w:t>
      </w:r>
      <w:r w:rsidR="00194E0D" w:rsidRPr="005758BA">
        <w:rPr>
          <w:rFonts w:asciiTheme="majorHAnsi" w:hAnsiTheme="majorHAnsi"/>
          <w:sz w:val="20"/>
          <w:szCs w:val="20"/>
          <w:lang w:val="es-AR"/>
        </w:rPr>
        <w:t xml:space="preserve"> </w:t>
      </w:r>
      <w:r w:rsidRPr="005758BA">
        <w:rPr>
          <w:rFonts w:asciiTheme="majorHAnsi" w:hAnsiTheme="majorHAnsi"/>
          <w:sz w:val="20"/>
          <w:szCs w:val="20"/>
          <w:lang w:val="es-AR"/>
        </w:rPr>
        <w:t xml:space="preserve">la responsabilidad </w:t>
      </w:r>
      <w:r w:rsidR="00194E0D" w:rsidRPr="005758BA">
        <w:rPr>
          <w:rFonts w:asciiTheme="majorHAnsi" w:hAnsiTheme="majorHAnsi"/>
          <w:sz w:val="20"/>
          <w:szCs w:val="20"/>
          <w:lang w:val="es-AR"/>
        </w:rPr>
        <w:t xml:space="preserve">internacional del Estado </w:t>
      </w:r>
      <w:r w:rsidR="000362F6" w:rsidRPr="005758BA">
        <w:rPr>
          <w:rFonts w:asciiTheme="majorHAnsi" w:hAnsiTheme="majorHAnsi"/>
          <w:sz w:val="20"/>
          <w:szCs w:val="20"/>
          <w:lang w:val="es-AR"/>
        </w:rPr>
        <w:t xml:space="preserve">colombiano </w:t>
      </w:r>
      <w:r w:rsidR="00194E0D" w:rsidRPr="005758BA">
        <w:rPr>
          <w:rFonts w:asciiTheme="majorHAnsi" w:hAnsiTheme="majorHAnsi"/>
          <w:sz w:val="20"/>
          <w:szCs w:val="20"/>
          <w:lang w:val="es-AR"/>
        </w:rPr>
        <w:t xml:space="preserve">por la violación </w:t>
      </w:r>
      <w:r w:rsidR="00BD54B7" w:rsidRPr="005758BA">
        <w:rPr>
          <w:rFonts w:asciiTheme="majorHAnsi" w:hAnsiTheme="majorHAnsi"/>
          <w:sz w:val="20"/>
          <w:szCs w:val="20"/>
          <w:lang w:val="es-AR"/>
        </w:rPr>
        <w:t xml:space="preserve">de los artículos </w:t>
      </w:r>
      <w:r w:rsidR="00A433ED" w:rsidRPr="005758BA">
        <w:rPr>
          <w:rFonts w:asciiTheme="majorHAnsi" w:hAnsiTheme="majorHAnsi"/>
          <w:sz w:val="20"/>
          <w:szCs w:val="20"/>
          <w:lang w:val="es-AR"/>
        </w:rPr>
        <w:t xml:space="preserve">3, </w:t>
      </w:r>
      <w:r w:rsidR="00BD54B7" w:rsidRPr="005758BA">
        <w:rPr>
          <w:rFonts w:asciiTheme="majorHAnsi" w:hAnsiTheme="majorHAnsi"/>
          <w:sz w:val="20"/>
          <w:szCs w:val="20"/>
          <w:lang w:val="es-AR"/>
        </w:rPr>
        <w:t xml:space="preserve">4, 5, </w:t>
      </w:r>
      <w:r w:rsidR="00945945" w:rsidRPr="005758BA">
        <w:rPr>
          <w:rFonts w:asciiTheme="majorHAnsi" w:hAnsiTheme="majorHAnsi"/>
          <w:sz w:val="20"/>
          <w:szCs w:val="20"/>
          <w:lang w:val="es-AR"/>
        </w:rPr>
        <w:t xml:space="preserve">7, </w:t>
      </w:r>
      <w:r w:rsidR="00BD54B7" w:rsidRPr="005758BA">
        <w:rPr>
          <w:rFonts w:asciiTheme="majorHAnsi" w:hAnsiTheme="majorHAnsi"/>
          <w:sz w:val="20"/>
          <w:szCs w:val="20"/>
          <w:lang w:val="es-AR"/>
        </w:rPr>
        <w:t>8 y 25 de la Convención Americana</w:t>
      </w:r>
      <w:r w:rsidR="00194E0D" w:rsidRPr="005758BA">
        <w:rPr>
          <w:rFonts w:asciiTheme="majorHAnsi" w:hAnsiTheme="majorHAnsi"/>
          <w:sz w:val="20"/>
          <w:szCs w:val="20"/>
          <w:lang w:val="es-AR"/>
        </w:rPr>
        <w:t>, todos ellos</w:t>
      </w:r>
      <w:r w:rsidR="00506E7A" w:rsidRPr="005758BA">
        <w:rPr>
          <w:rFonts w:asciiTheme="majorHAnsi" w:hAnsiTheme="majorHAnsi"/>
          <w:sz w:val="20"/>
          <w:szCs w:val="20"/>
          <w:lang w:val="es-AR"/>
        </w:rPr>
        <w:t xml:space="preserve"> en relación con el artículo 1.1 del mismo instrumento</w:t>
      </w:r>
      <w:r w:rsidR="00194E0D" w:rsidRPr="005758BA">
        <w:rPr>
          <w:rFonts w:asciiTheme="majorHAnsi" w:hAnsiTheme="majorHAnsi"/>
          <w:sz w:val="20"/>
          <w:szCs w:val="20"/>
          <w:lang w:val="es-AR"/>
        </w:rPr>
        <w:t>,</w:t>
      </w:r>
      <w:r w:rsidR="00506E7A" w:rsidRPr="005758BA">
        <w:rPr>
          <w:rFonts w:asciiTheme="majorHAnsi" w:hAnsiTheme="majorHAnsi"/>
          <w:sz w:val="20"/>
          <w:szCs w:val="20"/>
          <w:lang w:val="es-AR"/>
        </w:rPr>
        <w:t xml:space="preserve"> en perjuicio de Juan Fernando Porras Martínez</w:t>
      </w:r>
      <w:r w:rsidR="007763F1" w:rsidRPr="005758BA">
        <w:rPr>
          <w:rFonts w:asciiTheme="majorHAnsi" w:hAnsiTheme="majorHAnsi"/>
          <w:sz w:val="20"/>
          <w:szCs w:val="20"/>
          <w:lang w:val="es-AR"/>
        </w:rPr>
        <w:t xml:space="preserve">. </w:t>
      </w:r>
      <w:r w:rsidR="0090529C">
        <w:rPr>
          <w:rFonts w:asciiTheme="majorHAnsi" w:hAnsiTheme="majorHAnsi"/>
          <w:sz w:val="20"/>
          <w:szCs w:val="20"/>
          <w:lang w:val="es-AR"/>
        </w:rPr>
        <w:t xml:space="preserve">De igual manera, podrían asimismo configurarse violaciones a los derechos consagrados en los artículos 5, 8 y 25 en perjuicio de los familiares de Juan Fernando Porras Martínez. </w:t>
      </w:r>
      <w:r w:rsidR="007763F1" w:rsidRPr="005758BA">
        <w:rPr>
          <w:rFonts w:asciiTheme="majorHAnsi" w:hAnsiTheme="majorHAnsi"/>
          <w:sz w:val="20"/>
          <w:szCs w:val="20"/>
          <w:lang w:val="es-AR"/>
        </w:rPr>
        <w:t xml:space="preserve">Asimismo, </w:t>
      </w:r>
      <w:r w:rsidR="00FA36E4" w:rsidRPr="005758BA">
        <w:rPr>
          <w:rFonts w:asciiTheme="majorHAnsi" w:hAnsiTheme="majorHAnsi"/>
          <w:sz w:val="20"/>
          <w:szCs w:val="20"/>
          <w:lang w:val="es-AR"/>
        </w:rPr>
        <w:t>en atención a las</w:t>
      </w:r>
      <w:r w:rsidR="007763F1" w:rsidRPr="005758BA">
        <w:rPr>
          <w:rFonts w:asciiTheme="majorHAnsi" w:hAnsiTheme="majorHAnsi"/>
          <w:sz w:val="20"/>
          <w:szCs w:val="20"/>
          <w:lang w:val="es-AR"/>
        </w:rPr>
        <w:t xml:space="preserve"> alegadas violaciones </w:t>
      </w:r>
      <w:r w:rsidR="00C84FA0" w:rsidRPr="005758BA">
        <w:rPr>
          <w:rFonts w:asciiTheme="majorHAnsi" w:hAnsiTheme="majorHAnsi"/>
          <w:sz w:val="20"/>
          <w:szCs w:val="20"/>
          <w:lang w:val="es-AR"/>
        </w:rPr>
        <w:t xml:space="preserve">contenidas </w:t>
      </w:r>
      <w:r w:rsidR="007763F1" w:rsidRPr="005758BA">
        <w:rPr>
          <w:rFonts w:asciiTheme="majorHAnsi" w:hAnsiTheme="majorHAnsi"/>
          <w:sz w:val="20"/>
          <w:szCs w:val="20"/>
          <w:lang w:val="es-AR"/>
        </w:rPr>
        <w:t>en esta petición —lo que incluye la alegada desaparición forzada, actos de tortura y la falta de esclarecimiento judicial</w:t>
      </w:r>
      <w:r w:rsidR="00506E7A" w:rsidRPr="005758BA">
        <w:rPr>
          <w:rFonts w:asciiTheme="majorHAnsi" w:hAnsiTheme="majorHAnsi"/>
          <w:sz w:val="20"/>
          <w:szCs w:val="20"/>
          <w:lang w:val="es-AR"/>
        </w:rPr>
        <w:t xml:space="preserve"> de esos hechos</w:t>
      </w:r>
      <w:r w:rsidR="007763F1" w:rsidRPr="005758BA">
        <w:rPr>
          <w:rFonts w:asciiTheme="majorHAnsi" w:hAnsiTheme="majorHAnsi"/>
          <w:sz w:val="20"/>
          <w:szCs w:val="20"/>
          <w:lang w:val="es-AR"/>
        </w:rPr>
        <w:t>— la Comisión considera que corresponde</w:t>
      </w:r>
      <w:r w:rsidR="00506E7A" w:rsidRPr="005758BA">
        <w:rPr>
          <w:rFonts w:asciiTheme="majorHAnsi" w:hAnsiTheme="majorHAnsi"/>
          <w:sz w:val="20"/>
          <w:szCs w:val="20"/>
          <w:lang w:val="es-AR"/>
        </w:rPr>
        <w:t>rá</w:t>
      </w:r>
      <w:r w:rsidR="007763F1" w:rsidRPr="005758BA">
        <w:rPr>
          <w:rFonts w:asciiTheme="majorHAnsi" w:hAnsiTheme="majorHAnsi"/>
          <w:sz w:val="20"/>
          <w:szCs w:val="20"/>
          <w:lang w:val="es-AR"/>
        </w:rPr>
        <w:t xml:space="preserve"> analizar en la etapa de fondo la </w:t>
      </w:r>
      <w:r w:rsidR="00506E7A" w:rsidRPr="005758BA">
        <w:rPr>
          <w:rFonts w:asciiTheme="majorHAnsi" w:hAnsiTheme="majorHAnsi"/>
          <w:sz w:val="20"/>
          <w:szCs w:val="20"/>
          <w:lang w:val="es-AR"/>
        </w:rPr>
        <w:t>eventual aplicación</w:t>
      </w:r>
      <w:r w:rsidR="007763F1" w:rsidRPr="005758BA">
        <w:rPr>
          <w:rFonts w:asciiTheme="majorHAnsi" w:hAnsiTheme="majorHAnsi"/>
          <w:sz w:val="20"/>
          <w:szCs w:val="20"/>
          <w:lang w:val="es-AR"/>
        </w:rPr>
        <w:t xml:space="preserve"> </w:t>
      </w:r>
      <w:r w:rsidR="00EB4B5B" w:rsidRPr="005758BA">
        <w:rPr>
          <w:rFonts w:asciiTheme="majorHAnsi" w:hAnsiTheme="majorHAnsi"/>
          <w:sz w:val="20"/>
          <w:szCs w:val="20"/>
          <w:lang w:val="es-AR"/>
        </w:rPr>
        <w:t xml:space="preserve">del artículo 1(b) de la </w:t>
      </w:r>
      <w:r w:rsidR="003029D0" w:rsidRPr="005758BA">
        <w:rPr>
          <w:rFonts w:asciiTheme="majorHAnsi" w:hAnsiTheme="majorHAnsi"/>
          <w:sz w:val="20"/>
          <w:szCs w:val="20"/>
          <w:lang w:val="es-AR"/>
        </w:rPr>
        <w:t xml:space="preserve">Convención Interamericana sobre Desaparición Forzada de Personas </w:t>
      </w:r>
      <w:r w:rsidR="00EB4B5B" w:rsidRPr="005758BA">
        <w:rPr>
          <w:rFonts w:asciiTheme="majorHAnsi" w:hAnsiTheme="majorHAnsi"/>
          <w:sz w:val="20"/>
          <w:szCs w:val="20"/>
          <w:lang w:val="es-AR"/>
        </w:rPr>
        <w:t xml:space="preserve">y de los artículos 1 y 8 de la </w:t>
      </w:r>
      <w:r w:rsidR="00EB4B5B" w:rsidRPr="005758BA">
        <w:rPr>
          <w:rFonts w:asciiTheme="majorHAnsi" w:hAnsiTheme="majorHAnsi"/>
          <w:bCs/>
          <w:sz w:val="20"/>
          <w:szCs w:val="20"/>
          <w:lang w:val="es-AR"/>
        </w:rPr>
        <w:t>Convención Interamericana para Prevenir y Sancionar la Tortura</w:t>
      </w:r>
      <w:r w:rsidR="00DE2899" w:rsidRPr="005758BA">
        <w:rPr>
          <w:rFonts w:asciiTheme="majorHAnsi" w:hAnsiTheme="majorHAnsi"/>
          <w:bCs/>
          <w:sz w:val="20"/>
          <w:szCs w:val="20"/>
          <w:lang w:val="es-AR"/>
        </w:rPr>
        <w:t>, así como las condiciones en que estas bases legales resultan exigibles a la luz de las limitaciones temporales establecidas en el presente informe</w:t>
      </w:r>
      <w:r w:rsidR="00EB4B5B" w:rsidRPr="005758BA">
        <w:rPr>
          <w:rFonts w:asciiTheme="majorHAnsi" w:hAnsiTheme="majorHAnsi"/>
          <w:bCs/>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EE50AA" w:rsidRPr="005758BA" w:rsidRDefault="00EE50AA" w:rsidP="005758BA">
      <w:pPr>
        <w:pStyle w:val="Heading1"/>
      </w:pPr>
      <w:r w:rsidRPr="005758BA">
        <w:t xml:space="preserve">CONCLUSIONES </w:t>
      </w:r>
    </w:p>
    <w:p w:rsidR="005758BA" w:rsidRPr="005758BA" w:rsidRDefault="005758BA" w:rsidP="005758BA">
      <w:pPr>
        <w:spacing w:after="0"/>
        <w:ind w:left="720"/>
        <w:jc w:val="both"/>
        <w:rPr>
          <w:rFonts w:asciiTheme="majorHAnsi" w:hAnsiTheme="majorHAnsi"/>
          <w:b/>
          <w:sz w:val="20"/>
          <w:szCs w:val="20"/>
          <w:lang w:val="es-AR"/>
        </w:rPr>
      </w:pPr>
    </w:p>
    <w:p w:rsidR="00EE50AA" w:rsidRDefault="00EE50AA" w:rsidP="005758BA">
      <w:pPr>
        <w:numPr>
          <w:ilvl w:val="0"/>
          <w:numId w:val="1"/>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Con fundamento en las consideraciones de hecho y de derecho expuestas, y sin prejuzgar sobre el fondo de la cuestión, la Comisión concluye que el presente caso satisface los requisitos de admisibilidad enunciados en los artículos 46 y 47 de la Convención Americana y en consecuencia, </w:t>
      </w:r>
    </w:p>
    <w:p w:rsidR="005758BA" w:rsidRPr="005758BA" w:rsidRDefault="005758BA" w:rsidP="005758BA">
      <w:pPr>
        <w:spacing w:after="0"/>
        <w:jc w:val="both"/>
        <w:rPr>
          <w:rFonts w:asciiTheme="majorHAnsi" w:hAnsiTheme="majorHAnsi"/>
          <w:sz w:val="20"/>
          <w:szCs w:val="20"/>
          <w:lang w:val="es-AR"/>
        </w:rPr>
      </w:pPr>
    </w:p>
    <w:p w:rsidR="00DE5C67" w:rsidRDefault="00EE50AA" w:rsidP="00DE5C67">
      <w:pPr>
        <w:spacing w:after="0"/>
        <w:ind w:firstLine="720"/>
        <w:jc w:val="center"/>
        <w:rPr>
          <w:rFonts w:asciiTheme="majorHAnsi" w:hAnsiTheme="majorHAnsi"/>
          <w:b/>
          <w:sz w:val="20"/>
          <w:szCs w:val="20"/>
          <w:lang w:val="es-AR"/>
        </w:rPr>
      </w:pPr>
      <w:r w:rsidRPr="005758BA">
        <w:rPr>
          <w:rFonts w:asciiTheme="majorHAnsi" w:hAnsiTheme="majorHAnsi"/>
          <w:b/>
          <w:sz w:val="20"/>
          <w:szCs w:val="20"/>
          <w:lang w:val="es-AR"/>
        </w:rPr>
        <w:t>LA COMISIÓN INTERAMERICANA DE DERECHOS HUMANOS,</w:t>
      </w:r>
    </w:p>
    <w:p w:rsidR="00EE50AA" w:rsidRDefault="00EE50AA" w:rsidP="00DE5C67">
      <w:pPr>
        <w:spacing w:after="0"/>
        <w:rPr>
          <w:rFonts w:asciiTheme="majorHAnsi" w:hAnsiTheme="majorHAnsi"/>
          <w:b/>
          <w:sz w:val="20"/>
          <w:szCs w:val="20"/>
          <w:lang w:val="es-AR"/>
        </w:rPr>
      </w:pPr>
      <w:r w:rsidRPr="005758BA">
        <w:rPr>
          <w:rFonts w:asciiTheme="majorHAnsi" w:hAnsiTheme="majorHAnsi"/>
          <w:b/>
          <w:sz w:val="20"/>
          <w:szCs w:val="20"/>
          <w:lang w:val="es-AR"/>
        </w:rPr>
        <w:t xml:space="preserve">DECIDE: </w:t>
      </w:r>
    </w:p>
    <w:p w:rsidR="005758BA" w:rsidRPr="005758BA" w:rsidRDefault="005758BA" w:rsidP="005758BA">
      <w:pPr>
        <w:spacing w:after="0"/>
        <w:jc w:val="both"/>
        <w:rPr>
          <w:rFonts w:asciiTheme="majorHAnsi" w:hAnsiTheme="majorHAnsi"/>
          <w:b/>
          <w:sz w:val="20"/>
          <w:szCs w:val="20"/>
          <w:lang w:val="es-AR"/>
        </w:rPr>
      </w:pPr>
    </w:p>
    <w:p w:rsidR="00EE50AA" w:rsidRPr="005758BA" w:rsidRDefault="00EE50AA" w:rsidP="005758BA">
      <w:pPr>
        <w:numPr>
          <w:ilvl w:val="0"/>
          <w:numId w:val="3"/>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Declarar admisible la petición bajo estudio, con relación con los artículos </w:t>
      </w:r>
      <w:r w:rsidR="00506E7A" w:rsidRPr="005758BA">
        <w:rPr>
          <w:rFonts w:asciiTheme="majorHAnsi" w:hAnsiTheme="majorHAnsi"/>
          <w:sz w:val="20"/>
          <w:szCs w:val="20"/>
          <w:lang w:val="es-AR"/>
        </w:rPr>
        <w:t xml:space="preserve">3, 4, 5, 7, 8 y 25 </w:t>
      </w:r>
      <w:r w:rsidRPr="005758BA">
        <w:rPr>
          <w:rFonts w:asciiTheme="majorHAnsi" w:hAnsiTheme="majorHAnsi"/>
          <w:sz w:val="20"/>
          <w:szCs w:val="20"/>
          <w:lang w:val="es-AR"/>
        </w:rPr>
        <w:t xml:space="preserve">de la Convención Americana en </w:t>
      </w:r>
      <w:r w:rsidR="00BE77E0" w:rsidRPr="005758BA">
        <w:rPr>
          <w:rFonts w:asciiTheme="majorHAnsi" w:hAnsiTheme="majorHAnsi"/>
          <w:sz w:val="20"/>
          <w:szCs w:val="20"/>
          <w:lang w:val="es-AR"/>
        </w:rPr>
        <w:t>relación</w:t>
      </w:r>
      <w:r w:rsidRPr="005758BA">
        <w:rPr>
          <w:rFonts w:asciiTheme="majorHAnsi" w:hAnsiTheme="majorHAnsi"/>
          <w:sz w:val="20"/>
          <w:szCs w:val="20"/>
          <w:lang w:val="es-AR"/>
        </w:rPr>
        <w:t xml:space="preserve"> con </w:t>
      </w:r>
      <w:r w:rsidR="00DB7B30" w:rsidRPr="005758BA">
        <w:rPr>
          <w:rFonts w:asciiTheme="majorHAnsi" w:hAnsiTheme="majorHAnsi"/>
          <w:sz w:val="20"/>
          <w:szCs w:val="20"/>
          <w:lang w:val="es-AR"/>
        </w:rPr>
        <w:t>e</w:t>
      </w:r>
      <w:r w:rsidRPr="005758BA">
        <w:rPr>
          <w:rFonts w:asciiTheme="majorHAnsi" w:hAnsiTheme="majorHAnsi"/>
          <w:sz w:val="20"/>
          <w:szCs w:val="20"/>
          <w:lang w:val="es-AR"/>
        </w:rPr>
        <w:t xml:space="preserve">l artículo 1.1 del mismo instrumento; </w:t>
      </w:r>
      <w:r w:rsidR="00806A99" w:rsidRPr="005758BA">
        <w:rPr>
          <w:rFonts w:asciiTheme="majorHAnsi" w:hAnsiTheme="majorHAnsi"/>
          <w:sz w:val="20"/>
          <w:szCs w:val="20"/>
          <w:lang w:val="es-AR"/>
        </w:rPr>
        <w:t>de</w:t>
      </w:r>
      <w:r w:rsidR="00DB7B30" w:rsidRPr="005758BA">
        <w:rPr>
          <w:rFonts w:asciiTheme="majorHAnsi" w:hAnsiTheme="majorHAnsi"/>
          <w:sz w:val="20"/>
          <w:szCs w:val="20"/>
          <w:lang w:val="es-AR"/>
        </w:rPr>
        <w:t>l artículo 1(b)</w:t>
      </w:r>
      <w:r w:rsidR="00806A99" w:rsidRPr="005758BA">
        <w:rPr>
          <w:rFonts w:asciiTheme="majorHAnsi" w:hAnsiTheme="majorHAnsi"/>
          <w:sz w:val="20"/>
          <w:szCs w:val="20"/>
          <w:lang w:val="es-AR"/>
        </w:rPr>
        <w:t xml:space="preserve"> de la </w:t>
      </w:r>
      <w:r w:rsidR="003029D0" w:rsidRPr="005758BA">
        <w:rPr>
          <w:rFonts w:asciiTheme="majorHAnsi" w:hAnsiTheme="majorHAnsi"/>
          <w:sz w:val="20"/>
          <w:szCs w:val="20"/>
          <w:lang w:val="es-AR"/>
        </w:rPr>
        <w:t>Convención Interamericana sobre Desaparición Forzada de Personas</w:t>
      </w:r>
      <w:r w:rsidR="00194E0D" w:rsidRPr="005758BA">
        <w:rPr>
          <w:rFonts w:asciiTheme="majorHAnsi" w:hAnsiTheme="majorHAnsi"/>
          <w:sz w:val="20"/>
          <w:szCs w:val="20"/>
          <w:lang w:val="es-AR"/>
        </w:rPr>
        <w:t>;</w:t>
      </w:r>
      <w:r w:rsidR="003029D0" w:rsidRPr="005758BA">
        <w:rPr>
          <w:rFonts w:asciiTheme="majorHAnsi" w:hAnsiTheme="majorHAnsi"/>
          <w:sz w:val="20"/>
          <w:szCs w:val="20"/>
          <w:lang w:val="es-AR"/>
        </w:rPr>
        <w:t xml:space="preserve"> </w:t>
      </w:r>
      <w:r w:rsidR="00806A99" w:rsidRPr="005758BA">
        <w:rPr>
          <w:rFonts w:asciiTheme="majorHAnsi" w:hAnsiTheme="majorHAnsi"/>
          <w:sz w:val="20"/>
          <w:szCs w:val="20"/>
          <w:lang w:val="es-AR"/>
        </w:rPr>
        <w:t xml:space="preserve">y de los artículos </w:t>
      </w:r>
      <w:r w:rsidR="00DB7B30" w:rsidRPr="005758BA">
        <w:rPr>
          <w:rFonts w:asciiTheme="majorHAnsi" w:hAnsiTheme="majorHAnsi"/>
          <w:sz w:val="20"/>
          <w:szCs w:val="20"/>
          <w:lang w:val="es-AR"/>
        </w:rPr>
        <w:t>1</w:t>
      </w:r>
      <w:r w:rsidR="0051008C">
        <w:rPr>
          <w:rFonts w:asciiTheme="majorHAnsi" w:hAnsiTheme="majorHAnsi"/>
          <w:sz w:val="20"/>
          <w:szCs w:val="20"/>
          <w:lang w:val="es-AR"/>
        </w:rPr>
        <w:t>, 6</w:t>
      </w:r>
      <w:r w:rsidR="00DB7B30" w:rsidRPr="005758BA">
        <w:rPr>
          <w:rFonts w:asciiTheme="majorHAnsi" w:hAnsiTheme="majorHAnsi"/>
          <w:sz w:val="20"/>
          <w:szCs w:val="20"/>
          <w:lang w:val="es-AR"/>
        </w:rPr>
        <w:t xml:space="preserve"> y 8</w:t>
      </w:r>
      <w:r w:rsidR="00806A99" w:rsidRPr="005758BA">
        <w:rPr>
          <w:rFonts w:asciiTheme="majorHAnsi" w:hAnsiTheme="majorHAnsi"/>
          <w:sz w:val="20"/>
          <w:szCs w:val="20"/>
          <w:lang w:val="es-AR"/>
        </w:rPr>
        <w:t xml:space="preserve"> de la </w:t>
      </w:r>
      <w:r w:rsidR="00806A99" w:rsidRPr="005758BA">
        <w:rPr>
          <w:rFonts w:asciiTheme="majorHAnsi" w:hAnsiTheme="majorHAnsi"/>
          <w:bCs/>
          <w:sz w:val="20"/>
          <w:szCs w:val="20"/>
          <w:lang w:val="es-AR"/>
        </w:rPr>
        <w:lastRenderedPageBreak/>
        <w:t>Convención Interamericana para Prevenir y Sancionar la Tortura</w:t>
      </w:r>
      <w:r w:rsidR="006028C5" w:rsidRPr="005758BA">
        <w:rPr>
          <w:rFonts w:asciiTheme="majorHAnsi" w:hAnsiTheme="majorHAnsi"/>
          <w:bCs/>
          <w:sz w:val="20"/>
          <w:szCs w:val="20"/>
          <w:lang w:val="es-AR"/>
        </w:rPr>
        <w:t xml:space="preserve"> en los términos </w:t>
      </w:r>
      <w:r w:rsidR="007451A3" w:rsidRPr="005758BA">
        <w:rPr>
          <w:rFonts w:asciiTheme="majorHAnsi" w:hAnsiTheme="majorHAnsi"/>
          <w:bCs/>
          <w:sz w:val="20"/>
          <w:szCs w:val="20"/>
          <w:lang w:val="es-AR"/>
        </w:rPr>
        <w:t>establecidos en el presente informe</w:t>
      </w:r>
      <w:r w:rsidR="00806A99" w:rsidRPr="005758BA">
        <w:rPr>
          <w:rFonts w:asciiTheme="majorHAnsi" w:hAnsiTheme="majorHAnsi"/>
          <w:bCs/>
          <w:sz w:val="20"/>
          <w:szCs w:val="20"/>
          <w:lang w:val="es-AR"/>
        </w:rPr>
        <w:t>.</w:t>
      </w:r>
    </w:p>
    <w:p w:rsidR="005758BA" w:rsidRPr="005758BA" w:rsidRDefault="005758BA" w:rsidP="005758BA">
      <w:pPr>
        <w:spacing w:after="0"/>
        <w:jc w:val="both"/>
        <w:rPr>
          <w:rFonts w:asciiTheme="majorHAnsi" w:hAnsiTheme="majorHAnsi"/>
          <w:sz w:val="20"/>
          <w:szCs w:val="20"/>
          <w:lang w:val="es-AR"/>
        </w:rPr>
      </w:pPr>
    </w:p>
    <w:p w:rsidR="00EE50AA" w:rsidRDefault="00EE50AA" w:rsidP="005758BA">
      <w:pPr>
        <w:numPr>
          <w:ilvl w:val="0"/>
          <w:numId w:val="3"/>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Notificar esta decisión al Estado y al peticionario. </w:t>
      </w:r>
    </w:p>
    <w:p w:rsidR="005758BA" w:rsidRPr="005758BA" w:rsidRDefault="005758BA" w:rsidP="005758BA">
      <w:pPr>
        <w:spacing w:after="0"/>
        <w:jc w:val="both"/>
        <w:rPr>
          <w:rFonts w:asciiTheme="majorHAnsi" w:hAnsiTheme="majorHAnsi"/>
          <w:sz w:val="20"/>
          <w:szCs w:val="20"/>
          <w:lang w:val="es-AR"/>
        </w:rPr>
      </w:pPr>
    </w:p>
    <w:p w:rsidR="00EE50AA" w:rsidRDefault="00EE50AA" w:rsidP="005758BA">
      <w:pPr>
        <w:numPr>
          <w:ilvl w:val="0"/>
          <w:numId w:val="3"/>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Iniciar el trámite sobre el fondo de la cuestión. </w:t>
      </w:r>
    </w:p>
    <w:p w:rsidR="005758BA" w:rsidRPr="005758BA" w:rsidRDefault="005758BA" w:rsidP="005758BA">
      <w:pPr>
        <w:spacing w:after="0"/>
        <w:jc w:val="both"/>
        <w:rPr>
          <w:rFonts w:asciiTheme="majorHAnsi" w:hAnsiTheme="majorHAnsi"/>
          <w:sz w:val="20"/>
          <w:szCs w:val="20"/>
          <w:lang w:val="es-AR"/>
        </w:rPr>
      </w:pPr>
    </w:p>
    <w:p w:rsidR="00EE50AA" w:rsidRDefault="00EE50AA" w:rsidP="005758BA">
      <w:pPr>
        <w:numPr>
          <w:ilvl w:val="0"/>
          <w:numId w:val="3"/>
        </w:numPr>
        <w:spacing w:after="0"/>
        <w:ind w:left="0" w:firstLine="720"/>
        <w:jc w:val="both"/>
        <w:rPr>
          <w:rFonts w:asciiTheme="majorHAnsi" w:hAnsiTheme="majorHAnsi"/>
          <w:sz w:val="20"/>
          <w:szCs w:val="20"/>
          <w:lang w:val="es-AR"/>
        </w:rPr>
      </w:pPr>
      <w:r w:rsidRPr="005758BA">
        <w:rPr>
          <w:rFonts w:asciiTheme="majorHAnsi" w:hAnsiTheme="majorHAnsi"/>
          <w:sz w:val="20"/>
          <w:szCs w:val="20"/>
          <w:lang w:val="es-AR"/>
        </w:rPr>
        <w:t xml:space="preserve">Publicar esta decisión e incluirla en el Informe Anual, a ser presentado a la Asamblea General de la OEA. </w:t>
      </w:r>
    </w:p>
    <w:p w:rsidR="005758BA" w:rsidRDefault="005758BA" w:rsidP="005758BA">
      <w:pPr>
        <w:spacing w:after="0"/>
        <w:jc w:val="both"/>
        <w:rPr>
          <w:rFonts w:asciiTheme="majorHAnsi" w:hAnsiTheme="majorHAnsi"/>
          <w:sz w:val="20"/>
          <w:szCs w:val="20"/>
          <w:lang w:val="es-AR"/>
        </w:rPr>
      </w:pPr>
    </w:p>
    <w:p w:rsidR="00245BBD" w:rsidRPr="00804A84" w:rsidRDefault="00245BBD" w:rsidP="00245BBD">
      <w:pPr>
        <w:spacing w:after="0"/>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sidR="00CF6F01">
        <w:rPr>
          <w:rFonts w:ascii="Cambria" w:hAnsi="Cambria" w:cs="Arial"/>
          <w:noProof/>
          <w:spacing w:val="-2"/>
          <w:sz w:val="20"/>
          <w:szCs w:val="20"/>
          <w:lang w:val="es-CL"/>
        </w:rPr>
        <w:t>22</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00580690">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5758BA" w:rsidRPr="00245BBD" w:rsidRDefault="005758BA" w:rsidP="005758BA">
      <w:pPr>
        <w:spacing w:after="0"/>
        <w:jc w:val="both"/>
        <w:rPr>
          <w:rFonts w:asciiTheme="majorHAnsi" w:hAnsiTheme="majorHAnsi"/>
          <w:sz w:val="20"/>
          <w:szCs w:val="20"/>
          <w:lang w:val="es-CL"/>
        </w:rPr>
      </w:pPr>
    </w:p>
    <w:sectPr w:rsidR="005758BA" w:rsidRPr="00245B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65" w:rsidRDefault="00B67D65" w:rsidP="00577F43">
      <w:pPr>
        <w:spacing w:after="0"/>
      </w:pPr>
      <w:r>
        <w:separator/>
      </w:r>
    </w:p>
  </w:endnote>
  <w:endnote w:type="continuationSeparator" w:id="0">
    <w:p w:rsidR="00B67D65" w:rsidRDefault="00B67D65" w:rsidP="0057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86" w:rsidRDefault="00435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C431B7" w:rsidRPr="00934A2C" w:rsidRDefault="00C431B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5986">
          <w:rPr>
            <w:noProof/>
            <w:sz w:val="16"/>
            <w:szCs w:val="22"/>
          </w:rPr>
          <w:t>1</w:t>
        </w:r>
        <w:r w:rsidRPr="00934A2C">
          <w:rPr>
            <w:noProof/>
            <w:sz w:val="16"/>
            <w:szCs w:val="22"/>
          </w:rPr>
          <w:fldChar w:fldCharType="end"/>
        </w:r>
      </w:p>
    </w:sdtContent>
  </w:sdt>
  <w:p w:rsidR="00C431B7" w:rsidRDefault="00C43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7" w:rsidRPr="00934A2C" w:rsidRDefault="00C431B7">
    <w:pPr>
      <w:pStyle w:val="Footer"/>
      <w:jc w:val="center"/>
      <w:rPr>
        <w:sz w:val="16"/>
        <w:szCs w:val="22"/>
      </w:rPr>
    </w:pPr>
  </w:p>
  <w:p w:rsidR="00C431B7" w:rsidRDefault="00C43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65" w:rsidRDefault="00B67D65" w:rsidP="00577F43">
      <w:pPr>
        <w:spacing w:after="0"/>
      </w:pPr>
      <w:r>
        <w:separator/>
      </w:r>
    </w:p>
  </w:footnote>
  <w:footnote w:type="continuationSeparator" w:id="0">
    <w:p w:rsidR="00B67D65" w:rsidRDefault="00B67D65" w:rsidP="00577F43">
      <w:pPr>
        <w:spacing w:after="0"/>
      </w:pPr>
      <w:r>
        <w:continuationSeparator/>
      </w:r>
    </w:p>
  </w:footnote>
  <w:footnote w:id="1">
    <w:p w:rsidR="00BE77E0" w:rsidRPr="001807C3" w:rsidRDefault="00BE77E0"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008865D1">
        <w:rPr>
          <w:rFonts w:ascii="Cambria" w:hAnsi="Cambria"/>
          <w:sz w:val="16"/>
          <w:szCs w:val="16"/>
          <w:lang w:val="es-AR"/>
        </w:rPr>
        <w:t xml:space="preserve"> </w:t>
      </w:r>
      <w:r w:rsidRPr="001807C3">
        <w:rPr>
          <w:rFonts w:ascii="Cambria" w:hAnsi="Cambria"/>
          <w:sz w:val="16"/>
          <w:szCs w:val="16"/>
          <w:lang w:val="es-AR"/>
        </w:rPr>
        <w:t>El 14 de diciembre de 1990 la CIDH fue informada de que la Corporación Colectivo de Abogados había convenido que, en lo sucesivo, el Comité de Solidaridad con los Presos Políticos llevaría la representación de la presunta víctima.</w:t>
      </w:r>
    </w:p>
  </w:footnote>
  <w:footnote w:id="2">
    <w:p w:rsidR="00EC4B58" w:rsidRPr="005758BA" w:rsidRDefault="00EC4B58" w:rsidP="005758BA">
      <w:pPr>
        <w:spacing w:after="120"/>
        <w:ind w:firstLine="720"/>
        <w:jc w:val="both"/>
        <w:rPr>
          <w:rFonts w:ascii="Cambria" w:hAnsi="Cambria"/>
          <w:sz w:val="16"/>
          <w:szCs w:val="16"/>
          <w:lang w:val="es-ES"/>
        </w:rPr>
      </w:pPr>
      <w:r w:rsidRPr="001807C3">
        <w:rPr>
          <w:rStyle w:val="FootnoteReference"/>
          <w:rFonts w:ascii="Cambria" w:hAnsi="Cambria" w:cs="Calibri"/>
          <w:sz w:val="16"/>
          <w:szCs w:val="16"/>
        </w:rPr>
        <w:footnoteRef/>
      </w:r>
      <w:r w:rsidRPr="001807C3">
        <w:rPr>
          <w:rFonts w:ascii="Cambria" w:hAnsi="Cambria" w:cs="Calibri"/>
          <w:sz w:val="16"/>
          <w:szCs w:val="16"/>
          <w:lang w:val="es-AR"/>
        </w:rPr>
        <w:t xml:space="preserve"> </w:t>
      </w:r>
      <w:r w:rsidRPr="001807C3">
        <w:rPr>
          <w:rFonts w:ascii="Cambria" w:hAnsi="Cambria"/>
          <w:sz w:val="16"/>
          <w:szCs w:val="16"/>
          <w:lang w:val="es-AR"/>
        </w:rPr>
        <w:t xml:space="preserve">CIDH, Informe No. </w:t>
      </w:r>
      <w:r w:rsidRPr="001807C3">
        <w:rPr>
          <w:rFonts w:ascii="Cambria" w:hAnsi="Cambria"/>
          <w:sz w:val="16"/>
          <w:szCs w:val="16"/>
          <w:lang w:val="es-ES_tradnl"/>
        </w:rPr>
        <w:t>99/14</w:t>
      </w:r>
      <w:r w:rsidR="00E44274" w:rsidRPr="001807C3">
        <w:rPr>
          <w:rFonts w:ascii="Cambria" w:hAnsi="Cambria"/>
          <w:sz w:val="16"/>
          <w:szCs w:val="16"/>
          <w:lang w:val="es-ES_tradnl"/>
        </w:rPr>
        <w:t>,</w:t>
      </w:r>
      <w:r w:rsidRPr="001807C3">
        <w:rPr>
          <w:rFonts w:ascii="Cambria" w:hAnsi="Cambria"/>
          <w:sz w:val="16"/>
          <w:szCs w:val="16"/>
          <w:lang w:val="es-ES_tradnl"/>
        </w:rPr>
        <w:t xml:space="preserve"> Petición 446-09. Admisibilidad. Luis Alberto Rojas Marín. Perú. </w:t>
      </w:r>
      <w:r w:rsidRPr="001807C3">
        <w:rPr>
          <w:rFonts w:ascii="Cambria" w:hAnsi="Cambria"/>
          <w:sz w:val="16"/>
          <w:szCs w:val="16"/>
          <w:lang w:val="es-ES"/>
        </w:rPr>
        <w:t xml:space="preserve">6 de noviembre de 2014, para. </w:t>
      </w:r>
      <w:r w:rsidRPr="001807C3">
        <w:rPr>
          <w:rFonts w:ascii="Cambria" w:hAnsi="Cambria"/>
          <w:sz w:val="16"/>
          <w:szCs w:val="16"/>
          <w:lang w:val="es-AR"/>
        </w:rPr>
        <w:t xml:space="preserve">44; </w:t>
      </w:r>
      <w:r w:rsidRPr="001807C3">
        <w:rPr>
          <w:rFonts w:ascii="Cambria" w:hAnsi="Cambria"/>
          <w:sz w:val="16"/>
          <w:szCs w:val="16"/>
          <w:lang w:val="es-ES"/>
        </w:rPr>
        <w:t>CIDH, Informe No. 48/14</w:t>
      </w:r>
      <w:r w:rsidRPr="001807C3">
        <w:rPr>
          <w:rFonts w:ascii="Cambria" w:hAnsi="Cambria"/>
          <w:sz w:val="16"/>
          <w:szCs w:val="16"/>
          <w:lang w:val="es-ES_tradnl"/>
        </w:rPr>
        <w:t xml:space="preserve">, Petición 11.641. Admisibilidad. Pedro Julio Movilla Galarcio. Colombia. </w:t>
      </w:r>
      <w:r w:rsidRPr="001807C3">
        <w:rPr>
          <w:rFonts w:ascii="Cambria" w:hAnsi="Cambria"/>
          <w:sz w:val="16"/>
          <w:szCs w:val="16"/>
          <w:lang w:val="es-AR"/>
        </w:rPr>
        <w:t xml:space="preserve">21 de julio de 2014, párr. 31; CIDH, Informe No. 21/14. </w:t>
      </w:r>
      <w:r w:rsidRPr="001807C3">
        <w:rPr>
          <w:rFonts w:ascii="Cambria" w:hAnsi="Cambria"/>
          <w:sz w:val="16"/>
          <w:szCs w:val="16"/>
          <w:lang w:val="es-ES_tradnl"/>
        </w:rPr>
        <w:t xml:space="preserve">Petición 525-07. Admisibilidad. Baptiste Willer y Frédo Guirant. </w:t>
      </w:r>
      <w:r w:rsidRPr="001807C3">
        <w:rPr>
          <w:rFonts w:ascii="Cambria" w:hAnsi="Cambria"/>
          <w:sz w:val="16"/>
          <w:szCs w:val="16"/>
          <w:lang w:val="es-AR"/>
        </w:rPr>
        <w:t xml:space="preserve">Haiti. 4 de abril de 2014, párr. 20; CIDH, Informe No. 38/13; Petición 65-04, Admisibilidad, Jorge Adolfo Freytter Romero y otros, Colombia, 11 de julio de 2013, párr. 32; CIDH, Informe No. 144/10, </w:t>
      </w:r>
      <w:r w:rsidR="003B01E7" w:rsidRPr="001807C3">
        <w:rPr>
          <w:rFonts w:ascii="Cambria" w:hAnsi="Cambria"/>
          <w:sz w:val="16"/>
          <w:szCs w:val="16"/>
          <w:lang w:val="es-AR"/>
        </w:rPr>
        <w:t xml:space="preserve">Petición </w:t>
      </w:r>
      <w:r w:rsidRPr="001807C3">
        <w:rPr>
          <w:rFonts w:ascii="Cambria" w:hAnsi="Cambria"/>
          <w:sz w:val="16"/>
          <w:szCs w:val="16"/>
          <w:lang w:val="es-AR"/>
        </w:rPr>
        <w:t xml:space="preserve">1579-07, Admisibilidad, Vecinos de la Aldea de Chichupac y Caserío Xeabaj del Municipio de Rabinal, Guatemala, 1º de noviembre de 2010, párr. </w:t>
      </w:r>
      <w:r w:rsidR="00891BB2" w:rsidRPr="005758BA">
        <w:rPr>
          <w:rFonts w:ascii="Cambria" w:hAnsi="Cambria"/>
          <w:sz w:val="16"/>
          <w:szCs w:val="16"/>
          <w:lang w:val="es-ES"/>
        </w:rPr>
        <w:t>50.</w:t>
      </w:r>
      <w:r w:rsidRPr="005758BA">
        <w:rPr>
          <w:rFonts w:ascii="Cambria" w:hAnsi="Cambria"/>
          <w:sz w:val="16"/>
          <w:szCs w:val="16"/>
          <w:lang w:val="es-ES"/>
        </w:rPr>
        <w:t xml:space="preserve"> </w:t>
      </w:r>
    </w:p>
  </w:footnote>
  <w:footnote w:id="3">
    <w:p w:rsidR="005F0841" w:rsidRPr="001807C3" w:rsidRDefault="005F0841"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005758BA">
        <w:rPr>
          <w:rFonts w:ascii="Cambria" w:hAnsi="Cambria"/>
          <w:sz w:val="16"/>
          <w:szCs w:val="16"/>
          <w:lang w:val="es-AR"/>
        </w:rPr>
        <w:t xml:space="preserve"> </w:t>
      </w:r>
      <w:r w:rsidRPr="001807C3">
        <w:rPr>
          <w:rFonts w:ascii="Cambria" w:hAnsi="Cambria"/>
          <w:sz w:val="16"/>
          <w:szCs w:val="16"/>
          <w:lang w:val="es-AR"/>
        </w:rPr>
        <w:t xml:space="preserve">Ministerio de Relaciones Exteriores, </w:t>
      </w:r>
      <w:r w:rsidR="00BD07BC" w:rsidRPr="001807C3">
        <w:rPr>
          <w:rFonts w:ascii="Cambria" w:hAnsi="Cambria"/>
          <w:sz w:val="16"/>
          <w:szCs w:val="16"/>
          <w:lang w:val="es-AR"/>
        </w:rPr>
        <w:t>Nota</w:t>
      </w:r>
      <w:r w:rsidRPr="001807C3">
        <w:rPr>
          <w:rFonts w:ascii="Cambria" w:hAnsi="Cambria"/>
          <w:sz w:val="16"/>
          <w:szCs w:val="16"/>
          <w:lang w:val="es-AR"/>
        </w:rPr>
        <w:t xml:space="preserve"> DDH.GOI No. 26.352/1375, 8 de junio de 2009, recibido por la Secretaría Ejecutiva de la CIDH el 10 de junio de 2009, p</w:t>
      </w:r>
      <w:r w:rsidR="00891BB2">
        <w:rPr>
          <w:rFonts w:ascii="Cambria" w:hAnsi="Cambria"/>
          <w:sz w:val="16"/>
          <w:szCs w:val="16"/>
          <w:lang w:val="es-AR"/>
        </w:rPr>
        <w:t>ág</w:t>
      </w:r>
      <w:r w:rsidRPr="001807C3">
        <w:rPr>
          <w:rFonts w:ascii="Cambria" w:hAnsi="Cambria"/>
          <w:sz w:val="16"/>
          <w:szCs w:val="16"/>
          <w:lang w:val="es-AR"/>
        </w:rPr>
        <w:t>. 4.</w:t>
      </w:r>
    </w:p>
  </w:footnote>
  <w:footnote w:id="4">
    <w:p w:rsidR="00864378" w:rsidRPr="001807C3" w:rsidRDefault="00864378"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Ministerio de Relaciones Exteriores, </w:t>
      </w:r>
      <w:r w:rsidR="00BD07BC" w:rsidRPr="001807C3">
        <w:rPr>
          <w:rFonts w:ascii="Cambria" w:hAnsi="Cambria"/>
          <w:sz w:val="16"/>
          <w:szCs w:val="16"/>
          <w:lang w:val="es-AR"/>
        </w:rPr>
        <w:t>Nota</w:t>
      </w:r>
      <w:r w:rsidRPr="001807C3">
        <w:rPr>
          <w:rFonts w:ascii="Cambria" w:hAnsi="Cambria"/>
          <w:sz w:val="16"/>
          <w:szCs w:val="16"/>
          <w:lang w:val="es-AR"/>
        </w:rPr>
        <w:t xml:space="preserve"> DDH.GOI No. 26.352/1375, 8 de junio de 2009, recibido por la Secretaría Ejecutiva de la CIDH el 10 de junio de 2009, p</w:t>
      </w:r>
      <w:r w:rsidR="00891BB2">
        <w:rPr>
          <w:rFonts w:ascii="Cambria" w:hAnsi="Cambria"/>
          <w:sz w:val="16"/>
          <w:szCs w:val="16"/>
          <w:lang w:val="es-AR"/>
        </w:rPr>
        <w:t>ág</w:t>
      </w:r>
      <w:r w:rsidRPr="001807C3">
        <w:rPr>
          <w:rFonts w:ascii="Cambria" w:hAnsi="Cambria"/>
          <w:sz w:val="16"/>
          <w:szCs w:val="16"/>
          <w:lang w:val="es-AR"/>
        </w:rPr>
        <w:t>. 18.</w:t>
      </w:r>
    </w:p>
  </w:footnote>
  <w:footnote w:id="5">
    <w:p w:rsidR="003751C9" w:rsidRPr="001807C3" w:rsidRDefault="003751C9"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Agencia Naciona</w:t>
      </w:r>
      <w:r w:rsidR="00BD07BC" w:rsidRPr="001807C3">
        <w:rPr>
          <w:rFonts w:ascii="Cambria" w:hAnsi="Cambria"/>
          <w:sz w:val="16"/>
          <w:szCs w:val="16"/>
          <w:lang w:val="es-AR"/>
        </w:rPr>
        <w:t>l de Defensa Jurídica del Estado</w:t>
      </w:r>
      <w:r w:rsidRPr="001807C3">
        <w:rPr>
          <w:rFonts w:ascii="Cambria" w:hAnsi="Cambria"/>
          <w:sz w:val="16"/>
          <w:szCs w:val="16"/>
          <w:lang w:val="es-AR"/>
        </w:rPr>
        <w:t>,</w:t>
      </w:r>
      <w:r w:rsidR="00BD07BC" w:rsidRPr="001807C3">
        <w:rPr>
          <w:rFonts w:ascii="Cambria" w:hAnsi="Cambria"/>
          <w:sz w:val="16"/>
          <w:szCs w:val="16"/>
          <w:lang w:val="es-AR"/>
        </w:rPr>
        <w:t xml:space="preserve"> No. </w:t>
      </w:r>
      <w:r w:rsidR="007F64A9" w:rsidRPr="001807C3">
        <w:rPr>
          <w:rFonts w:ascii="Cambria" w:hAnsi="Cambria"/>
          <w:sz w:val="16"/>
          <w:szCs w:val="16"/>
          <w:lang w:val="es-AR"/>
        </w:rPr>
        <w:t>d</w:t>
      </w:r>
      <w:r w:rsidR="00BD07BC" w:rsidRPr="001807C3">
        <w:rPr>
          <w:rFonts w:ascii="Cambria" w:hAnsi="Cambria"/>
          <w:sz w:val="16"/>
          <w:szCs w:val="16"/>
          <w:lang w:val="es-AR"/>
        </w:rPr>
        <w:t>e Radicado 20145010026681-GDI, 6 de mayo de 2014, recibido por la Secretaría Ejecutiva de la CIDH el 7 de mayo de 2014, párr. 8</w:t>
      </w:r>
      <w:r w:rsidR="007B3C1A" w:rsidRPr="001807C3">
        <w:rPr>
          <w:rFonts w:ascii="Cambria" w:hAnsi="Cambria"/>
          <w:sz w:val="16"/>
          <w:szCs w:val="16"/>
          <w:lang w:val="es-AR"/>
        </w:rPr>
        <w:t>.</w:t>
      </w:r>
      <w:r w:rsidRPr="001807C3">
        <w:rPr>
          <w:rFonts w:ascii="Cambria" w:hAnsi="Cambria"/>
          <w:sz w:val="16"/>
          <w:szCs w:val="16"/>
          <w:lang w:val="es-AR"/>
        </w:rPr>
        <w:t xml:space="preserve"> </w:t>
      </w:r>
    </w:p>
  </w:footnote>
  <w:footnote w:id="6">
    <w:p w:rsidR="00C11831" w:rsidRPr="001807C3" w:rsidRDefault="00C11831"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Ministerio de Relaciones Exteriores, Nota DDH.GOI No. 26.352/1375, 8 de junio de 2009, recibido por la Secretaría Ejecutiva de la CIDH el 10 de junio de 2009.</w:t>
      </w:r>
    </w:p>
  </w:footnote>
  <w:footnote w:id="7">
    <w:p w:rsidR="007B3C1A" w:rsidRPr="001807C3" w:rsidRDefault="007B3C1A"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Agencia Nacional de Defensa Jurídica del Estado, No. </w:t>
      </w:r>
      <w:r w:rsidR="007F64A9" w:rsidRPr="001807C3">
        <w:rPr>
          <w:rFonts w:ascii="Cambria" w:hAnsi="Cambria"/>
          <w:sz w:val="16"/>
          <w:szCs w:val="16"/>
          <w:lang w:val="es-AR"/>
        </w:rPr>
        <w:t>d</w:t>
      </w:r>
      <w:r w:rsidRPr="001807C3">
        <w:rPr>
          <w:rFonts w:ascii="Cambria" w:hAnsi="Cambria"/>
          <w:sz w:val="16"/>
          <w:szCs w:val="16"/>
          <w:lang w:val="es-AR"/>
        </w:rPr>
        <w:t>e Radicado 20155010040291-GDI, 21 de abril de 2015, recibido por la Secretaría Ejecutiva de la CIDH el 24 de abril de 2015, párr</w:t>
      </w:r>
      <w:r w:rsidR="00FF0ED7" w:rsidRPr="001807C3">
        <w:rPr>
          <w:rFonts w:ascii="Cambria" w:hAnsi="Cambria"/>
          <w:sz w:val="16"/>
          <w:szCs w:val="16"/>
          <w:lang w:val="es-AR"/>
        </w:rPr>
        <w:t>s</w:t>
      </w:r>
      <w:r w:rsidRPr="001807C3">
        <w:rPr>
          <w:rFonts w:ascii="Cambria" w:hAnsi="Cambria"/>
          <w:sz w:val="16"/>
          <w:szCs w:val="16"/>
          <w:lang w:val="es-AR"/>
        </w:rPr>
        <w:t xml:space="preserve">. </w:t>
      </w:r>
      <w:r w:rsidR="00FF0ED7" w:rsidRPr="001807C3">
        <w:rPr>
          <w:rFonts w:ascii="Cambria" w:hAnsi="Cambria"/>
          <w:sz w:val="16"/>
          <w:szCs w:val="16"/>
          <w:lang w:val="es-AR"/>
        </w:rPr>
        <w:t>26 a 33</w:t>
      </w:r>
      <w:r w:rsidRPr="001807C3">
        <w:rPr>
          <w:rFonts w:ascii="Cambria" w:hAnsi="Cambria"/>
          <w:sz w:val="16"/>
          <w:szCs w:val="16"/>
          <w:lang w:val="es-AR"/>
        </w:rPr>
        <w:t>.</w:t>
      </w:r>
    </w:p>
  </w:footnote>
  <w:footnote w:id="8">
    <w:p w:rsidR="0021419A" w:rsidRPr="001807C3" w:rsidRDefault="0021419A"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Agencia Nacional de Defensa Jurídica del Estado, No. de Radicado 20155010040291-GDI, 21 de abril de 2015, recibido por la Secretaría Ejecutiva de la CIDH el 24 de abril de 2015, párr. 35.</w:t>
      </w:r>
    </w:p>
  </w:footnote>
  <w:footnote w:id="9">
    <w:p w:rsidR="0021419A" w:rsidRPr="001807C3" w:rsidRDefault="0021419A" w:rsidP="005758BA">
      <w:pPr>
        <w:pStyle w:val="FootnoteText"/>
        <w:spacing w:after="120"/>
        <w:ind w:firstLine="720"/>
        <w:jc w:val="both"/>
        <w:rPr>
          <w:rFonts w:ascii="Cambria" w:hAnsi="Cambria"/>
          <w:sz w:val="16"/>
          <w:szCs w:val="16"/>
          <w:lang w:val="es-AR"/>
        </w:rPr>
      </w:pPr>
      <w:r w:rsidRPr="001807C3">
        <w:rPr>
          <w:rStyle w:val="FootnoteReference"/>
          <w:rFonts w:ascii="Cambria" w:hAnsi="Cambria"/>
          <w:sz w:val="16"/>
          <w:szCs w:val="16"/>
        </w:rPr>
        <w:footnoteRef/>
      </w:r>
      <w:r w:rsidRPr="001807C3">
        <w:rPr>
          <w:rFonts w:ascii="Cambria" w:hAnsi="Cambria"/>
          <w:sz w:val="16"/>
          <w:szCs w:val="16"/>
          <w:lang w:val="es-AR"/>
        </w:rPr>
        <w:t xml:space="preserve"> Agencia Nacional de Defensa Jurídica del Estado, No. de Radicado 20155010040291-GDI, 21 de abril de 2015, recibido por la Secretaría Ejecutiva de la CIDH el 24 de abril de 2015, párr. 38.</w:t>
      </w:r>
    </w:p>
  </w:footnote>
  <w:footnote w:id="10">
    <w:p w:rsidR="00F25FF7" w:rsidRPr="00C431B7" w:rsidRDefault="00F25FF7" w:rsidP="005758BA">
      <w:pPr>
        <w:pStyle w:val="FootnoteText"/>
        <w:spacing w:after="120"/>
        <w:ind w:firstLine="720"/>
        <w:jc w:val="both"/>
        <w:rPr>
          <w:rFonts w:ascii="Cambria" w:hAnsi="Cambria"/>
          <w:sz w:val="16"/>
          <w:szCs w:val="16"/>
          <w:lang w:val="pt-BR"/>
        </w:rPr>
      </w:pPr>
      <w:r w:rsidRPr="001807C3">
        <w:rPr>
          <w:rStyle w:val="FootnoteReference"/>
          <w:rFonts w:ascii="Cambria" w:hAnsi="Cambria"/>
          <w:sz w:val="16"/>
          <w:szCs w:val="16"/>
        </w:rPr>
        <w:footnoteRef/>
      </w:r>
      <w:r w:rsidRPr="001807C3">
        <w:rPr>
          <w:rFonts w:ascii="Cambria" w:hAnsi="Cambria"/>
          <w:sz w:val="16"/>
          <w:szCs w:val="16"/>
          <w:lang w:val="es-AR"/>
        </w:rPr>
        <w:t xml:space="preserve"> CIDH, </w:t>
      </w:r>
      <w:r w:rsidR="001D1575" w:rsidRPr="001807C3">
        <w:rPr>
          <w:rFonts w:ascii="Cambria" w:hAnsi="Cambria"/>
          <w:sz w:val="16"/>
          <w:szCs w:val="16"/>
          <w:lang w:val="es-AR"/>
        </w:rPr>
        <w:t xml:space="preserve">Informe </w:t>
      </w:r>
      <w:r w:rsidR="00891BB2">
        <w:rPr>
          <w:rFonts w:ascii="Cambria" w:hAnsi="Cambria"/>
          <w:sz w:val="16"/>
          <w:szCs w:val="16"/>
          <w:lang w:val="es-AR"/>
        </w:rPr>
        <w:t>No.</w:t>
      </w:r>
      <w:r w:rsidR="001D1575" w:rsidRPr="001807C3">
        <w:rPr>
          <w:rFonts w:ascii="Cambria" w:hAnsi="Cambria"/>
          <w:sz w:val="16"/>
          <w:szCs w:val="16"/>
          <w:lang w:val="es-AR"/>
        </w:rPr>
        <w:t xml:space="preserve"> 6/98, Caso 10.382, Ernesto Máximo Rodríguez, Argentina</w:t>
      </w:r>
      <w:r w:rsidRPr="001807C3">
        <w:rPr>
          <w:rFonts w:ascii="Cambria" w:hAnsi="Cambria"/>
          <w:sz w:val="16"/>
          <w:szCs w:val="16"/>
          <w:lang w:val="es-AR"/>
        </w:rPr>
        <w:t xml:space="preserve">, 21 de febrero de 1998, párr. </w:t>
      </w:r>
      <w:r w:rsidR="001D1575" w:rsidRPr="001807C3">
        <w:rPr>
          <w:rFonts w:ascii="Cambria" w:hAnsi="Cambria"/>
          <w:sz w:val="16"/>
          <w:szCs w:val="16"/>
          <w:lang w:val="es-AR"/>
        </w:rPr>
        <w:t xml:space="preserve">39; </w:t>
      </w:r>
      <w:r w:rsidR="00057F83" w:rsidRPr="001807C3">
        <w:rPr>
          <w:rFonts w:ascii="Cambria" w:hAnsi="Cambria"/>
          <w:sz w:val="16"/>
          <w:szCs w:val="16"/>
          <w:lang w:val="es-AR"/>
        </w:rPr>
        <w:t xml:space="preserve">CIDH, </w:t>
      </w:r>
      <w:r w:rsidR="001D1575" w:rsidRPr="001807C3">
        <w:rPr>
          <w:rFonts w:ascii="Cambria" w:hAnsi="Cambria"/>
          <w:sz w:val="16"/>
          <w:szCs w:val="16"/>
          <w:lang w:val="es-AR"/>
        </w:rPr>
        <w:t xml:space="preserve">Informe </w:t>
      </w:r>
      <w:r w:rsidR="00891BB2">
        <w:rPr>
          <w:rFonts w:ascii="Cambria" w:hAnsi="Cambria"/>
          <w:sz w:val="16"/>
          <w:szCs w:val="16"/>
          <w:lang w:val="es-AR"/>
        </w:rPr>
        <w:t>No.</w:t>
      </w:r>
      <w:r w:rsidR="001D1575" w:rsidRPr="001807C3">
        <w:rPr>
          <w:rFonts w:ascii="Cambria" w:hAnsi="Cambria"/>
          <w:sz w:val="16"/>
          <w:szCs w:val="16"/>
          <w:lang w:val="es-AR"/>
        </w:rPr>
        <w:t xml:space="preserve"> 39/97, Caso 11.233, Martín Javier Roca Casas, Perú, 19 de febrero de 1998, párr. </w:t>
      </w:r>
      <w:r w:rsidR="001D1575" w:rsidRPr="00C431B7">
        <w:rPr>
          <w:rFonts w:ascii="Cambria" w:hAnsi="Cambria"/>
          <w:sz w:val="16"/>
          <w:szCs w:val="16"/>
          <w:lang w:val="pt-BR"/>
        </w:rPr>
        <w:t>57.</w:t>
      </w:r>
    </w:p>
  </w:footnote>
  <w:footnote w:id="11">
    <w:p w:rsidR="00130550" w:rsidRPr="00130550" w:rsidRDefault="00130550" w:rsidP="005758BA">
      <w:pPr>
        <w:pStyle w:val="FootnoteText"/>
        <w:spacing w:after="120"/>
        <w:ind w:firstLine="720"/>
        <w:jc w:val="both"/>
        <w:rPr>
          <w:rFonts w:ascii="Cambria" w:hAnsi="Cambria"/>
          <w:sz w:val="16"/>
          <w:szCs w:val="16"/>
          <w:lang w:val="es-AR"/>
        </w:rPr>
      </w:pPr>
      <w:r w:rsidRPr="00130550">
        <w:rPr>
          <w:rStyle w:val="FootnoteReference"/>
          <w:rFonts w:ascii="Cambria" w:hAnsi="Cambria"/>
          <w:sz w:val="16"/>
          <w:szCs w:val="16"/>
        </w:rPr>
        <w:footnoteRef/>
      </w:r>
      <w:r w:rsidRPr="00C431B7">
        <w:rPr>
          <w:rFonts w:ascii="Cambria" w:hAnsi="Cambria"/>
          <w:sz w:val="16"/>
          <w:szCs w:val="16"/>
          <w:lang w:val="pt-BR"/>
        </w:rPr>
        <w:t xml:space="preserve"> CIDH, Informe No. 52/97, Caso 11.218. Fondo. Arges Sequeira Mangas, Nicaragua, Informe Anual de la CIDH 1997, párr. </w:t>
      </w:r>
      <w:r w:rsidRPr="00130550">
        <w:rPr>
          <w:rFonts w:ascii="Cambria" w:hAnsi="Cambria"/>
          <w:sz w:val="16"/>
          <w:szCs w:val="16"/>
          <w:lang w:val="es-AR"/>
        </w:rPr>
        <w:t xml:space="preserve">97. </w:t>
      </w:r>
      <w:r w:rsidRPr="00130550">
        <w:rPr>
          <w:rFonts w:ascii="Cambria" w:hAnsi="Cambria"/>
          <w:i/>
          <w:sz w:val="16"/>
          <w:szCs w:val="16"/>
          <w:lang w:val="es-AR"/>
        </w:rPr>
        <w:t>Ver en igual sentido</w:t>
      </w:r>
      <w:r w:rsidRPr="00130550">
        <w:rPr>
          <w:rFonts w:ascii="Cambria" w:hAnsi="Cambria"/>
          <w:sz w:val="16"/>
          <w:szCs w:val="16"/>
          <w:lang w:val="es-AR"/>
        </w:rPr>
        <w:t xml:space="preserve">: CIDH, Informe No. </w:t>
      </w:r>
      <w:r w:rsidRPr="00130550">
        <w:rPr>
          <w:rFonts w:ascii="Cambria" w:hAnsi="Cambria"/>
          <w:sz w:val="16"/>
          <w:szCs w:val="16"/>
          <w:lang w:val="es-ES_tradnl"/>
        </w:rPr>
        <w:t xml:space="preserve">99/14, Petición 446-09. Admisibilidad. Luis Alberto Rojas Marín. Perú. </w:t>
      </w:r>
      <w:r w:rsidRPr="00130550">
        <w:rPr>
          <w:rFonts w:ascii="Cambria" w:hAnsi="Cambria"/>
          <w:sz w:val="16"/>
          <w:szCs w:val="16"/>
          <w:lang w:val="es-ES"/>
        </w:rPr>
        <w:t xml:space="preserve">6 de noviembre de 2014, </w:t>
      </w:r>
      <w:r w:rsidR="00891BB2">
        <w:rPr>
          <w:rFonts w:ascii="Cambria" w:hAnsi="Cambria"/>
          <w:sz w:val="16"/>
          <w:szCs w:val="16"/>
          <w:lang w:val="es-ES"/>
        </w:rPr>
        <w:t>párr.</w:t>
      </w:r>
      <w:r w:rsidRPr="00130550">
        <w:rPr>
          <w:rFonts w:ascii="Cambria" w:hAnsi="Cambria"/>
          <w:sz w:val="16"/>
          <w:szCs w:val="16"/>
          <w:lang w:val="es-ES"/>
        </w:rPr>
        <w:t xml:space="preserve"> </w:t>
      </w:r>
      <w:r w:rsidRPr="00130550">
        <w:rPr>
          <w:rFonts w:ascii="Cambria" w:hAnsi="Cambria"/>
          <w:sz w:val="16"/>
          <w:szCs w:val="16"/>
          <w:lang w:val="es-AR"/>
        </w:rPr>
        <w:t>44; CIDH, Informe No. 43/13. Petición 171-06. Admisibilidad. Y</w:t>
      </w:r>
      <w:r w:rsidR="00891BB2">
        <w:rPr>
          <w:rFonts w:ascii="Cambria" w:hAnsi="Cambria"/>
          <w:sz w:val="16"/>
          <w:szCs w:val="16"/>
          <w:lang w:val="es-AR"/>
        </w:rPr>
        <w:t>.</w:t>
      </w:r>
      <w:r w:rsidRPr="00130550">
        <w:rPr>
          <w:rFonts w:ascii="Cambria" w:hAnsi="Cambria"/>
          <w:sz w:val="16"/>
          <w:szCs w:val="16"/>
          <w:lang w:val="es-AR"/>
        </w:rPr>
        <w:t>G</w:t>
      </w:r>
      <w:r w:rsidR="00891BB2">
        <w:rPr>
          <w:rFonts w:ascii="Cambria" w:hAnsi="Cambria"/>
          <w:sz w:val="16"/>
          <w:szCs w:val="16"/>
          <w:lang w:val="es-AR"/>
        </w:rPr>
        <w:t>.</w:t>
      </w:r>
      <w:r w:rsidRPr="00130550">
        <w:rPr>
          <w:rFonts w:ascii="Cambria" w:hAnsi="Cambria"/>
          <w:sz w:val="16"/>
          <w:szCs w:val="16"/>
          <w:lang w:val="es-AR"/>
        </w:rPr>
        <w:t>S</w:t>
      </w:r>
      <w:r w:rsidR="00891BB2">
        <w:rPr>
          <w:rFonts w:ascii="Cambria" w:hAnsi="Cambria"/>
          <w:sz w:val="16"/>
          <w:szCs w:val="16"/>
          <w:lang w:val="es-AR"/>
        </w:rPr>
        <w:t>.</w:t>
      </w:r>
      <w:r w:rsidRPr="00130550">
        <w:rPr>
          <w:rFonts w:ascii="Cambria" w:hAnsi="Cambria"/>
          <w:sz w:val="16"/>
          <w:szCs w:val="16"/>
          <w:lang w:val="es-AR"/>
        </w:rPr>
        <w:t>A. Ecuador. 11 de julio de 2013, párr. 30; CIDH, Informe No. 1/11, Admisibilidad, Saúl Filormo Cañar Pauta. Ecuador. 4 de enero de 2011, párr. 30; CIDH, Informe No. 2/10. Petición 1011-03. Admisibilidad. Fredy Marcelo Núñez Naranjo y Otros. Ecuador. 15 de marzo de 2010, párr.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7" w:rsidRDefault="00C431B7" w:rsidP="00E71FB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431B7" w:rsidRDefault="00C43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B7" w:rsidRDefault="00C431B7" w:rsidP="00A50FCF">
    <w:pPr>
      <w:pStyle w:val="Header"/>
      <w:tabs>
        <w:tab w:val="clear" w:pos="4320"/>
        <w:tab w:val="clear" w:pos="8640"/>
      </w:tabs>
      <w:jc w:val="center"/>
      <w:rPr>
        <w:sz w:val="22"/>
        <w:szCs w:val="22"/>
      </w:rPr>
    </w:pPr>
    <w:r>
      <w:rPr>
        <w:noProof/>
        <w:sz w:val="22"/>
        <w:szCs w:val="22"/>
      </w:rPr>
      <w:drawing>
        <wp:inline distT="0" distB="0" distL="0" distR="0" wp14:anchorId="1AE1CC41" wp14:editId="6365AAE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431B7" w:rsidRPr="00EC7D62" w:rsidRDefault="00B67D6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86" w:rsidRDefault="00435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92C"/>
    <w:multiLevelType w:val="hybridMultilevel"/>
    <w:tmpl w:val="A1C47FA8"/>
    <w:lvl w:ilvl="0" w:tplc="C22A5BB4">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61B38"/>
    <w:multiLevelType w:val="hybridMultilevel"/>
    <w:tmpl w:val="40C65D92"/>
    <w:lvl w:ilvl="0" w:tplc="AE4660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132D01"/>
    <w:multiLevelType w:val="hybridMultilevel"/>
    <w:tmpl w:val="97B469F8"/>
    <w:lvl w:ilvl="0" w:tplc="9E941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F63F77"/>
    <w:multiLevelType w:val="hybridMultilevel"/>
    <w:tmpl w:val="19DC6B90"/>
    <w:lvl w:ilvl="0" w:tplc="35B6FF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ED2360"/>
    <w:multiLevelType w:val="hybridMultilevel"/>
    <w:tmpl w:val="C436DFEE"/>
    <w:lvl w:ilvl="0" w:tplc="5CD256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F0C1F"/>
    <w:multiLevelType w:val="hybridMultilevel"/>
    <w:tmpl w:val="98D0FB36"/>
    <w:lvl w:ilvl="0" w:tplc="10BEC2A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4FE95B08"/>
    <w:multiLevelType w:val="hybridMultilevel"/>
    <w:tmpl w:val="D5A8126A"/>
    <w:lvl w:ilvl="0" w:tplc="2850F2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885D86"/>
    <w:multiLevelType w:val="hybridMultilevel"/>
    <w:tmpl w:val="7006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E6718"/>
    <w:multiLevelType w:val="hybridMultilevel"/>
    <w:tmpl w:val="D85A70D4"/>
    <w:lvl w:ilvl="0" w:tplc="C84EFCFC">
      <w:start w:val="1"/>
      <w:numFmt w:val="decimal"/>
      <w:lvlText w:val="%1."/>
      <w:lvlJc w:val="left"/>
      <w:pPr>
        <w:tabs>
          <w:tab w:val="num" w:pos="720"/>
        </w:tabs>
        <w:ind w:left="720" w:hanging="360"/>
      </w:pPr>
      <w:rPr>
        <w:rFonts w:hint="default"/>
      </w:rPr>
    </w:lvl>
    <w:lvl w:ilvl="1" w:tplc="5EC417BC">
      <w:start w:val="1"/>
      <w:numFmt w:val="upperLetter"/>
      <w:pStyle w:val="Heading2"/>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2E"/>
    <w:rsid w:val="00011535"/>
    <w:rsid w:val="000118A8"/>
    <w:rsid w:val="000120FC"/>
    <w:rsid w:val="00024781"/>
    <w:rsid w:val="00025B40"/>
    <w:rsid w:val="00026B39"/>
    <w:rsid w:val="00026B8A"/>
    <w:rsid w:val="000362F6"/>
    <w:rsid w:val="0005708D"/>
    <w:rsid w:val="00057F83"/>
    <w:rsid w:val="00060497"/>
    <w:rsid w:val="00061813"/>
    <w:rsid w:val="000620BA"/>
    <w:rsid w:val="000642E8"/>
    <w:rsid w:val="0006483E"/>
    <w:rsid w:val="00074A26"/>
    <w:rsid w:val="000819AB"/>
    <w:rsid w:val="000A27CA"/>
    <w:rsid w:val="000A4620"/>
    <w:rsid w:val="000A7399"/>
    <w:rsid w:val="000C080A"/>
    <w:rsid w:val="000D0F5B"/>
    <w:rsid w:val="000D7EE0"/>
    <w:rsid w:val="000E5A63"/>
    <w:rsid w:val="000F39AC"/>
    <w:rsid w:val="001156E0"/>
    <w:rsid w:val="001226AD"/>
    <w:rsid w:val="00130550"/>
    <w:rsid w:val="0013108D"/>
    <w:rsid w:val="0013740D"/>
    <w:rsid w:val="0014253F"/>
    <w:rsid w:val="00151385"/>
    <w:rsid w:val="00153636"/>
    <w:rsid w:val="0016307B"/>
    <w:rsid w:val="00170475"/>
    <w:rsid w:val="001709AE"/>
    <w:rsid w:val="00172DD6"/>
    <w:rsid w:val="00175F6D"/>
    <w:rsid w:val="00180243"/>
    <w:rsid w:val="001807C3"/>
    <w:rsid w:val="001829C6"/>
    <w:rsid w:val="00194E0D"/>
    <w:rsid w:val="00196921"/>
    <w:rsid w:val="001A05C1"/>
    <w:rsid w:val="001A6CA4"/>
    <w:rsid w:val="001B2DC1"/>
    <w:rsid w:val="001B7739"/>
    <w:rsid w:val="001C31B5"/>
    <w:rsid w:val="001C56ED"/>
    <w:rsid w:val="001D1575"/>
    <w:rsid w:val="001D3626"/>
    <w:rsid w:val="001F490A"/>
    <w:rsid w:val="001F4EE9"/>
    <w:rsid w:val="001F5805"/>
    <w:rsid w:val="001F5F70"/>
    <w:rsid w:val="001F6D52"/>
    <w:rsid w:val="0021419A"/>
    <w:rsid w:val="00214EC2"/>
    <w:rsid w:val="002241F3"/>
    <w:rsid w:val="00227968"/>
    <w:rsid w:val="00244DDC"/>
    <w:rsid w:val="002458A8"/>
    <w:rsid w:val="00245BBD"/>
    <w:rsid w:val="00252281"/>
    <w:rsid w:val="0027140F"/>
    <w:rsid w:val="00293010"/>
    <w:rsid w:val="002A1E77"/>
    <w:rsid w:val="002A42A6"/>
    <w:rsid w:val="002B082F"/>
    <w:rsid w:val="002C227E"/>
    <w:rsid w:val="002C75BA"/>
    <w:rsid w:val="002D7CCD"/>
    <w:rsid w:val="002E2213"/>
    <w:rsid w:val="002F62CE"/>
    <w:rsid w:val="003029D0"/>
    <w:rsid w:val="00305FDF"/>
    <w:rsid w:val="00332588"/>
    <w:rsid w:val="00334908"/>
    <w:rsid w:val="003355BC"/>
    <w:rsid w:val="00364107"/>
    <w:rsid w:val="00366A51"/>
    <w:rsid w:val="003751C9"/>
    <w:rsid w:val="00387A98"/>
    <w:rsid w:val="00390EE6"/>
    <w:rsid w:val="003A06B1"/>
    <w:rsid w:val="003A6F79"/>
    <w:rsid w:val="003B01E7"/>
    <w:rsid w:val="003C0059"/>
    <w:rsid w:val="003C20C6"/>
    <w:rsid w:val="003C2257"/>
    <w:rsid w:val="003C38D2"/>
    <w:rsid w:val="003C440C"/>
    <w:rsid w:val="003D6834"/>
    <w:rsid w:val="003E28BB"/>
    <w:rsid w:val="00400A04"/>
    <w:rsid w:val="00407474"/>
    <w:rsid w:val="0043311D"/>
    <w:rsid w:val="00434D92"/>
    <w:rsid w:val="00435843"/>
    <w:rsid w:val="00435986"/>
    <w:rsid w:val="00441877"/>
    <w:rsid w:val="00441C0C"/>
    <w:rsid w:val="00444A56"/>
    <w:rsid w:val="00456443"/>
    <w:rsid w:val="004635D8"/>
    <w:rsid w:val="00472F70"/>
    <w:rsid w:val="00483DA4"/>
    <w:rsid w:val="004A0A58"/>
    <w:rsid w:val="004A6ADE"/>
    <w:rsid w:val="004A70FE"/>
    <w:rsid w:val="004B0997"/>
    <w:rsid w:val="004B0EF8"/>
    <w:rsid w:val="004C320C"/>
    <w:rsid w:val="004C731A"/>
    <w:rsid w:val="004E0B62"/>
    <w:rsid w:val="004F0DF5"/>
    <w:rsid w:val="005036CF"/>
    <w:rsid w:val="00506E7A"/>
    <w:rsid w:val="0051008C"/>
    <w:rsid w:val="00510905"/>
    <w:rsid w:val="00516FF7"/>
    <w:rsid w:val="00517EB2"/>
    <w:rsid w:val="00527515"/>
    <w:rsid w:val="005310CC"/>
    <w:rsid w:val="00541730"/>
    <w:rsid w:val="00542F43"/>
    <w:rsid w:val="00557490"/>
    <w:rsid w:val="00562D27"/>
    <w:rsid w:val="00563519"/>
    <w:rsid w:val="00574E3C"/>
    <w:rsid w:val="005758BA"/>
    <w:rsid w:val="00577F43"/>
    <w:rsid w:val="00580690"/>
    <w:rsid w:val="00582429"/>
    <w:rsid w:val="005855B8"/>
    <w:rsid w:val="00587FF0"/>
    <w:rsid w:val="005A10D0"/>
    <w:rsid w:val="005A64B4"/>
    <w:rsid w:val="005A6AA4"/>
    <w:rsid w:val="005B0579"/>
    <w:rsid w:val="005B2921"/>
    <w:rsid w:val="005C162A"/>
    <w:rsid w:val="005C5A87"/>
    <w:rsid w:val="005C7977"/>
    <w:rsid w:val="005D32AC"/>
    <w:rsid w:val="005E44BE"/>
    <w:rsid w:val="005F0841"/>
    <w:rsid w:val="005F22A8"/>
    <w:rsid w:val="005F36F9"/>
    <w:rsid w:val="005F79F2"/>
    <w:rsid w:val="006028C5"/>
    <w:rsid w:val="006057D3"/>
    <w:rsid w:val="00606E9F"/>
    <w:rsid w:val="0061446E"/>
    <w:rsid w:val="006150D6"/>
    <w:rsid w:val="00627612"/>
    <w:rsid w:val="0063603A"/>
    <w:rsid w:val="00636DC3"/>
    <w:rsid w:val="006377F6"/>
    <w:rsid w:val="006468C8"/>
    <w:rsid w:val="00666069"/>
    <w:rsid w:val="00675691"/>
    <w:rsid w:val="0068035D"/>
    <w:rsid w:val="00680B26"/>
    <w:rsid w:val="006857F4"/>
    <w:rsid w:val="006A2FCA"/>
    <w:rsid w:val="006A6D5A"/>
    <w:rsid w:val="006B3D95"/>
    <w:rsid w:val="006B705D"/>
    <w:rsid w:val="006C11B0"/>
    <w:rsid w:val="006C2740"/>
    <w:rsid w:val="006C4AC4"/>
    <w:rsid w:val="006D336C"/>
    <w:rsid w:val="006D7838"/>
    <w:rsid w:val="006F2603"/>
    <w:rsid w:val="006F487B"/>
    <w:rsid w:val="00706AA5"/>
    <w:rsid w:val="00715126"/>
    <w:rsid w:val="0072305D"/>
    <w:rsid w:val="00727583"/>
    <w:rsid w:val="0073726C"/>
    <w:rsid w:val="0074236F"/>
    <w:rsid w:val="007451A3"/>
    <w:rsid w:val="007519D6"/>
    <w:rsid w:val="00761251"/>
    <w:rsid w:val="0077319B"/>
    <w:rsid w:val="00773DDA"/>
    <w:rsid w:val="007763F1"/>
    <w:rsid w:val="00793A1F"/>
    <w:rsid w:val="007951DF"/>
    <w:rsid w:val="00795F8C"/>
    <w:rsid w:val="00797E02"/>
    <w:rsid w:val="007B3C1A"/>
    <w:rsid w:val="007C0EC5"/>
    <w:rsid w:val="007C3F22"/>
    <w:rsid w:val="007D0C97"/>
    <w:rsid w:val="007D2E8A"/>
    <w:rsid w:val="007E3F9D"/>
    <w:rsid w:val="007F64A9"/>
    <w:rsid w:val="00806A99"/>
    <w:rsid w:val="008423D9"/>
    <w:rsid w:val="00842685"/>
    <w:rsid w:val="008457C3"/>
    <w:rsid w:val="0085635E"/>
    <w:rsid w:val="008579F3"/>
    <w:rsid w:val="00864378"/>
    <w:rsid w:val="00873AF4"/>
    <w:rsid w:val="008865D1"/>
    <w:rsid w:val="00891BB2"/>
    <w:rsid w:val="00893AD4"/>
    <w:rsid w:val="008A4791"/>
    <w:rsid w:val="008B07DF"/>
    <w:rsid w:val="008B227D"/>
    <w:rsid w:val="008C05EC"/>
    <w:rsid w:val="008C3AD7"/>
    <w:rsid w:val="008C4652"/>
    <w:rsid w:val="008C7865"/>
    <w:rsid w:val="008D5090"/>
    <w:rsid w:val="008E0562"/>
    <w:rsid w:val="008E1BCA"/>
    <w:rsid w:val="008F42C8"/>
    <w:rsid w:val="008F7434"/>
    <w:rsid w:val="0090529C"/>
    <w:rsid w:val="00916509"/>
    <w:rsid w:val="00930B96"/>
    <w:rsid w:val="00945945"/>
    <w:rsid w:val="00956453"/>
    <w:rsid w:val="009578FF"/>
    <w:rsid w:val="009656AF"/>
    <w:rsid w:val="0096659A"/>
    <w:rsid w:val="009715B9"/>
    <w:rsid w:val="009748BE"/>
    <w:rsid w:val="00974F85"/>
    <w:rsid w:val="0098353B"/>
    <w:rsid w:val="009B464D"/>
    <w:rsid w:val="009C7ADE"/>
    <w:rsid w:val="009D01FC"/>
    <w:rsid w:val="009D561D"/>
    <w:rsid w:val="009D7F89"/>
    <w:rsid w:val="009F1F3F"/>
    <w:rsid w:val="009F2180"/>
    <w:rsid w:val="009F6B12"/>
    <w:rsid w:val="009F7B16"/>
    <w:rsid w:val="00A11725"/>
    <w:rsid w:val="00A16152"/>
    <w:rsid w:val="00A2131C"/>
    <w:rsid w:val="00A313DC"/>
    <w:rsid w:val="00A32377"/>
    <w:rsid w:val="00A433ED"/>
    <w:rsid w:val="00A550EB"/>
    <w:rsid w:val="00A60144"/>
    <w:rsid w:val="00A678E9"/>
    <w:rsid w:val="00A7486F"/>
    <w:rsid w:val="00A77657"/>
    <w:rsid w:val="00A85222"/>
    <w:rsid w:val="00A9202A"/>
    <w:rsid w:val="00A955ED"/>
    <w:rsid w:val="00AA0B45"/>
    <w:rsid w:val="00AA48E5"/>
    <w:rsid w:val="00AB7CC9"/>
    <w:rsid w:val="00AC4485"/>
    <w:rsid w:val="00AD1757"/>
    <w:rsid w:val="00AD4C33"/>
    <w:rsid w:val="00AD5F71"/>
    <w:rsid w:val="00AE1E16"/>
    <w:rsid w:val="00AE2A72"/>
    <w:rsid w:val="00AE4D8D"/>
    <w:rsid w:val="00AF1432"/>
    <w:rsid w:val="00AF2F84"/>
    <w:rsid w:val="00B0510B"/>
    <w:rsid w:val="00B067B8"/>
    <w:rsid w:val="00B077A7"/>
    <w:rsid w:val="00B10483"/>
    <w:rsid w:val="00B14273"/>
    <w:rsid w:val="00B17572"/>
    <w:rsid w:val="00B21B29"/>
    <w:rsid w:val="00B40443"/>
    <w:rsid w:val="00B46DE5"/>
    <w:rsid w:val="00B47D46"/>
    <w:rsid w:val="00B50B4A"/>
    <w:rsid w:val="00B51396"/>
    <w:rsid w:val="00B57023"/>
    <w:rsid w:val="00B67D65"/>
    <w:rsid w:val="00B72A65"/>
    <w:rsid w:val="00B76A44"/>
    <w:rsid w:val="00B81D7A"/>
    <w:rsid w:val="00B92391"/>
    <w:rsid w:val="00B93134"/>
    <w:rsid w:val="00BA0219"/>
    <w:rsid w:val="00BA1805"/>
    <w:rsid w:val="00BA40A8"/>
    <w:rsid w:val="00BA40F6"/>
    <w:rsid w:val="00BB7D98"/>
    <w:rsid w:val="00BD07BC"/>
    <w:rsid w:val="00BD54B7"/>
    <w:rsid w:val="00BE5445"/>
    <w:rsid w:val="00BE77E0"/>
    <w:rsid w:val="00BF38C1"/>
    <w:rsid w:val="00C040CB"/>
    <w:rsid w:val="00C11831"/>
    <w:rsid w:val="00C26195"/>
    <w:rsid w:val="00C26B95"/>
    <w:rsid w:val="00C431B7"/>
    <w:rsid w:val="00C43651"/>
    <w:rsid w:val="00C52E1D"/>
    <w:rsid w:val="00C608C0"/>
    <w:rsid w:val="00C60D09"/>
    <w:rsid w:val="00C64C85"/>
    <w:rsid w:val="00C656DB"/>
    <w:rsid w:val="00C7490F"/>
    <w:rsid w:val="00C775A8"/>
    <w:rsid w:val="00C84FA0"/>
    <w:rsid w:val="00C92828"/>
    <w:rsid w:val="00C93C36"/>
    <w:rsid w:val="00C978A7"/>
    <w:rsid w:val="00CA6649"/>
    <w:rsid w:val="00CA66F5"/>
    <w:rsid w:val="00CB184F"/>
    <w:rsid w:val="00CB6FA5"/>
    <w:rsid w:val="00CC7484"/>
    <w:rsid w:val="00CD3035"/>
    <w:rsid w:val="00CD5B05"/>
    <w:rsid w:val="00CE63E3"/>
    <w:rsid w:val="00CE7DE5"/>
    <w:rsid w:val="00CF6F01"/>
    <w:rsid w:val="00D00420"/>
    <w:rsid w:val="00D0556B"/>
    <w:rsid w:val="00D3514C"/>
    <w:rsid w:val="00D37914"/>
    <w:rsid w:val="00D545DF"/>
    <w:rsid w:val="00D55725"/>
    <w:rsid w:val="00D66110"/>
    <w:rsid w:val="00D85DA1"/>
    <w:rsid w:val="00D86F3C"/>
    <w:rsid w:val="00D904BE"/>
    <w:rsid w:val="00D9577E"/>
    <w:rsid w:val="00DA56DE"/>
    <w:rsid w:val="00DA75F6"/>
    <w:rsid w:val="00DB7B30"/>
    <w:rsid w:val="00DE2899"/>
    <w:rsid w:val="00DE5C67"/>
    <w:rsid w:val="00DF4963"/>
    <w:rsid w:val="00E03B54"/>
    <w:rsid w:val="00E135F9"/>
    <w:rsid w:val="00E15A14"/>
    <w:rsid w:val="00E2276E"/>
    <w:rsid w:val="00E368E5"/>
    <w:rsid w:val="00E43F91"/>
    <w:rsid w:val="00E44274"/>
    <w:rsid w:val="00E564A2"/>
    <w:rsid w:val="00E73733"/>
    <w:rsid w:val="00E84CE6"/>
    <w:rsid w:val="00E8703F"/>
    <w:rsid w:val="00E92181"/>
    <w:rsid w:val="00EB3CD2"/>
    <w:rsid w:val="00EB4B5B"/>
    <w:rsid w:val="00EC050E"/>
    <w:rsid w:val="00EC4B58"/>
    <w:rsid w:val="00EC4FB6"/>
    <w:rsid w:val="00EC5F88"/>
    <w:rsid w:val="00ED0999"/>
    <w:rsid w:val="00ED2215"/>
    <w:rsid w:val="00ED5EAC"/>
    <w:rsid w:val="00EE0665"/>
    <w:rsid w:val="00EE3C40"/>
    <w:rsid w:val="00EE50AA"/>
    <w:rsid w:val="00EE5BCB"/>
    <w:rsid w:val="00F034CF"/>
    <w:rsid w:val="00F06929"/>
    <w:rsid w:val="00F12863"/>
    <w:rsid w:val="00F2225B"/>
    <w:rsid w:val="00F258B2"/>
    <w:rsid w:val="00F25FF7"/>
    <w:rsid w:val="00F27009"/>
    <w:rsid w:val="00F309ED"/>
    <w:rsid w:val="00F30F32"/>
    <w:rsid w:val="00F32A2E"/>
    <w:rsid w:val="00F345F0"/>
    <w:rsid w:val="00F502E0"/>
    <w:rsid w:val="00F518F1"/>
    <w:rsid w:val="00F64074"/>
    <w:rsid w:val="00F70744"/>
    <w:rsid w:val="00F73721"/>
    <w:rsid w:val="00F7619C"/>
    <w:rsid w:val="00F826F1"/>
    <w:rsid w:val="00F84B77"/>
    <w:rsid w:val="00F957FF"/>
    <w:rsid w:val="00FA36E4"/>
    <w:rsid w:val="00FA4E31"/>
    <w:rsid w:val="00FB016C"/>
    <w:rsid w:val="00FC2ACB"/>
    <w:rsid w:val="00FC43D1"/>
    <w:rsid w:val="00FC58CE"/>
    <w:rsid w:val="00FD78F2"/>
    <w:rsid w:val="00FF067D"/>
    <w:rsid w:val="00FF0ED7"/>
    <w:rsid w:val="00FF4839"/>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pPr>
    <w:rPr>
      <w:sz w:val="22"/>
      <w:szCs w:val="22"/>
    </w:rPr>
  </w:style>
  <w:style w:type="paragraph" w:styleId="Heading1">
    <w:name w:val="heading 1"/>
    <w:basedOn w:val="Normal"/>
    <w:next w:val="Normal"/>
    <w:link w:val="Heading1Char"/>
    <w:uiPriority w:val="9"/>
    <w:qFormat/>
    <w:rsid w:val="005758BA"/>
    <w:pPr>
      <w:keepNext/>
      <w:keepLines/>
      <w:numPr>
        <w:numId w:val="11"/>
      </w:numPr>
      <w:spacing w:after="0"/>
      <w:outlineLvl w:val="0"/>
    </w:pPr>
    <w:rPr>
      <w:rFonts w:asciiTheme="majorHAnsi" w:eastAsiaTheme="majorEastAsia" w:hAnsiTheme="majorHAnsi" w:cstheme="majorBidi"/>
      <w:b/>
      <w:bCs/>
      <w:sz w:val="20"/>
      <w:szCs w:val="20"/>
      <w:lang w:val="es-AR"/>
    </w:rPr>
  </w:style>
  <w:style w:type="paragraph" w:styleId="Heading2">
    <w:name w:val="heading 2"/>
    <w:basedOn w:val="ListParagraph"/>
    <w:next w:val="Normal"/>
    <w:link w:val="Heading2Char"/>
    <w:qFormat/>
    <w:rsid w:val="00636DC3"/>
    <w:pPr>
      <w:numPr>
        <w:ilvl w:val="1"/>
        <w:numId w:val="4"/>
      </w:numPr>
      <w:pBdr>
        <w:top w:val="nil"/>
        <w:left w:val="nil"/>
        <w:bottom w:val="nil"/>
        <w:right w:val="nil"/>
        <w:between w:val="nil"/>
        <w:bar w:val="nil"/>
      </w:pBdr>
      <w:spacing w:after="0"/>
      <w:ind w:left="1440" w:hanging="720"/>
      <w:outlineLvl w:val="1"/>
    </w:pPr>
    <w:rPr>
      <w:rFonts w:ascii="Cambria" w:eastAsia="Cambria" w:hAnsi="Cambria" w:cs="Cambria"/>
      <w:color w:val="000000"/>
      <w:sz w:val="20"/>
      <w:szCs w:val="20"/>
      <w:u w:color="000000"/>
      <w:bdr w:val="nil"/>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7B"/>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basedOn w:val="Normal"/>
    <w:link w:val="FootnoteTextChar"/>
    <w:unhideWhenUsed/>
    <w:rsid w:val="00577F4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rsid w:val="00577F43"/>
  </w:style>
  <w:style w:type="character" w:styleId="FootnoteReference">
    <w:name w:val="footnote reference"/>
    <w:aliases w:val="Footnotes refss,Texto de nota al pie,Appel note de bas de page,referencia nota al pie,BVI fnr,Footnote number,f,Ref. de nota al pie."/>
    <w:unhideWhenUsed/>
    <w:rsid w:val="00577F43"/>
    <w:rPr>
      <w:vertAlign w:val="superscript"/>
    </w:rPr>
  </w:style>
  <w:style w:type="character" w:customStyle="1" w:styleId="Heading2Char">
    <w:name w:val="Heading 2 Char"/>
    <w:link w:val="Heading2"/>
    <w:rsid w:val="00636DC3"/>
    <w:rPr>
      <w:rFonts w:ascii="Cambria" w:eastAsia="Cambria" w:hAnsi="Cambria" w:cs="Cambria"/>
      <w:color w:val="000000"/>
      <w:u w:color="000000"/>
      <w:bdr w:val="nil"/>
      <w:lang w:val="es-ES_tradnl" w:eastAsia="es-ES"/>
    </w:rPr>
  </w:style>
  <w:style w:type="paragraph" w:styleId="BalloonText">
    <w:name w:val="Balloon Text"/>
    <w:basedOn w:val="Normal"/>
    <w:link w:val="BalloonTextChar"/>
    <w:uiPriority w:val="99"/>
    <w:semiHidden/>
    <w:unhideWhenUsed/>
    <w:rsid w:val="00BE77E0"/>
    <w:pPr>
      <w:spacing w:after="0"/>
    </w:pPr>
    <w:rPr>
      <w:rFonts w:ascii="Tahoma" w:hAnsi="Tahoma" w:cs="Tahoma"/>
      <w:sz w:val="16"/>
      <w:szCs w:val="16"/>
    </w:rPr>
  </w:style>
  <w:style w:type="character" w:customStyle="1" w:styleId="BalloonTextChar">
    <w:name w:val="Balloon Text Char"/>
    <w:link w:val="BalloonText"/>
    <w:uiPriority w:val="99"/>
    <w:semiHidden/>
    <w:rsid w:val="00BE77E0"/>
    <w:rPr>
      <w:rFonts w:ascii="Tahoma" w:hAnsi="Tahoma" w:cs="Tahoma"/>
      <w:sz w:val="16"/>
      <w:szCs w:val="16"/>
    </w:rPr>
  </w:style>
  <w:style w:type="paragraph" w:styleId="Footer">
    <w:name w:val="footer"/>
    <w:link w:val="FooterChar"/>
    <w:uiPriority w:val="99"/>
    <w:rsid w:val="00C431B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C431B7"/>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C431B7"/>
    <w:pPr>
      <w:widowControl w:val="0"/>
      <w:tabs>
        <w:tab w:val="center" w:pos="4320"/>
        <w:tab w:val="right" w:pos="8640"/>
      </w:tabs>
      <w:snapToGrid w:val="0"/>
      <w:spacing w:after="0"/>
    </w:pPr>
    <w:rPr>
      <w:rFonts w:ascii="Univers" w:eastAsia="Times New Roman" w:hAnsi="Univers" w:cs="Univers"/>
      <w:sz w:val="24"/>
      <w:szCs w:val="24"/>
    </w:rPr>
  </w:style>
  <w:style w:type="character" w:customStyle="1" w:styleId="HeaderChar">
    <w:name w:val="Header Char"/>
    <w:aliases w:val="encabezado Char"/>
    <w:basedOn w:val="DefaultParagraphFont"/>
    <w:link w:val="Header"/>
    <w:rsid w:val="00C431B7"/>
    <w:rPr>
      <w:rFonts w:ascii="Univers" w:eastAsia="Times New Roman" w:hAnsi="Univers" w:cs="Univers"/>
      <w:sz w:val="24"/>
      <w:szCs w:val="24"/>
    </w:rPr>
  </w:style>
  <w:style w:type="character" w:styleId="PageNumber">
    <w:name w:val="page number"/>
    <w:basedOn w:val="DefaultParagraphFont"/>
    <w:rsid w:val="00C431B7"/>
  </w:style>
  <w:style w:type="character" w:customStyle="1" w:styleId="Heading1Char">
    <w:name w:val="Heading 1 Char"/>
    <w:basedOn w:val="DefaultParagraphFont"/>
    <w:link w:val="Heading1"/>
    <w:uiPriority w:val="9"/>
    <w:rsid w:val="005758BA"/>
    <w:rPr>
      <w:rFonts w:asciiTheme="majorHAnsi" w:eastAsiaTheme="majorEastAsia" w:hAnsiTheme="majorHAnsi" w:cstheme="majorBidi"/>
      <w:b/>
      <w:bCs/>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pPr>
    <w:rPr>
      <w:sz w:val="22"/>
      <w:szCs w:val="22"/>
    </w:rPr>
  </w:style>
  <w:style w:type="paragraph" w:styleId="Heading1">
    <w:name w:val="heading 1"/>
    <w:basedOn w:val="Normal"/>
    <w:next w:val="Normal"/>
    <w:link w:val="Heading1Char"/>
    <w:uiPriority w:val="9"/>
    <w:qFormat/>
    <w:rsid w:val="005758BA"/>
    <w:pPr>
      <w:keepNext/>
      <w:keepLines/>
      <w:numPr>
        <w:numId w:val="11"/>
      </w:numPr>
      <w:spacing w:after="0"/>
      <w:outlineLvl w:val="0"/>
    </w:pPr>
    <w:rPr>
      <w:rFonts w:asciiTheme="majorHAnsi" w:eastAsiaTheme="majorEastAsia" w:hAnsiTheme="majorHAnsi" w:cstheme="majorBidi"/>
      <w:b/>
      <w:bCs/>
      <w:sz w:val="20"/>
      <w:szCs w:val="20"/>
      <w:lang w:val="es-AR"/>
    </w:rPr>
  </w:style>
  <w:style w:type="paragraph" w:styleId="Heading2">
    <w:name w:val="heading 2"/>
    <w:basedOn w:val="ListParagraph"/>
    <w:next w:val="Normal"/>
    <w:link w:val="Heading2Char"/>
    <w:qFormat/>
    <w:rsid w:val="00636DC3"/>
    <w:pPr>
      <w:numPr>
        <w:ilvl w:val="1"/>
        <w:numId w:val="4"/>
      </w:numPr>
      <w:pBdr>
        <w:top w:val="nil"/>
        <w:left w:val="nil"/>
        <w:bottom w:val="nil"/>
        <w:right w:val="nil"/>
        <w:between w:val="nil"/>
        <w:bar w:val="nil"/>
      </w:pBdr>
      <w:spacing w:after="0"/>
      <w:ind w:left="1440" w:hanging="720"/>
      <w:outlineLvl w:val="1"/>
    </w:pPr>
    <w:rPr>
      <w:rFonts w:ascii="Cambria" w:eastAsia="Cambria" w:hAnsi="Cambria" w:cs="Cambria"/>
      <w:color w:val="000000"/>
      <w:sz w:val="20"/>
      <w:szCs w:val="20"/>
      <w:u w:color="000000"/>
      <w:bdr w:val="nil"/>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7B"/>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basedOn w:val="Normal"/>
    <w:link w:val="FootnoteTextChar"/>
    <w:unhideWhenUsed/>
    <w:rsid w:val="00577F4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rsid w:val="00577F43"/>
  </w:style>
  <w:style w:type="character" w:styleId="FootnoteReference">
    <w:name w:val="footnote reference"/>
    <w:aliases w:val="Footnotes refss,Texto de nota al pie,Appel note de bas de page,referencia nota al pie,BVI fnr,Footnote number,f,Ref. de nota al pie."/>
    <w:unhideWhenUsed/>
    <w:rsid w:val="00577F43"/>
    <w:rPr>
      <w:vertAlign w:val="superscript"/>
    </w:rPr>
  </w:style>
  <w:style w:type="character" w:customStyle="1" w:styleId="Heading2Char">
    <w:name w:val="Heading 2 Char"/>
    <w:link w:val="Heading2"/>
    <w:rsid w:val="00636DC3"/>
    <w:rPr>
      <w:rFonts w:ascii="Cambria" w:eastAsia="Cambria" w:hAnsi="Cambria" w:cs="Cambria"/>
      <w:color w:val="000000"/>
      <w:u w:color="000000"/>
      <w:bdr w:val="nil"/>
      <w:lang w:val="es-ES_tradnl" w:eastAsia="es-ES"/>
    </w:rPr>
  </w:style>
  <w:style w:type="paragraph" w:styleId="BalloonText">
    <w:name w:val="Balloon Text"/>
    <w:basedOn w:val="Normal"/>
    <w:link w:val="BalloonTextChar"/>
    <w:uiPriority w:val="99"/>
    <w:semiHidden/>
    <w:unhideWhenUsed/>
    <w:rsid w:val="00BE77E0"/>
    <w:pPr>
      <w:spacing w:after="0"/>
    </w:pPr>
    <w:rPr>
      <w:rFonts w:ascii="Tahoma" w:hAnsi="Tahoma" w:cs="Tahoma"/>
      <w:sz w:val="16"/>
      <w:szCs w:val="16"/>
    </w:rPr>
  </w:style>
  <w:style w:type="character" w:customStyle="1" w:styleId="BalloonTextChar">
    <w:name w:val="Balloon Text Char"/>
    <w:link w:val="BalloonText"/>
    <w:uiPriority w:val="99"/>
    <w:semiHidden/>
    <w:rsid w:val="00BE77E0"/>
    <w:rPr>
      <w:rFonts w:ascii="Tahoma" w:hAnsi="Tahoma" w:cs="Tahoma"/>
      <w:sz w:val="16"/>
      <w:szCs w:val="16"/>
    </w:rPr>
  </w:style>
  <w:style w:type="paragraph" w:styleId="Footer">
    <w:name w:val="footer"/>
    <w:link w:val="FooterChar"/>
    <w:uiPriority w:val="99"/>
    <w:rsid w:val="00C431B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C431B7"/>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C431B7"/>
    <w:pPr>
      <w:widowControl w:val="0"/>
      <w:tabs>
        <w:tab w:val="center" w:pos="4320"/>
        <w:tab w:val="right" w:pos="8640"/>
      </w:tabs>
      <w:snapToGrid w:val="0"/>
      <w:spacing w:after="0"/>
    </w:pPr>
    <w:rPr>
      <w:rFonts w:ascii="Univers" w:eastAsia="Times New Roman" w:hAnsi="Univers" w:cs="Univers"/>
      <w:sz w:val="24"/>
      <w:szCs w:val="24"/>
    </w:rPr>
  </w:style>
  <w:style w:type="character" w:customStyle="1" w:styleId="HeaderChar">
    <w:name w:val="Header Char"/>
    <w:aliases w:val="encabezado Char"/>
    <w:basedOn w:val="DefaultParagraphFont"/>
    <w:link w:val="Header"/>
    <w:rsid w:val="00C431B7"/>
    <w:rPr>
      <w:rFonts w:ascii="Univers" w:eastAsia="Times New Roman" w:hAnsi="Univers" w:cs="Univers"/>
      <w:sz w:val="24"/>
      <w:szCs w:val="24"/>
    </w:rPr>
  </w:style>
  <w:style w:type="character" w:styleId="PageNumber">
    <w:name w:val="page number"/>
    <w:basedOn w:val="DefaultParagraphFont"/>
    <w:rsid w:val="00C431B7"/>
  </w:style>
  <w:style w:type="character" w:customStyle="1" w:styleId="Heading1Char">
    <w:name w:val="Heading 1 Char"/>
    <w:basedOn w:val="DefaultParagraphFont"/>
    <w:link w:val="Heading1"/>
    <w:uiPriority w:val="9"/>
    <w:rsid w:val="005758BA"/>
    <w:rPr>
      <w:rFonts w:asciiTheme="majorHAnsi" w:eastAsiaTheme="majorEastAsia" w:hAnsiTheme="majorHAnsi" w:cstheme="majorBidi"/>
      <w:b/>
      <w:bCs/>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888">
      <w:bodyDiv w:val="1"/>
      <w:marLeft w:val="0"/>
      <w:marRight w:val="0"/>
      <w:marTop w:val="0"/>
      <w:marBottom w:val="0"/>
      <w:divBdr>
        <w:top w:val="none" w:sz="0" w:space="0" w:color="auto"/>
        <w:left w:val="none" w:sz="0" w:space="0" w:color="auto"/>
        <w:bottom w:val="none" w:sz="0" w:space="0" w:color="auto"/>
        <w:right w:val="none" w:sz="0" w:space="0" w:color="auto"/>
      </w:divBdr>
    </w:div>
    <w:div w:id="479268803">
      <w:bodyDiv w:val="1"/>
      <w:marLeft w:val="0"/>
      <w:marRight w:val="0"/>
      <w:marTop w:val="0"/>
      <w:marBottom w:val="0"/>
      <w:divBdr>
        <w:top w:val="none" w:sz="0" w:space="0" w:color="auto"/>
        <w:left w:val="none" w:sz="0" w:space="0" w:color="auto"/>
        <w:bottom w:val="none" w:sz="0" w:space="0" w:color="auto"/>
        <w:right w:val="none" w:sz="0" w:space="0" w:color="auto"/>
      </w:divBdr>
    </w:div>
    <w:div w:id="648168363">
      <w:bodyDiv w:val="1"/>
      <w:marLeft w:val="0"/>
      <w:marRight w:val="0"/>
      <w:marTop w:val="0"/>
      <w:marBottom w:val="0"/>
      <w:divBdr>
        <w:top w:val="none" w:sz="0" w:space="0" w:color="auto"/>
        <w:left w:val="none" w:sz="0" w:space="0" w:color="auto"/>
        <w:bottom w:val="none" w:sz="0" w:space="0" w:color="auto"/>
        <w:right w:val="none" w:sz="0" w:space="0" w:color="auto"/>
      </w:divBdr>
    </w:div>
    <w:div w:id="808549120">
      <w:bodyDiv w:val="1"/>
      <w:marLeft w:val="0"/>
      <w:marRight w:val="0"/>
      <w:marTop w:val="0"/>
      <w:marBottom w:val="0"/>
      <w:divBdr>
        <w:top w:val="none" w:sz="0" w:space="0" w:color="auto"/>
        <w:left w:val="none" w:sz="0" w:space="0" w:color="auto"/>
        <w:bottom w:val="none" w:sz="0" w:space="0" w:color="auto"/>
        <w:right w:val="none" w:sz="0" w:space="0" w:color="auto"/>
      </w:divBdr>
    </w:div>
    <w:div w:id="961497166">
      <w:bodyDiv w:val="1"/>
      <w:marLeft w:val="0"/>
      <w:marRight w:val="0"/>
      <w:marTop w:val="0"/>
      <w:marBottom w:val="0"/>
      <w:divBdr>
        <w:top w:val="none" w:sz="0" w:space="0" w:color="auto"/>
        <w:left w:val="none" w:sz="0" w:space="0" w:color="auto"/>
        <w:bottom w:val="none" w:sz="0" w:space="0" w:color="auto"/>
        <w:right w:val="none" w:sz="0" w:space="0" w:color="auto"/>
      </w:divBdr>
    </w:div>
    <w:div w:id="1305886927">
      <w:bodyDiv w:val="1"/>
      <w:marLeft w:val="0"/>
      <w:marRight w:val="0"/>
      <w:marTop w:val="0"/>
      <w:marBottom w:val="0"/>
      <w:divBdr>
        <w:top w:val="none" w:sz="0" w:space="0" w:color="auto"/>
        <w:left w:val="none" w:sz="0" w:space="0" w:color="auto"/>
        <w:bottom w:val="none" w:sz="0" w:space="0" w:color="auto"/>
        <w:right w:val="none" w:sz="0" w:space="0" w:color="auto"/>
      </w:divBdr>
    </w:div>
    <w:div w:id="1400009866">
      <w:bodyDiv w:val="1"/>
      <w:marLeft w:val="0"/>
      <w:marRight w:val="0"/>
      <w:marTop w:val="0"/>
      <w:marBottom w:val="0"/>
      <w:divBdr>
        <w:top w:val="none" w:sz="0" w:space="0" w:color="auto"/>
        <w:left w:val="none" w:sz="0" w:space="0" w:color="auto"/>
        <w:bottom w:val="none" w:sz="0" w:space="0" w:color="auto"/>
        <w:right w:val="none" w:sz="0" w:space="0" w:color="auto"/>
      </w:divBdr>
    </w:div>
    <w:div w:id="17637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9A16-18FC-4585-871C-D151AD03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31/15</dc:title>
  <dc:creator/>
  <cp:lastModifiedBy/>
  <cp:revision>1</cp:revision>
  <dcterms:created xsi:type="dcterms:W3CDTF">2015-11-11T21:30:00Z</dcterms:created>
  <dcterms:modified xsi:type="dcterms:W3CDTF">2015-11-11T21:30:00Z</dcterms:modified>
</cp:coreProperties>
</file>