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40A27">
                              <w:rPr>
                                <w:rFonts w:asciiTheme="majorHAnsi" w:hAnsiTheme="majorHAnsi" w:cs="Arial"/>
                                <w:b/>
                                <w:bCs/>
                                <w:color w:val="0D0D0D" w:themeColor="text1" w:themeTint="F2"/>
                                <w:sz w:val="36"/>
                                <w:szCs w:val="22"/>
                                <w:lang w:val="es-ES_tradnl"/>
                              </w:rPr>
                              <w:t xml:space="preserve"> 56</w:t>
                            </w:r>
                            <w:r w:rsidRPr="004E2649">
                              <w:rPr>
                                <w:rFonts w:asciiTheme="majorHAnsi" w:hAnsiTheme="majorHAnsi" w:cs="Arial"/>
                                <w:b/>
                                <w:bCs/>
                                <w:color w:val="0D0D0D" w:themeColor="text1" w:themeTint="F2"/>
                                <w:sz w:val="36"/>
                                <w:szCs w:val="22"/>
                                <w:lang w:val="es-ES_tradnl"/>
                              </w:rPr>
                              <w:t>/14</w:t>
                            </w:r>
                          </w:p>
                          <w:p w:rsidR="00040A27"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40A27">
                              <w:rPr>
                                <w:rFonts w:asciiTheme="majorHAnsi" w:hAnsiTheme="majorHAnsi" w:cs="Arial"/>
                                <w:b/>
                                <w:color w:val="0D0D0D" w:themeColor="text1" w:themeTint="F2"/>
                                <w:sz w:val="36"/>
                                <w:szCs w:val="22"/>
                                <w:lang w:val="es-ES_tradnl"/>
                              </w:rPr>
                              <w:t>886-04</w:t>
                            </w:r>
                            <w:r w:rsidR="00246D1F" w:rsidRPr="004E2649">
                              <w:rPr>
                                <w:rFonts w:asciiTheme="majorHAnsi" w:hAnsiTheme="majorHAnsi" w:cs="Arial"/>
                                <w:b/>
                                <w:color w:val="0D0D0D" w:themeColor="text1" w:themeTint="F2"/>
                                <w:sz w:val="36"/>
                                <w:szCs w:val="22"/>
                                <w:lang w:val="es-ES_tradnl"/>
                              </w:rPr>
                              <w:t xml:space="preserve"> </w:t>
                            </w:r>
                          </w:p>
                          <w:p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6557D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6557DF" w:rsidRDefault="006557DF" w:rsidP="00997BC5">
                            <w:pPr>
                              <w:spacing w:line="276" w:lineRule="auto"/>
                              <w:rPr>
                                <w:rFonts w:asciiTheme="majorHAnsi" w:hAnsiTheme="majorHAnsi" w:cs="Arial"/>
                                <w:iCs/>
                                <w:color w:val="0D0D0D" w:themeColor="text1" w:themeTint="F2"/>
                                <w:szCs w:val="22"/>
                                <w:lang w:val="es-ES"/>
                              </w:rPr>
                            </w:pPr>
                            <w:r w:rsidRPr="006557DF">
                              <w:rPr>
                                <w:rFonts w:asciiTheme="majorHAnsi" w:hAnsiTheme="majorHAnsi" w:cs="Arial"/>
                                <w:iCs/>
                                <w:color w:val="0D0D0D" w:themeColor="text1" w:themeTint="F2"/>
                                <w:szCs w:val="22"/>
                                <w:lang w:val="es-ES"/>
                              </w:rPr>
                              <w:t xml:space="preserve">RONAL JARED MARTÍNEZ Y FAMILIA Y MARLÓN FABRICIO HERNÁNDEZ FÚNEZ </w:t>
                            </w:r>
                          </w:p>
                          <w:bookmarkEnd w:id="1"/>
                          <w:p w:rsidR="006557DF" w:rsidRPr="006557DF" w:rsidRDefault="006557DF" w:rsidP="006557DF">
                            <w:pPr>
                              <w:spacing w:line="276" w:lineRule="auto"/>
                              <w:rPr>
                                <w:rFonts w:asciiTheme="majorHAnsi" w:hAnsiTheme="majorHAnsi" w:cs="Arial"/>
                                <w:iCs/>
                                <w:color w:val="0D0D0D" w:themeColor="text1" w:themeTint="F2"/>
                                <w:szCs w:val="22"/>
                                <w:lang w:val="es-ES"/>
                              </w:rPr>
                            </w:pPr>
                            <w:r w:rsidRPr="006557DF">
                              <w:rPr>
                                <w:rFonts w:asciiTheme="majorHAnsi" w:hAnsiTheme="majorHAnsi" w:cs="Arial"/>
                                <w:iCs/>
                                <w:color w:val="0D0D0D" w:themeColor="text1" w:themeTint="F2"/>
                                <w:szCs w:val="22"/>
                                <w:lang w:val="es-ES"/>
                              </w:rPr>
                              <w:t>HONDURAS</w:t>
                            </w:r>
                          </w:p>
                          <w:p w:rsidR="005B52B0" w:rsidRPr="0010736F" w:rsidRDefault="005B52B0" w:rsidP="00997BC5">
                            <w:pPr>
                              <w:spacing w:line="276" w:lineRule="auto"/>
                              <w:rPr>
                                <w:rFonts w:asciiTheme="majorHAnsi" w:hAnsiTheme="majorHAnsi" w:cs="Arial"/>
                                <w:color w:val="0D0D0D" w:themeColor="text1" w:themeTint="F2"/>
                                <w:szCs w:val="22"/>
                                <w:lang w:val="es-ES"/>
                              </w:rPr>
                            </w:pP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40A27">
                        <w:rPr>
                          <w:rFonts w:asciiTheme="majorHAnsi" w:hAnsiTheme="majorHAnsi" w:cs="Arial"/>
                          <w:b/>
                          <w:bCs/>
                          <w:color w:val="0D0D0D" w:themeColor="text1" w:themeTint="F2"/>
                          <w:sz w:val="36"/>
                          <w:szCs w:val="22"/>
                          <w:lang w:val="es-ES_tradnl"/>
                        </w:rPr>
                        <w:t xml:space="preserve"> 56</w:t>
                      </w:r>
                      <w:r w:rsidRPr="004E2649">
                        <w:rPr>
                          <w:rFonts w:asciiTheme="majorHAnsi" w:hAnsiTheme="majorHAnsi" w:cs="Arial"/>
                          <w:b/>
                          <w:bCs/>
                          <w:color w:val="0D0D0D" w:themeColor="text1" w:themeTint="F2"/>
                          <w:sz w:val="36"/>
                          <w:szCs w:val="22"/>
                          <w:lang w:val="es-ES_tradnl"/>
                        </w:rPr>
                        <w:t>/14</w:t>
                      </w:r>
                    </w:p>
                    <w:p w:rsidR="00040A27"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40A27">
                        <w:rPr>
                          <w:rFonts w:asciiTheme="majorHAnsi" w:hAnsiTheme="majorHAnsi" w:cs="Arial"/>
                          <w:b/>
                          <w:color w:val="0D0D0D" w:themeColor="text1" w:themeTint="F2"/>
                          <w:sz w:val="36"/>
                          <w:szCs w:val="22"/>
                          <w:lang w:val="es-ES_tradnl"/>
                        </w:rPr>
                        <w:t>886-04</w:t>
                      </w:r>
                      <w:r w:rsidR="00246D1F" w:rsidRPr="004E2649">
                        <w:rPr>
                          <w:rFonts w:asciiTheme="majorHAnsi" w:hAnsiTheme="majorHAnsi" w:cs="Arial"/>
                          <w:b/>
                          <w:color w:val="0D0D0D" w:themeColor="text1" w:themeTint="F2"/>
                          <w:sz w:val="36"/>
                          <w:szCs w:val="22"/>
                          <w:lang w:val="es-ES_tradnl"/>
                        </w:rPr>
                        <w:t xml:space="preserve"> </w:t>
                      </w:r>
                    </w:p>
                    <w:p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6557D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6557DF" w:rsidRDefault="006557DF" w:rsidP="00997BC5">
                      <w:pPr>
                        <w:spacing w:line="276" w:lineRule="auto"/>
                        <w:rPr>
                          <w:rFonts w:asciiTheme="majorHAnsi" w:hAnsiTheme="majorHAnsi" w:cs="Arial"/>
                          <w:iCs/>
                          <w:color w:val="0D0D0D" w:themeColor="text1" w:themeTint="F2"/>
                          <w:szCs w:val="22"/>
                          <w:lang w:val="es-ES"/>
                        </w:rPr>
                      </w:pPr>
                      <w:r w:rsidRPr="006557DF">
                        <w:rPr>
                          <w:rFonts w:asciiTheme="majorHAnsi" w:hAnsiTheme="majorHAnsi" w:cs="Arial"/>
                          <w:iCs/>
                          <w:color w:val="0D0D0D" w:themeColor="text1" w:themeTint="F2"/>
                          <w:szCs w:val="22"/>
                          <w:lang w:val="es-ES"/>
                        </w:rPr>
                        <w:t xml:space="preserve">RONAL JARED MARTÍNEZ Y FAMILIA Y MARLÓN FABRICIO HERNÁNDEZ FÚNEZ </w:t>
                      </w:r>
                    </w:p>
                    <w:bookmarkEnd w:id="1"/>
                    <w:p w:rsidR="006557DF" w:rsidRPr="006557DF" w:rsidRDefault="006557DF" w:rsidP="006557DF">
                      <w:pPr>
                        <w:spacing w:line="276" w:lineRule="auto"/>
                        <w:rPr>
                          <w:rFonts w:asciiTheme="majorHAnsi" w:hAnsiTheme="majorHAnsi" w:cs="Arial"/>
                          <w:iCs/>
                          <w:color w:val="0D0D0D" w:themeColor="text1" w:themeTint="F2"/>
                          <w:szCs w:val="22"/>
                          <w:lang w:val="es-ES"/>
                        </w:rPr>
                      </w:pPr>
                      <w:r w:rsidRPr="006557DF">
                        <w:rPr>
                          <w:rFonts w:asciiTheme="majorHAnsi" w:hAnsiTheme="majorHAnsi" w:cs="Arial"/>
                          <w:iCs/>
                          <w:color w:val="0D0D0D" w:themeColor="text1" w:themeTint="F2"/>
                          <w:szCs w:val="22"/>
                          <w:lang w:val="es-ES"/>
                        </w:rPr>
                        <w:t>HONDURAS</w:t>
                      </w:r>
                    </w:p>
                    <w:p w:rsidR="005B52B0" w:rsidRPr="0010736F" w:rsidRDefault="005B52B0" w:rsidP="00997BC5">
                      <w:pPr>
                        <w:spacing w:line="276" w:lineRule="auto"/>
                        <w:rPr>
                          <w:rFonts w:asciiTheme="majorHAnsi" w:hAnsiTheme="majorHAnsi" w:cs="Arial"/>
                          <w:color w:val="0D0D0D" w:themeColor="text1" w:themeTint="F2"/>
                          <w:szCs w:val="22"/>
                          <w:lang w:val="es-ES"/>
                        </w:rPr>
                      </w:pP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990635" w:rsidRDefault="003972C0" w:rsidP="007A5817">
                            <w:pPr>
                              <w:spacing w:line="276" w:lineRule="auto"/>
                              <w:jc w:val="right"/>
                              <w:rPr>
                                <w:rFonts w:asciiTheme="minorHAnsi" w:hAnsiTheme="minorHAnsi"/>
                                <w:color w:val="FFFFFF" w:themeColor="background1"/>
                                <w:sz w:val="22"/>
                                <w:lang w:val="pt-BR"/>
                              </w:rPr>
                            </w:pPr>
                            <w:r w:rsidRPr="00990635">
                              <w:rPr>
                                <w:rFonts w:asciiTheme="minorHAnsi" w:hAnsiTheme="minorHAnsi"/>
                                <w:color w:val="FFFFFF" w:themeColor="background1"/>
                                <w:sz w:val="22"/>
                                <w:lang w:val="pt-BR"/>
                              </w:rPr>
                              <w:t>OEA/Ser.L/V/II.151</w:t>
                            </w:r>
                          </w:p>
                          <w:p w:rsidR="00627C9F" w:rsidRPr="00990635" w:rsidRDefault="00040A27" w:rsidP="007A5817">
                            <w:pPr>
                              <w:spacing w:line="276" w:lineRule="auto"/>
                              <w:jc w:val="right"/>
                              <w:rPr>
                                <w:rFonts w:asciiTheme="minorHAnsi" w:hAnsiTheme="minorHAnsi"/>
                                <w:color w:val="FFFFFF" w:themeColor="background1"/>
                                <w:sz w:val="22"/>
                                <w:lang w:val="pt-BR"/>
                              </w:rPr>
                            </w:pPr>
                            <w:r w:rsidRPr="00990635">
                              <w:rPr>
                                <w:rFonts w:asciiTheme="minorHAnsi" w:hAnsiTheme="minorHAnsi"/>
                                <w:color w:val="FFFFFF" w:themeColor="background1"/>
                                <w:sz w:val="22"/>
                                <w:lang w:val="pt-BR"/>
                              </w:rPr>
                              <w:t>Doc. 21</w:t>
                            </w:r>
                          </w:p>
                          <w:p w:rsidR="00627C9F" w:rsidRPr="00040A27" w:rsidRDefault="00040A2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21 de julio</w:t>
                            </w:r>
                            <w:r w:rsidR="00627C9F" w:rsidRPr="00040A27">
                              <w:rPr>
                                <w:rFonts w:asciiTheme="minorHAnsi" w:hAnsiTheme="minorHAnsi"/>
                                <w:color w:val="FFFFFF" w:themeColor="background1"/>
                                <w:sz w:val="22"/>
                                <w:lang w:val="es-ES"/>
                              </w:rPr>
                              <w:t xml:space="preserve"> 2014</w:t>
                            </w:r>
                          </w:p>
                          <w:p w:rsidR="00627C9F" w:rsidRPr="00040A27" w:rsidRDefault="00E0340B" w:rsidP="007A5817">
                            <w:pPr>
                              <w:spacing w:line="276" w:lineRule="auto"/>
                              <w:jc w:val="right"/>
                              <w:rPr>
                                <w:rFonts w:asciiTheme="minorHAnsi" w:hAnsiTheme="minorHAnsi"/>
                                <w:color w:val="FFFFFF" w:themeColor="background1"/>
                                <w:sz w:val="22"/>
                                <w:lang w:val="es-ES"/>
                              </w:rPr>
                            </w:pPr>
                            <w:r w:rsidRPr="00040A27">
                              <w:rPr>
                                <w:rFonts w:asciiTheme="minorHAnsi" w:hAnsiTheme="minorHAnsi"/>
                                <w:color w:val="FFFFFF" w:themeColor="background1"/>
                                <w:sz w:val="22"/>
                                <w:lang w:val="es-ES"/>
                              </w:rPr>
                              <w:t xml:space="preserve">Original: </w:t>
                            </w:r>
                            <w:r w:rsidR="008B12F5" w:rsidRPr="00040A27">
                              <w:rPr>
                                <w:rFonts w:asciiTheme="minorHAnsi" w:hAnsiTheme="minorHAnsi"/>
                                <w:color w:val="FFFFFF" w:themeColor="background1"/>
                                <w:sz w:val="22"/>
                                <w:lang w:val="es-ES"/>
                              </w:rPr>
                              <w:t>e</w:t>
                            </w:r>
                            <w:r w:rsidR="00627C9F" w:rsidRPr="00040A27">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040A27" w:rsidRDefault="003972C0" w:rsidP="007A5817">
                      <w:pPr>
                        <w:spacing w:line="276" w:lineRule="auto"/>
                        <w:jc w:val="right"/>
                        <w:rPr>
                          <w:rFonts w:asciiTheme="minorHAnsi" w:hAnsiTheme="minorHAnsi"/>
                          <w:color w:val="FFFFFF" w:themeColor="background1"/>
                          <w:sz w:val="22"/>
                          <w:lang w:val="es-ES"/>
                        </w:rPr>
                      </w:pPr>
                      <w:r w:rsidRPr="00040A27">
                        <w:rPr>
                          <w:rFonts w:asciiTheme="minorHAnsi" w:hAnsiTheme="minorHAnsi"/>
                          <w:color w:val="FFFFFF" w:themeColor="background1"/>
                          <w:sz w:val="22"/>
                          <w:lang w:val="es-ES"/>
                        </w:rPr>
                        <w:t>OEA/</w:t>
                      </w:r>
                      <w:proofErr w:type="spellStart"/>
                      <w:r w:rsidRPr="00040A27">
                        <w:rPr>
                          <w:rFonts w:asciiTheme="minorHAnsi" w:hAnsiTheme="minorHAnsi"/>
                          <w:color w:val="FFFFFF" w:themeColor="background1"/>
                          <w:sz w:val="22"/>
                          <w:lang w:val="es-ES"/>
                        </w:rPr>
                        <w:t>Ser.L</w:t>
                      </w:r>
                      <w:proofErr w:type="spellEnd"/>
                      <w:r w:rsidRPr="00040A27">
                        <w:rPr>
                          <w:rFonts w:asciiTheme="minorHAnsi" w:hAnsiTheme="minorHAnsi"/>
                          <w:color w:val="FFFFFF" w:themeColor="background1"/>
                          <w:sz w:val="22"/>
                          <w:lang w:val="es-ES"/>
                        </w:rPr>
                        <w:t>/V/II.151</w:t>
                      </w:r>
                    </w:p>
                    <w:p w:rsidR="00627C9F" w:rsidRPr="00040A27" w:rsidRDefault="00040A27" w:rsidP="007A5817">
                      <w:pPr>
                        <w:spacing w:line="276" w:lineRule="auto"/>
                        <w:jc w:val="right"/>
                        <w:rPr>
                          <w:rFonts w:asciiTheme="minorHAnsi" w:hAnsiTheme="minorHAnsi"/>
                          <w:color w:val="FFFFFF" w:themeColor="background1"/>
                          <w:sz w:val="22"/>
                          <w:lang w:val="es-ES"/>
                        </w:rPr>
                      </w:pPr>
                      <w:r w:rsidRPr="00040A27">
                        <w:rPr>
                          <w:rFonts w:asciiTheme="minorHAnsi" w:hAnsiTheme="minorHAnsi"/>
                          <w:color w:val="FFFFFF" w:themeColor="background1"/>
                          <w:sz w:val="22"/>
                          <w:lang w:val="es-ES"/>
                        </w:rPr>
                        <w:t>Doc. 2</w:t>
                      </w:r>
                      <w:r>
                        <w:rPr>
                          <w:rFonts w:asciiTheme="minorHAnsi" w:hAnsiTheme="minorHAnsi"/>
                          <w:color w:val="FFFFFF" w:themeColor="background1"/>
                          <w:sz w:val="22"/>
                          <w:lang w:val="es-ES"/>
                        </w:rPr>
                        <w:t>1</w:t>
                      </w:r>
                    </w:p>
                    <w:p w:rsidR="00627C9F" w:rsidRPr="00040A27" w:rsidRDefault="00040A2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21 de julio</w:t>
                      </w:r>
                      <w:r w:rsidR="00627C9F" w:rsidRPr="00040A27">
                        <w:rPr>
                          <w:rFonts w:asciiTheme="minorHAnsi" w:hAnsiTheme="minorHAnsi"/>
                          <w:color w:val="FFFFFF" w:themeColor="background1"/>
                          <w:sz w:val="22"/>
                          <w:lang w:val="es-ES"/>
                        </w:rPr>
                        <w:t xml:space="preserve"> 2014</w:t>
                      </w:r>
                    </w:p>
                    <w:p w:rsidR="00627C9F" w:rsidRPr="00040A27" w:rsidRDefault="00E0340B" w:rsidP="007A5817">
                      <w:pPr>
                        <w:spacing w:line="276" w:lineRule="auto"/>
                        <w:jc w:val="right"/>
                        <w:rPr>
                          <w:rFonts w:asciiTheme="minorHAnsi" w:hAnsiTheme="minorHAnsi"/>
                          <w:color w:val="FFFFFF" w:themeColor="background1"/>
                          <w:sz w:val="22"/>
                          <w:lang w:val="es-ES"/>
                        </w:rPr>
                      </w:pPr>
                      <w:r w:rsidRPr="00040A27">
                        <w:rPr>
                          <w:rFonts w:asciiTheme="minorHAnsi" w:hAnsiTheme="minorHAnsi"/>
                          <w:color w:val="FFFFFF" w:themeColor="background1"/>
                          <w:sz w:val="22"/>
                          <w:lang w:val="es-ES"/>
                        </w:rPr>
                        <w:t xml:space="preserve">Original: </w:t>
                      </w:r>
                      <w:r w:rsidR="008B12F5" w:rsidRPr="00040A27">
                        <w:rPr>
                          <w:rFonts w:asciiTheme="minorHAnsi" w:hAnsiTheme="minorHAnsi"/>
                          <w:color w:val="FFFFFF" w:themeColor="background1"/>
                          <w:sz w:val="22"/>
                          <w:lang w:val="es-ES"/>
                        </w:rPr>
                        <w:t>e</w:t>
                      </w:r>
                      <w:r w:rsidR="00627C9F" w:rsidRPr="00040A27">
                        <w:rPr>
                          <w:rFonts w:asciiTheme="minorHAnsi" w:hAnsiTheme="minorHAnsi"/>
                          <w:color w:val="FFFFFF" w:themeColor="background1"/>
                          <w:sz w:val="22"/>
                          <w:lang w:val="es-E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1441" w:rsidRPr="00B51441" w:rsidRDefault="005B52B0" w:rsidP="00B51441">
                            <w:pPr>
                              <w:tabs>
                                <w:tab w:val="center" w:pos="5400"/>
                              </w:tabs>
                              <w:suppressAutoHyphens/>
                              <w:spacing w:before="60"/>
                              <w:rPr>
                                <w:rFonts w:asciiTheme="majorHAnsi" w:hAnsiTheme="majorHAnsi" w:cs="Univers"/>
                                <w:color w:val="0D0D0D" w:themeColor="text1" w:themeTint="F2"/>
                                <w:sz w:val="18"/>
                                <w:szCs w:val="20"/>
                                <w:lang w:val="es-ES"/>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B51441">
                              <w:rPr>
                                <w:rFonts w:asciiTheme="majorHAnsi" w:hAnsiTheme="majorHAnsi"/>
                                <w:color w:val="0D0D0D" w:themeColor="text1" w:themeTint="F2"/>
                                <w:sz w:val="18"/>
                                <w:szCs w:val="20"/>
                                <w:lang w:val="es-ES"/>
                              </w:rPr>
                              <w:t xml:space="preserve"> 1991</w:t>
                            </w:r>
                            <w:r w:rsidR="005F0DAD" w:rsidRPr="00890650">
                              <w:rPr>
                                <w:rFonts w:asciiTheme="majorHAnsi" w:hAnsiTheme="majorHAnsi"/>
                                <w:color w:val="0D0D0D" w:themeColor="text1" w:themeTint="F2"/>
                                <w:sz w:val="18"/>
                                <w:szCs w:val="20"/>
                                <w:lang w:val="es-ES"/>
                              </w:rPr>
                              <w:t xml:space="preserve"> c</w:t>
                            </w:r>
                            <w:r w:rsidR="00F24231">
                              <w:rPr>
                                <w:rFonts w:asciiTheme="majorHAnsi" w:hAnsiTheme="majorHAnsi"/>
                                <w:color w:val="0D0D0D" w:themeColor="text1" w:themeTint="F2"/>
                                <w:sz w:val="18"/>
                                <w:szCs w:val="20"/>
                                <w:lang w:val="es-ES"/>
                              </w:rPr>
                              <w:t>elebrada el 21</w:t>
                            </w:r>
                            <w:r w:rsidR="00733453">
                              <w:rPr>
                                <w:rFonts w:asciiTheme="majorHAnsi" w:hAnsiTheme="majorHAnsi"/>
                                <w:color w:val="0D0D0D" w:themeColor="text1" w:themeTint="F2"/>
                                <w:sz w:val="18"/>
                                <w:szCs w:val="20"/>
                                <w:lang w:val="es-ES"/>
                              </w:rPr>
                              <w:t xml:space="preserve"> de julio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B51441" w:rsidRPr="00B51441">
                              <w:rPr>
                                <w:rFonts w:asciiTheme="majorHAnsi" w:hAnsiTheme="majorHAnsi" w:cs="Univers"/>
                                <w:color w:val="0D0D0D" w:themeColor="text1" w:themeTint="F2"/>
                                <w:sz w:val="18"/>
                                <w:szCs w:val="20"/>
                                <w:lang w:val="es-ES"/>
                              </w:rPr>
                              <w:t>151 período ordinario de sesiones</w:t>
                            </w:r>
                          </w:p>
                          <w:p w:rsidR="00DD3D86" w:rsidRPr="00B51441" w:rsidRDefault="00DD3D86" w:rsidP="00247403">
                            <w:pPr>
                              <w:tabs>
                                <w:tab w:val="center" w:pos="5400"/>
                              </w:tabs>
                              <w:suppressAutoHyphens/>
                              <w:spacing w:before="60"/>
                              <w:rPr>
                                <w:rFonts w:asciiTheme="majorHAnsi" w:hAnsiTheme="majorHAnsi" w:cs="Univers"/>
                                <w:color w:val="0D0D0D" w:themeColor="text1" w:themeTint="F2"/>
                                <w:sz w:val="18"/>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B51441" w:rsidRPr="00B51441" w:rsidRDefault="005B52B0" w:rsidP="00B51441">
                      <w:pPr>
                        <w:tabs>
                          <w:tab w:val="center" w:pos="5400"/>
                        </w:tabs>
                        <w:suppressAutoHyphens/>
                        <w:spacing w:before="60"/>
                        <w:rPr>
                          <w:rFonts w:asciiTheme="majorHAnsi" w:hAnsiTheme="majorHAnsi" w:cs="Univers"/>
                          <w:color w:val="0D0D0D" w:themeColor="text1" w:themeTint="F2"/>
                          <w:sz w:val="18"/>
                          <w:szCs w:val="20"/>
                          <w:lang w:val="es-ES"/>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B51441">
                        <w:rPr>
                          <w:rFonts w:asciiTheme="majorHAnsi" w:hAnsiTheme="majorHAnsi"/>
                          <w:color w:val="0D0D0D" w:themeColor="text1" w:themeTint="F2"/>
                          <w:sz w:val="18"/>
                          <w:szCs w:val="20"/>
                          <w:lang w:val="es-ES"/>
                        </w:rPr>
                        <w:t xml:space="preserve"> </w:t>
                      </w:r>
                      <w:r w:rsidR="00B51441">
                        <w:rPr>
                          <w:rFonts w:asciiTheme="majorHAnsi" w:hAnsiTheme="majorHAnsi"/>
                          <w:color w:val="0D0D0D" w:themeColor="text1" w:themeTint="F2"/>
                          <w:sz w:val="18"/>
                          <w:szCs w:val="20"/>
                          <w:lang w:val="es-ES"/>
                        </w:rPr>
                        <w:t>1991</w:t>
                      </w:r>
                      <w:bookmarkStart w:id="2" w:name="_GoBack"/>
                      <w:bookmarkEnd w:id="2"/>
                      <w:r w:rsidR="005F0DAD" w:rsidRPr="00890650">
                        <w:rPr>
                          <w:rFonts w:asciiTheme="majorHAnsi" w:hAnsiTheme="majorHAnsi"/>
                          <w:color w:val="0D0D0D" w:themeColor="text1" w:themeTint="F2"/>
                          <w:sz w:val="18"/>
                          <w:szCs w:val="20"/>
                          <w:lang w:val="es-ES"/>
                        </w:rPr>
                        <w:t xml:space="preserve"> c</w:t>
                      </w:r>
                      <w:r w:rsidR="00F24231">
                        <w:rPr>
                          <w:rFonts w:asciiTheme="majorHAnsi" w:hAnsiTheme="majorHAnsi"/>
                          <w:color w:val="0D0D0D" w:themeColor="text1" w:themeTint="F2"/>
                          <w:sz w:val="18"/>
                          <w:szCs w:val="20"/>
                          <w:lang w:val="es-ES"/>
                        </w:rPr>
                        <w:t>elebrada el 21</w:t>
                      </w:r>
                      <w:r w:rsidR="00733453">
                        <w:rPr>
                          <w:rFonts w:asciiTheme="majorHAnsi" w:hAnsiTheme="majorHAnsi"/>
                          <w:color w:val="0D0D0D" w:themeColor="text1" w:themeTint="F2"/>
                          <w:sz w:val="18"/>
                          <w:szCs w:val="20"/>
                          <w:lang w:val="es-ES"/>
                        </w:rPr>
                        <w:t xml:space="preserve"> de julio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B51441" w:rsidRPr="00B51441">
                        <w:rPr>
                          <w:rFonts w:asciiTheme="majorHAnsi" w:hAnsiTheme="majorHAnsi" w:cs="Univers"/>
                          <w:color w:val="0D0D0D" w:themeColor="text1" w:themeTint="F2"/>
                          <w:sz w:val="18"/>
                          <w:szCs w:val="20"/>
                          <w:lang w:val="es-ES"/>
                        </w:rPr>
                        <w:t>151 período ordinario de sesiones</w:t>
                      </w:r>
                    </w:p>
                    <w:p w:rsidR="00DD3D86" w:rsidRPr="00B51441" w:rsidRDefault="00DD3D86" w:rsidP="00247403">
                      <w:pPr>
                        <w:tabs>
                          <w:tab w:val="center" w:pos="5400"/>
                        </w:tabs>
                        <w:suppressAutoHyphens/>
                        <w:spacing w:before="60"/>
                        <w:rPr>
                          <w:rFonts w:asciiTheme="majorHAnsi" w:hAnsiTheme="majorHAnsi" w:cs="Univers"/>
                          <w:color w:val="0D0D0D" w:themeColor="text1" w:themeTint="F2"/>
                          <w:sz w:val="18"/>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B71397" w:rsidRDefault="00113F73" w:rsidP="00113F73">
                            <w:pPr>
                              <w:spacing w:line="276" w:lineRule="auto"/>
                              <w:rPr>
                                <w:rFonts w:asciiTheme="majorHAnsi" w:hAnsiTheme="majorHAnsi"/>
                                <w:color w:val="595959" w:themeColor="text1" w:themeTint="A6"/>
                                <w:sz w:val="18"/>
                                <w:szCs w:val="18"/>
                                <w:lang w:val="es-ES"/>
                              </w:rPr>
                            </w:pPr>
                            <w:r w:rsidRPr="00B71397">
                              <w:rPr>
                                <w:rFonts w:asciiTheme="majorHAnsi" w:hAnsiTheme="majorHAnsi"/>
                                <w:b/>
                                <w:color w:val="595959" w:themeColor="text1" w:themeTint="A6"/>
                                <w:sz w:val="18"/>
                                <w:szCs w:val="18"/>
                                <w:lang w:val="es-ES"/>
                              </w:rPr>
                              <w:t>Citar como:</w:t>
                            </w:r>
                            <w:r w:rsidRPr="00B71397">
                              <w:rPr>
                                <w:rFonts w:asciiTheme="majorHAnsi" w:hAnsiTheme="majorHAnsi"/>
                                <w:color w:val="595959" w:themeColor="text1" w:themeTint="A6"/>
                                <w:sz w:val="18"/>
                                <w:szCs w:val="18"/>
                                <w:lang w:val="es-ES"/>
                              </w:rPr>
                              <w:t xml:space="preserve"> CIDH, Informe No. </w:t>
                            </w:r>
                            <w:r w:rsidR="00B71397">
                              <w:rPr>
                                <w:rFonts w:asciiTheme="majorHAnsi" w:hAnsiTheme="majorHAnsi"/>
                                <w:color w:val="595959" w:themeColor="text1" w:themeTint="A6"/>
                                <w:sz w:val="18"/>
                                <w:szCs w:val="18"/>
                                <w:lang w:val="es-ES_tradnl"/>
                              </w:rPr>
                              <w:t xml:space="preserve">56/14, Petición 886-04. Admisibilidad. </w:t>
                            </w:r>
                            <w:proofErr w:type="spellStart"/>
                            <w:r w:rsidR="00B71397">
                              <w:rPr>
                                <w:rFonts w:asciiTheme="majorHAnsi" w:hAnsiTheme="majorHAnsi"/>
                                <w:color w:val="595959" w:themeColor="text1" w:themeTint="A6"/>
                                <w:sz w:val="18"/>
                                <w:szCs w:val="18"/>
                                <w:lang w:val="es-ES_tradnl"/>
                              </w:rPr>
                              <w:t>Ronal</w:t>
                            </w:r>
                            <w:proofErr w:type="spellEnd"/>
                            <w:r w:rsidR="00B71397">
                              <w:rPr>
                                <w:rFonts w:asciiTheme="majorHAnsi" w:hAnsiTheme="majorHAnsi"/>
                                <w:color w:val="595959" w:themeColor="text1" w:themeTint="A6"/>
                                <w:sz w:val="18"/>
                                <w:szCs w:val="18"/>
                                <w:lang w:val="es-ES_tradnl"/>
                              </w:rPr>
                              <w:t xml:space="preserve"> Jared Martínez  y familia y </w:t>
                            </w:r>
                            <w:proofErr w:type="spellStart"/>
                            <w:r w:rsidR="00B71397">
                              <w:rPr>
                                <w:rFonts w:asciiTheme="majorHAnsi" w:hAnsiTheme="majorHAnsi"/>
                                <w:color w:val="595959" w:themeColor="text1" w:themeTint="A6"/>
                                <w:sz w:val="18"/>
                                <w:szCs w:val="18"/>
                                <w:lang w:val="es-ES_tradnl"/>
                              </w:rPr>
                              <w:t>Marlón</w:t>
                            </w:r>
                            <w:proofErr w:type="spellEnd"/>
                            <w:r w:rsidR="00B71397">
                              <w:rPr>
                                <w:rFonts w:asciiTheme="majorHAnsi" w:hAnsiTheme="majorHAnsi"/>
                                <w:color w:val="595959" w:themeColor="text1" w:themeTint="A6"/>
                                <w:sz w:val="18"/>
                                <w:szCs w:val="18"/>
                                <w:lang w:val="es-ES_tradnl"/>
                              </w:rPr>
                              <w:t xml:space="preserve"> Fabricio</w:t>
                            </w:r>
                            <w:r w:rsidR="00872C01">
                              <w:rPr>
                                <w:rFonts w:asciiTheme="majorHAnsi" w:hAnsiTheme="majorHAnsi"/>
                                <w:color w:val="595959" w:themeColor="text1" w:themeTint="A6"/>
                                <w:sz w:val="18"/>
                                <w:szCs w:val="18"/>
                                <w:lang w:val="es-ES_tradnl"/>
                              </w:rPr>
                              <w:t xml:space="preserve"> Hernández Fúnez. Honduras</w:t>
                            </w:r>
                            <w:r w:rsidRPr="00890650">
                              <w:rPr>
                                <w:rFonts w:asciiTheme="majorHAnsi" w:hAnsiTheme="majorHAnsi"/>
                                <w:color w:val="595959" w:themeColor="text1" w:themeTint="A6"/>
                                <w:sz w:val="18"/>
                                <w:szCs w:val="18"/>
                                <w:lang w:val="es-ES_tradnl"/>
                              </w:rPr>
                              <w:t xml:space="preserve">. </w:t>
                            </w:r>
                            <w:r w:rsidR="00872C01">
                              <w:rPr>
                                <w:rFonts w:asciiTheme="majorHAnsi" w:hAnsiTheme="majorHAnsi"/>
                                <w:color w:val="595959" w:themeColor="text1" w:themeTint="A6"/>
                                <w:sz w:val="18"/>
                                <w:szCs w:val="18"/>
                                <w:lang w:val="es-ES"/>
                              </w:rPr>
                              <w:t>21 de julio de 2014</w:t>
                            </w:r>
                            <w:r w:rsidRPr="00B7139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B71397" w:rsidRDefault="00113F73" w:rsidP="00113F73">
                      <w:pPr>
                        <w:spacing w:line="276" w:lineRule="auto"/>
                        <w:rPr>
                          <w:rFonts w:asciiTheme="majorHAnsi" w:hAnsiTheme="majorHAnsi"/>
                          <w:color w:val="595959" w:themeColor="text1" w:themeTint="A6"/>
                          <w:sz w:val="18"/>
                          <w:szCs w:val="18"/>
                          <w:lang w:val="es-ES"/>
                        </w:rPr>
                      </w:pPr>
                      <w:r w:rsidRPr="00B71397">
                        <w:rPr>
                          <w:rFonts w:asciiTheme="majorHAnsi" w:hAnsiTheme="majorHAnsi"/>
                          <w:b/>
                          <w:color w:val="595959" w:themeColor="text1" w:themeTint="A6"/>
                          <w:sz w:val="18"/>
                          <w:szCs w:val="18"/>
                          <w:lang w:val="es-ES"/>
                        </w:rPr>
                        <w:t>Citar como:</w:t>
                      </w:r>
                      <w:r w:rsidRPr="00B71397">
                        <w:rPr>
                          <w:rFonts w:asciiTheme="majorHAnsi" w:hAnsiTheme="majorHAnsi"/>
                          <w:color w:val="595959" w:themeColor="text1" w:themeTint="A6"/>
                          <w:sz w:val="18"/>
                          <w:szCs w:val="18"/>
                          <w:lang w:val="es-ES"/>
                        </w:rPr>
                        <w:t xml:space="preserve"> CIDH, Informe No. </w:t>
                      </w:r>
                      <w:r w:rsidR="00B71397">
                        <w:rPr>
                          <w:rFonts w:asciiTheme="majorHAnsi" w:hAnsiTheme="majorHAnsi"/>
                          <w:color w:val="595959" w:themeColor="text1" w:themeTint="A6"/>
                          <w:sz w:val="18"/>
                          <w:szCs w:val="18"/>
                          <w:lang w:val="es-ES_tradnl"/>
                        </w:rPr>
                        <w:t xml:space="preserve">56/14, Petición 886-04. Admisibilidad. </w:t>
                      </w:r>
                      <w:proofErr w:type="spellStart"/>
                      <w:r w:rsidR="00B71397">
                        <w:rPr>
                          <w:rFonts w:asciiTheme="majorHAnsi" w:hAnsiTheme="majorHAnsi"/>
                          <w:color w:val="595959" w:themeColor="text1" w:themeTint="A6"/>
                          <w:sz w:val="18"/>
                          <w:szCs w:val="18"/>
                          <w:lang w:val="es-ES_tradnl"/>
                        </w:rPr>
                        <w:t>Ronal</w:t>
                      </w:r>
                      <w:proofErr w:type="spellEnd"/>
                      <w:r w:rsidR="00B71397">
                        <w:rPr>
                          <w:rFonts w:asciiTheme="majorHAnsi" w:hAnsiTheme="majorHAnsi"/>
                          <w:color w:val="595959" w:themeColor="text1" w:themeTint="A6"/>
                          <w:sz w:val="18"/>
                          <w:szCs w:val="18"/>
                          <w:lang w:val="es-ES_tradnl"/>
                        </w:rPr>
                        <w:t xml:space="preserve"> Jared Martínez  y familia y </w:t>
                      </w:r>
                      <w:proofErr w:type="spellStart"/>
                      <w:r w:rsidR="00B71397">
                        <w:rPr>
                          <w:rFonts w:asciiTheme="majorHAnsi" w:hAnsiTheme="majorHAnsi"/>
                          <w:color w:val="595959" w:themeColor="text1" w:themeTint="A6"/>
                          <w:sz w:val="18"/>
                          <w:szCs w:val="18"/>
                          <w:lang w:val="es-ES_tradnl"/>
                        </w:rPr>
                        <w:t>Marlón</w:t>
                      </w:r>
                      <w:proofErr w:type="spellEnd"/>
                      <w:r w:rsidR="00B71397">
                        <w:rPr>
                          <w:rFonts w:asciiTheme="majorHAnsi" w:hAnsiTheme="majorHAnsi"/>
                          <w:color w:val="595959" w:themeColor="text1" w:themeTint="A6"/>
                          <w:sz w:val="18"/>
                          <w:szCs w:val="18"/>
                          <w:lang w:val="es-ES_tradnl"/>
                        </w:rPr>
                        <w:t xml:space="preserve"> Fabricio</w:t>
                      </w:r>
                      <w:r w:rsidR="00872C01">
                        <w:rPr>
                          <w:rFonts w:asciiTheme="majorHAnsi" w:hAnsiTheme="majorHAnsi"/>
                          <w:color w:val="595959" w:themeColor="text1" w:themeTint="A6"/>
                          <w:sz w:val="18"/>
                          <w:szCs w:val="18"/>
                          <w:lang w:val="es-ES_tradnl"/>
                        </w:rPr>
                        <w:t xml:space="preserve"> Hernández Fúnez. Honduras</w:t>
                      </w:r>
                      <w:r w:rsidRPr="00890650">
                        <w:rPr>
                          <w:rFonts w:asciiTheme="majorHAnsi" w:hAnsiTheme="majorHAnsi"/>
                          <w:color w:val="595959" w:themeColor="text1" w:themeTint="A6"/>
                          <w:sz w:val="18"/>
                          <w:szCs w:val="18"/>
                          <w:lang w:val="es-ES_tradnl"/>
                        </w:rPr>
                        <w:t xml:space="preserve">. </w:t>
                      </w:r>
                      <w:r w:rsidR="00872C01">
                        <w:rPr>
                          <w:rFonts w:asciiTheme="majorHAnsi" w:hAnsiTheme="majorHAnsi"/>
                          <w:color w:val="595959" w:themeColor="text1" w:themeTint="A6"/>
                          <w:sz w:val="18"/>
                          <w:szCs w:val="18"/>
                          <w:lang w:val="es-ES"/>
                        </w:rPr>
                        <w:t>21 de julio de 2014</w:t>
                      </w:r>
                      <w:r w:rsidRPr="00B71397">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872C01" w:rsidRPr="00872C01" w:rsidRDefault="00872C01" w:rsidP="00872C01">
      <w:pPr>
        <w:tabs>
          <w:tab w:val="center" w:pos="5400"/>
        </w:tabs>
        <w:suppressAutoHyphens/>
        <w:spacing w:line="276" w:lineRule="auto"/>
        <w:jc w:val="center"/>
        <w:rPr>
          <w:rFonts w:asciiTheme="majorHAnsi" w:hAnsiTheme="majorHAnsi"/>
          <w:b/>
          <w:sz w:val="18"/>
          <w:szCs w:val="20"/>
          <w:lang w:val="es-ES_tradnl"/>
        </w:rPr>
      </w:pPr>
      <w:r w:rsidRPr="00872C01">
        <w:rPr>
          <w:rFonts w:asciiTheme="majorHAnsi" w:hAnsiTheme="majorHAnsi"/>
          <w:b/>
          <w:sz w:val="18"/>
          <w:szCs w:val="20"/>
          <w:lang w:val="es-ES_tradnl"/>
        </w:rPr>
        <w:lastRenderedPageBreak/>
        <w:t>INFORME No. 56/14</w:t>
      </w:r>
    </w:p>
    <w:p w:rsidR="00872C01" w:rsidRPr="00872C01" w:rsidRDefault="00872C01" w:rsidP="00872C01">
      <w:pPr>
        <w:tabs>
          <w:tab w:val="center" w:pos="5400"/>
        </w:tabs>
        <w:suppressAutoHyphens/>
        <w:spacing w:line="276" w:lineRule="auto"/>
        <w:jc w:val="center"/>
        <w:rPr>
          <w:rFonts w:asciiTheme="majorHAnsi" w:hAnsiTheme="majorHAnsi"/>
          <w:b/>
          <w:sz w:val="18"/>
          <w:szCs w:val="20"/>
          <w:lang w:val="es-ES_tradnl"/>
        </w:rPr>
      </w:pPr>
      <w:r w:rsidRPr="00872C01">
        <w:rPr>
          <w:rFonts w:asciiTheme="majorHAnsi" w:hAnsiTheme="majorHAnsi"/>
          <w:b/>
          <w:sz w:val="18"/>
          <w:szCs w:val="20"/>
          <w:lang w:val="es-ES_tradnl"/>
        </w:rPr>
        <w:t>PETICIÓN 886-04</w:t>
      </w:r>
    </w:p>
    <w:p w:rsidR="00872C01" w:rsidRPr="00872C01" w:rsidRDefault="00872C01" w:rsidP="00872C01">
      <w:pPr>
        <w:tabs>
          <w:tab w:val="center" w:pos="5400"/>
        </w:tabs>
        <w:suppressAutoHyphens/>
        <w:spacing w:line="276" w:lineRule="auto"/>
        <w:jc w:val="center"/>
        <w:rPr>
          <w:rFonts w:asciiTheme="majorHAnsi" w:hAnsiTheme="majorHAnsi"/>
          <w:sz w:val="18"/>
          <w:szCs w:val="20"/>
          <w:lang w:val="es-ES_tradnl"/>
        </w:rPr>
      </w:pPr>
      <w:r w:rsidRPr="00872C01">
        <w:rPr>
          <w:rFonts w:asciiTheme="majorHAnsi" w:hAnsiTheme="majorHAnsi"/>
          <w:sz w:val="18"/>
          <w:szCs w:val="20"/>
          <w:lang w:val="es-ES_tradnl"/>
        </w:rPr>
        <w:t>ADMISIBILIDAD</w:t>
      </w:r>
    </w:p>
    <w:p w:rsidR="00872C01" w:rsidRPr="00872C01" w:rsidRDefault="00872C01" w:rsidP="00872C01">
      <w:pPr>
        <w:tabs>
          <w:tab w:val="center" w:pos="5400"/>
        </w:tabs>
        <w:suppressAutoHyphens/>
        <w:spacing w:line="276" w:lineRule="auto"/>
        <w:jc w:val="center"/>
        <w:rPr>
          <w:rFonts w:asciiTheme="majorHAnsi" w:hAnsiTheme="majorHAnsi"/>
          <w:sz w:val="18"/>
          <w:szCs w:val="20"/>
          <w:lang w:val="es-ES_tradnl"/>
        </w:rPr>
      </w:pPr>
      <w:r w:rsidRPr="00872C01">
        <w:rPr>
          <w:rFonts w:asciiTheme="majorHAnsi" w:hAnsiTheme="majorHAnsi"/>
          <w:sz w:val="18"/>
          <w:szCs w:val="20"/>
          <w:lang w:val="es-ES_tradnl"/>
        </w:rPr>
        <w:t>RONAL JARED MARTÍNEZ Y FAMILIA Y MARLÓN FABRICIO HERNÁNDEZ FÚNEZ</w:t>
      </w:r>
    </w:p>
    <w:p w:rsidR="000A392E" w:rsidRDefault="00614078" w:rsidP="00733453">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HONDURAS</w:t>
      </w:r>
      <w:r>
        <w:rPr>
          <w:rFonts w:asciiTheme="majorHAnsi" w:hAnsiTheme="majorHAnsi"/>
          <w:sz w:val="18"/>
          <w:szCs w:val="20"/>
          <w:lang w:val="es-ES_tradnl"/>
        </w:rPr>
        <w:br/>
        <w:t xml:space="preserve">21 DE JULIO DE </w:t>
      </w:r>
      <w:r w:rsidR="00872C01" w:rsidRPr="00872C01">
        <w:rPr>
          <w:rFonts w:asciiTheme="majorHAnsi" w:hAnsiTheme="majorHAnsi"/>
          <w:sz w:val="18"/>
          <w:szCs w:val="20"/>
          <w:lang w:val="es-ES_tradnl"/>
        </w:rPr>
        <w:t>2014</w:t>
      </w:r>
    </w:p>
    <w:p w:rsidR="00733453" w:rsidRPr="00733453" w:rsidRDefault="00733453" w:rsidP="00733453">
      <w:pPr>
        <w:tabs>
          <w:tab w:val="center" w:pos="5400"/>
        </w:tabs>
        <w:suppressAutoHyphens/>
        <w:spacing w:line="276" w:lineRule="auto"/>
        <w:jc w:val="center"/>
        <w:rPr>
          <w:rFonts w:asciiTheme="majorHAnsi" w:hAnsiTheme="majorHAnsi"/>
          <w:sz w:val="18"/>
          <w:szCs w:val="20"/>
          <w:lang w:val="es-ES_tradnl"/>
        </w:rPr>
      </w:pPr>
    </w:p>
    <w:p w:rsidR="00D37BFC" w:rsidRPr="005A596C" w:rsidRDefault="00D37BFC" w:rsidP="000F35ED">
      <w:pPr>
        <w:tabs>
          <w:tab w:val="center" w:pos="5400"/>
        </w:tabs>
        <w:suppressAutoHyphens/>
        <w:spacing w:line="276" w:lineRule="auto"/>
        <w:rPr>
          <w:rFonts w:ascii="Cambria" w:hAnsi="Cambria"/>
          <w:color w:val="A6A6A6" w:themeColor="background1" w:themeShade="A6"/>
          <w:sz w:val="20"/>
          <w:szCs w:val="20"/>
          <w:lang w:val="es-ES_tradnl"/>
        </w:rPr>
      </w:pPr>
    </w:p>
    <w:p w:rsidR="00CF2395" w:rsidRDefault="00CF2395" w:rsidP="00C21492">
      <w:pPr>
        <w:keepN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Cambria" w:eastAsia="Times New Roman" w:hAnsi="Cambria" w:cs="Arial"/>
          <w:b/>
          <w:bCs/>
          <w:kern w:val="32"/>
          <w:sz w:val="20"/>
          <w:szCs w:val="20"/>
          <w:bdr w:val="none" w:sz="0" w:space="0" w:color="auto"/>
          <w:lang w:val="es-ES"/>
        </w:rPr>
      </w:pPr>
      <w:r w:rsidRPr="00CF2395">
        <w:rPr>
          <w:rFonts w:ascii="Cambria" w:eastAsia="Times New Roman" w:hAnsi="Cambria" w:cs="Arial"/>
          <w:b/>
          <w:bCs/>
          <w:kern w:val="32"/>
          <w:sz w:val="20"/>
          <w:szCs w:val="20"/>
          <w:bdr w:val="none" w:sz="0" w:space="0" w:color="auto"/>
          <w:lang w:val="es-ES"/>
        </w:rPr>
        <w:t>RESUMEN</w:t>
      </w:r>
    </w:p>
    <w:p w:rsidR="00C21492" w:rsidRPr="00C21492" w:rsidRDefault="00C21492" w:rsidP="00C21492">
      <w:pPr>
        <w:keepNext/>
        <w:pBdr>
          <w:top w:val="none" w:sz="0" w:space="0" w:color="auto"/>
          <w:left w:val="none" w:sz="0" w:space="0" w:color="auto"/>
          <w:bottom w:val="none" w:sz="0" w:space="0" w:color="auto"/>
          <w:right w:val="none" w:sz="0" w:space="0" w:color="auto"/>
          <w:between w:val="none" w:sz="0" w:space="0" w:color="auto"/>
          <w:bar w:val="none" w:sz="0" w:color="auto"/>
        </w:pBdr>
        <w:ind w:left="1440"/>
        <w:outlineLvl w:val="0"/>
        <w:rPr>
          <w:rFonts w:ascii="Cambria" w:eastAsia="Times New Roman" w:hAnsi="Cambria" w:cs="Arial"/>
          <w:b/>
          <w:bCs/>
          <w:kern w:val="32"/>
          <w:sz w:val="20"/>
          <w:szCs w:val="20"/>
          <w:bdr w:val="none" w:sz="0" w:space="0" w:color="auto"/>
          <w:lang w:val="es-ES"/>
        </w:rPr>
      </w:pPr>
    </w:p>
    <w:p w:rsid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ES_tradnl"/>
        </w:rPr>
        <w:t xml:space="preserve">La Comisión Interamericana de Derechos Humanos (en adelante “la Comisión” o “la CIDH”) recibió una petición presentada por </w:t>
      </w:r>
      <w:r w:rsidRPr="00CF2395">
        <w:rPr>
          <w:rFonts w:ascii="Cambria" w:eastAsiaTheme="minorHAnsi" w:hAnsi="Cambria" w:cstheme="minorBidi"/>
          <w:sz w:val="20"/>
          <w:szCs w:val="20"/>
          <w:bdr w:val="none" w:sz="0" w:space="0" w:color="auto"/>
          <w:lang w:val="es-MX"/>
        </w:rPr>
        <w:t>Jorge Roberto Martínez</w:t>
      </w:r>
      <w:r w:rsidRPr="00CF2395">
        <w:rPr>
          <w:rFonts w:ascii="Cambria" w:eastAsiaTheme="minorHAnsi" w:hAnsi="Cambria" w:cstheme="minorBidi"/>
          <w:sz w:val="20"/>
          <w:szCs w:val="20"/>
          <w:bdr w:val="none" w:sz="0" w:space="0" w:color="auto"/>
          <w:lang w:val="es-ES"/>
        </w:rPr>
        <w:t xml:space="preserve"> (en adelante “el peticionario”) el </w:t>
      </w:r>
      <w:r w:rsidRPr="00CF2395">
        <w:rPr>
          <w:rFonts w:ascii="Cambria" w:eastAsia="Times New Roman" w:hAnsi="Cambria"/>
          <w:sz w:val="20"/>
          <w:szCs w:val="20"/>
          <w:bdr w:val="none" w:sz="0" w:space="0" w:color="auto"/>
          <w:lang w:val="es-EC"/>
        </w:rPr>
        <w:t xml:space="preserve">15 de septiembre de 2004, </w:t>
      </w:r>
      <w:r w:rsidRPr="00CF2395">
        <w:rPr>
          <w:rFonts w:ascii="Cambria" w:eastAsiaTheme="minorHAnsi" w:hAnsi="Cambria" w:cstheme="minorBidi"/>
          <w:sz w:val="20"/>
          <w:szCs w:val="20"/>
          <w:bdr w:val="none" w:sz="0" w:space="0" w:color="auto"/>
          <w:lang w:val="es-ES_tradnl"/>
        </w:rPr>
        <w:t xml:space="preserve">en la cual se alega </w:t>
      </w:r>
      <w:r w:rsidRPr="00CF2395">
        <w:rPr>
          <w:rFonts w:ascii="Cambria" w:eastAsiaTheme="minorHAnsi" w:hAnsi="Cambria" w:cstheme="minorBidi"/>
          <w:sz w:val="20"/>
          <w:szCs w:val="20"/>
          <w:bdr w:val="none" w:sz="0" w:space="0" w:color="auto"/>
          <w:lang w:val="es-ES"/>
        </w:rPr>
        <w:t xml:space="preserve">la responsabilidad internacional del Estado de Honduras (en adelante </w:t>
      </w:r>
      <w:r w:rsidRPr="00CF2395">
        <w:rPr>
          <w:rFonts w:ascii="Cambria" w:eastAsiaTheme="minorHAnsi" w:hAnsi="Cambria" w:cs="Arial"/>
          <w:sz w:val="20"/>
          <w:szCs w:val="20"/>
          <w:bdr w:val="none" w:sz="0" w:space="0" w:color="auto"/>
          <w:lang w:val="es-ES"/>
        </w:rPr>
        <w:t>"Honduras"</w:t>
      </w:r>
      <w:r w:rsidRPr="00CF2395">
        <w:rPr>
          <w:rFonts w:ascii="Cambria" w:eastAsiaTheme="minorHAnsi" w:hAnsi="Cambria" w:cstheme="minorBidi"/>
          <w:sz w:val="20"/>
          <w:szCs w:val="20"/>
          <w:bdr w:val="none" w:sz="0" w:space="0" w:color="auto"/>
          <w:lang w:val="es-ES"/>
        </w:rPr>
        <w:t xml:space="preserve">, </w:t>
      </w:r>
      <w:r w:rsidRPr="00CF2395">
        <w:rPr>
          <w:rFonts w:ascii="Cambria" w:eastAsiaTheme="minorHAnsi" w:hAnsi="Cambria" w:cs="Arial"/>
          <w:sz w:val="20"/>
          <w:szCs w:val="20"/>
          <w:bdr w:val="none" w:sz="0" w:space="0" w:color="auto"/>
          <w:lang w:val="es-ES"/>
        </w:rPr>
        <w:t>"</w:t>
      </w:r>
      <w:r w:rsidRPr="00CF2395">
        <w:rPr>
          <w:rFonts w:ascii="Cambria" w:eastAsiaTheme="minorHAnsi" w:hAnsi="Cambria" w:cstheme="minorBidi"/>
          <w:sz w:val="20"/>
          <w:szCs w:val="20"/>
          <w:bdr w:val="none" w:sz="0" w:space="0" w:color="auto"/>
          <w:lang w:val="es-ES"/>
        </w:rPr>
        <w:t>Estado</w:t>
      </w:r>
      <w:r w:rsidRPr="00CF2395">
        <w:rPr>
          <w:rFonts w:ascii="Cambria" w:eastAsiaTheme="minorHAnsi" w:hAnsi="Cambria" w:cs="Arial"/>
          <w:sz w:val="20"/>
          <w:szCs w:val="20"/>
          <w:bdr w:val="none" w:sz="0" w:space="0" w:color="auto"/>
          <w:lang w:val="es-ES"/>
        </w:rPr>
        <w:t>"</w:t>
      </w:r>
      <w:r w:rsidRPr="00CF2395">
        <w:rPr>
          <w:rFonts w:ascii="Cambria" w:eastAsiaTheme="minorHAnsi" w:hAnsi="Cambria" w:cstheme="minorBidi"/>
          <w:sz w:val="20"/>
          <w:szCs w:val="20"/>
          <w:bdr w:val="none" w:sz="0" w:space="0" w:color="auto"/>
          <w:lang w:val="es-ES"/>
        </w:rPr>
        <w:t xml:space="preserve"> o </w:t>
      </w:r>
      <w:r w:rsidRPr="00CF2395">
        <w:rPr>
          <w:rFonts w:ascii="Cambria" w:eastAsiaTheme="minorHAnsi" w:hAnsi="Cambria" w:cs="Arial"/>
          <w:sz w:val="20"/>
          <w:szCs w:val="20"/>
          <w:bdr w:val="none" w:sz="0" w:space="0" w:color="auto"/>
          <w:lang w:val="es-ES"/>
        </w:rPr>
        <w:t>"</w:t>
      </w:r>
      <w:r w:rsidRPr="00CF2395">
        <w:rPr>
          <w:rFonts w:ascii="Cambria" w:eastAsiaTheme="minorHAnsi" w:hAnsi="Cambria" w:cstheme="minorBidi"/>
          <w:sz w:val="20"/>
          <w:szCs w:val="20"/>
          <w:bdr w:val="none" w:sz="0" w:space="0" w:color="auto"/>
          <w:lang w:val="es-ES"/>
        </w:rPr>
        <w:t>Estado hondureño</w:t>
      </w:r>
      <w:r w:rsidRPr="00CF2395">
        <w:rPr>
          <w:rFonts w:ascii="Cambria" w:eastAsiaTheme="minorHAnsi" w:hAnsi="Cambria" w:cs="Arial"/>
          <w:sz w:val="20"/>
          <w:szCs w:val="20"/>
          <w:bdr w:val="none" w:sz="0" w:space="0" w:color="auto"/>
          <w:lang w:val="es-ES"/>
        </w:rPr>
        <w:t>"</w:t>
      </w:r>
      <w:r w:rsidRPr="00CF2395">
        <w:rPr>
          <w:rFonts w:ascii="Cambria" w:eastAsiaTheme="minorHAnsi" w:hAnsi="Cambria" w:cstheme="minorBidi"/>
          <w:sz w:val="20"/>
          <w:szCs w:val="20"/>
          <w:bdr w:val="none" w:sz="0" w:space="0" w:color="auto"/>
          <w:lang w:val="es-ES"/>
        </w:rPr>
        <w:t xml:space="preserve">) en perjuicio de los niños </w:t>
      </w:r>
      <w:proofErr w:type="spellStart"/>
      <w:r w:rsidRPr="00CF2395">
        <w:rPr>
          <w:rFonts w:ascii="Cambria" w:eastAsiaTheme="minorHAnsi" w:hAnsi="Cambria" w:cstheme="minorBidi"/>
          <w:sz w:val="20"/>
          <w:szCs w:val="20"/>
          <w:bdr w:val="none" w:sz="0" w:space="0" w:color="auto"/>
          <w:lang w:val="es-MX"/>
        </w:rPr>
        <w:t>Ronal</w:t>
      </w:r>
      <w:proofErr w:type="spellEnd"/>
      <w:r w:rsidRPr="00CF2395">
        <w:rPr>
          <w:rFonts w:ascii="Cambria" w:eastAsiaTheme="minorHAnsi" w:hAnsi="Cambria" w:cstheme="minorBidi"/>
          <w:sz w:val="20"/>
          <w:szCs w:val="20"/>
          <w:bdr w:val="none" w:sz="0" w:space="0" w:color="auto"/>
          <w:lang w:val="es-MX"/>
        </w:rPr>
        <w:t xml:space="preserve"> Jared Martínez Velásquez y  </w:t>
      </w:r>
      <w:proofErr w:type="spellStart"/>
      <w:r w:rsidRPr="00CF2395">
        <w:rPr>
          <w:rFonts w:ascii="Cambria" w:eastAsiaTheme="minorHAnsi" w:hAnsi="Cambria" w:cstheme="minorBidi"/>
          <w:sz w:val="20"/>
          <w:szCs w:val="20"/>
          <w:bdr w:val="none" w:sz="0" w:space="0" w:color="auto"/>
          <w:lang w:val="es-MX"/>
        </w:rPr>
        <w:t>Marlón</w:t>
      </w:r>
      <w:proofErr w:type="spellEnd"/>
      <w:r w:rsidRPr="00CF2395">
        <w:rPr>
          <w:rFonts w:ascii="Cambria" w:eastAsiaTheme="minorHAnsi" w:hAnsi="Cambria" w:cstheme="minorBidi"/>
          <w:sz w:val="20"/>
          <w:szCs w:val="20"/>
          <w:bdr w:val="none" w:sz="0" w:space="0" w:color="auto"/>
          <w:lang w:val="es-MX"/>
        </w:rPr>
        <w:t xml:space="preserve"> Fabricio Hernández Fúnez (en adelante “las presuntas víctimas”)</w:t>
      </w:r>
      <w:r w:rsidRPr="00CF2395">
        <w:rPr>
          <w:rFonts w:ascii="Cambria" w:eastAsiaTheme="minorHAnsi" w:hAnsi="Cambria" w:cstheme="minorBidi"/>
          <w:sz w:val="20"/>
          <w:szCs w:val="20"/>
          <w:bdr w:val="none" w:sz="0" w:space="0" w:color="auto"/>
          <w:lang w:val="es-ES"/>
        </w:rPr>
        <w:t>, por presuntas violaciones de derechos consagrados en la Convención Americana sobre Derechos Humanos (en adelante “Convención Americana” o “Convención”)</w:t>
      </w:r>
      <w:r w:rsidRPr="00CF2395">
        <w:rPr>
          <w:rFonts w:ascii="Cambria" w:eastAsiaTheme="minorHAnsi" w:hAnsi="Cambria" w:cs="Arial"/>
          <w:iCs/>
          <w:sz w:val="20"/>
          <w:szCs w:val="20"/>
          <w:bdr w:val="none" w:sz="0" w:space="0" w:color="auto"/>
          <w:lang w:val="es-ES"/>
        </w:rPr>
        <w:t xml:space="preserve">, derivadas del supuesto uso excesivo de la fuerza por parte de miembros del Ejército y de la Policía Nacional, así como de la subsecuente falta de investigación y sanción a los presuntos responsables. </w:t>
      </w:r>
      <w:r w:rsidRPr="00CF2395">
        <w:rPr>
          <w:rFonts w:ascii="Cambria" w:eastAsiaTheme="minorHAnsi" w:hAnsi="Cambria" w:cstheme="minorBidi"/>
          <w:sz w:val="20"/>
          <w:szCs w:val="20"/>
          <w:bdr w:val="none" w:sz="0" w:space="0" w:color="auto"/>
          <w:lang w:val="es-ES"/>
        </w:rPr>
        <w:t xml:space="preserve">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ES"/>
        </w:rPr>
        <w:t xml:space="preserve">En particular, en la petición se alega que debido al supuesto “abuso de poder” </w:t>
      </w:r>
      <w:r w:rsidRPr="00CF2395">
        <w:rPr>
          <w:rFonts w:ascii="Cambria" w:eastAsiaTheme="minorHAnsi" w:hAnsi="Cambria" w:cstheme="minorBidi"/>
          <w:sz w:val="20"/>
          <w:szCs w:val="20"/>
          <w:bdr w:val="none" w:sz="0" w:space="0" w:color="auto"/>
          <w:lang w:val="es-MX"/>
        </w:rPr>
        <w:t>por parte policías y oficiales del Ejército Nacional</w:t>
      </w:r>
      <w:r w:rsidRPr="00CF2395">
        <w:rPr>
          <w:rFonts w:ascii="Cambria" w:eastAsiaTheme="minorHAnsi" w:hAnsi="Cambria" w:cstheme="minorBidi"/>
          <w:sz w:val="20"/>
          <w:szCs w:val="20"/>
          <w:bdr w:val="none" w:sz="0" w:space="0" w:color="auto"/>
          <w:lang w:val="es-ES"/>
        </w:rPr>
        <w:t xml:space="preserve">, el niño </w:t>
      </w:r>
      <w:proofErr w:type="spellStart"/>
      <w:r w:rsidRPr="00CF2395">
        <w:rPr>
          <w:rFonts w:ascii="Cambria" w:eastAsiaTheme="minorHAnsi" w:hAnsi="Cambria" w:cstheme="minorBidi"/>
          <w:sz w:val="20"/>
          <w:szCs w:val="20"/>
          <w:bdr w:val="none" w:sz="0" w:space="0" w:color="auto"/>
          <w:lang w:val="es-ES"/>
        </w:rPr>
        <w:t>Ronal</w:t>
      </w:r>
      <w:proofErr w:type="spellEnd"/>
      <w:r w:rsidRPr="00CF2395">
        <w:rPr>
          <w:rFonts w:ascii="Cambria" w:eastAsiaTheme="minorHAnsi" w:hAnsi="Cambria" w:cstheme="minorBidi"/>
          <w:sz w:val="20"/>
          <w:szCs w:val="20"/>
          <w:bdr w:val="none" w:sz="0" w:space="0" w:color="auto"/>
          <w:lang w:val="es-ES"/>
        </w:rPr>
        <w:t xml:space="preserve"> Jared Martínez </w:t>
      </w:r>
      <w:r w:rsidRPr="00CF2395">
        <w:rPr>
          <w:rFonts w:ascii="Cambria" w:eastAsiaTheme="minorHAnsi" w:hAnsi="Cambria" w:cstheme="minorBidi"/>
          <w:sz w:val="20"/>
          <w:szCs w:val="20"/>
          <w:bdr w:val="none" w:sz="0" w:space="0" w:color="auto"/>
          <w:lang w:val="es-MX"/>
        </w:rPr>
        <w:t xml:space="preserve">habría adquirido una discapacidad física (paraplejía irreversible); además, se señala que a pesar de que los propios agentes del Estado de Honduras habrían sido directamente responsables de este ilícito, el caso seguiría en la impunidad.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EC"/>
        </w:rPr>
        <w:t>El Estado no ha respondido a los hechos alegados por el peticionario, ni ha cuestionado la admisibilidad de la petición en consideración.</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napToGrid w:val="0"/>
          <w:sz w:val="20"/>
          <w:szCs w:val="20"/>
          <w:bdr w:val="none" w:sz="0" w:space="0" w:color="auto"/>
          <w:lang w:val="es-ES"/>
        </w:rPr>
        <w:t xml:space="preserve">Sin </w:t>
      </w:r>
      <w:r w:rsidRPr="00CF2395">
        <w:rPr>
          <w:rFonts w:ascii="Cambria" w:eastAsiaTheme="minorHAnsi" w:hAnsi="Cambria" w:cstheme="minorBidi"/>
          <w:sz w:val="20"/>
          <w:szCs w:val="20"/>
          <w:bdr w:val="none" w:sz="0" w:space="0" w:color="auto"/>
          <w:lang w:val="es-ES"/>
        </w:rPr>
        <w:t xml:space="preserve">prejuzgar sobre el fondo del asunto, tras analizar las posiciones de las partes y el cumplimiento de los requisitos previstos en los artículos 46 y 47 de la Convención, la Comisión decidió declarar admisible el reclamo a efectos del examen sobre la presunta violación de los artículos 5, 8, 19 y 25 de la Convención, en concordancia con su artículo 1.1.  Finalmente, decidió notificar el informe a las partes y ordenar su publicación en su informe anual a la Asamblea General de la OEA.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21492" w:rsidRDefault="00CF2395" w:rsidP="00C21492">
      <w:pPr>
        <w:keepN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outlineLvl w:val="1"/>
        <w:rPr>
          <w:rFonts w:ascii="Cambria" w:eastAsia="Times New Roman" w:hAnsi="Cambria"/>
          <w:b/>
          <w:bCs/>
          <w:sz w:val="20"/>
          <w:szCs w:val="20"/>
          <w:bdr w:val="none" w:sz="0" w:space="0" w:color="auto"/>
          <w:lang w:val="es-MX"/>
        </w:rPr>
      </w:pPr>
      <w:r w:rsidRPr="00CF2395">
        <w:rPr>
          <w:rFonts w:ascii="Cambria" w:eastAsia="Times New Roman" w:hAnsi="Cambria"/>
          <w:b/>
          <w:bCs/>
          <w:sz w:val="20"/>
          <w:szCs w:val="20"/>
          <w:bdr w:val="none" w:sz="0" w:space="0" w:color="auto"/>
          <w:lang w:val="es-EC"/>
        </w:rPr>
        <w:t>TRÁMITE ANTE LA COMISIÓN</w:t>
      </w:r>
    </w:p>
    <w:p w:rsidR="00C21492" w:rsidRPr="00C21492" w:rsidRDefault="00C21492" w:rsidP="00C21492">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bCs/>
          <w:sz w:val="20"/>
          <w:szCs w:val="20"/>
          <w:bdr w:val="none" w:sz="0" w:space="0" w:color="auto"/>
          <w:lang w:val="es-MX"/>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imes New Roman" w:hAnsi="Cambria"/>
          <w:sz w:val="20"/>
          <w:szCs w:val="20"/>
          <w:bdr w:val="none" w:sz="0" w:space="0" w:color="auto"/>
          <w:lang w:val="es-EC"/>
        </w:rPr>
        <w:t xml:space="preserve">El 15 de septiembre de 2004, la Comisión recibió la denuncia del peticionario, </w:t>
      </w:r>
      <w:r w:rsidRPr="00CF2395">
        <w:rPr>
          <w:rFonts w:ascii="Cambria" w:eastAsiaTheme="minorHAnsi" w:hAnsi="Cambria" w:cstheme="minorBidi"/>
          <w:sz w:val="20"/>
          <w:szCs w:val="20"/>
          <w:bdr w:val="none" w:sz="0" w:space="0" w:color="auto"/>
          <w:lang w:val="es-ES"/>
        </w:rPr>
        <w:t xml:space="preserve">y le asignó el número 886-04. </w:t>
      </w:r>
      <w:r w:rsidRPr="00CF2395">
        <w:rPr>
          <w:rFonts w:ascii="Cambria" w:eastAsia="Times New Roman" w:hAnsi="Cambria"/>
          <w:sz w:val="20"/>
          <w:szCs w:val="20"/>
          <w:bdr w:val="none" w:sz="0" w:space="0" w:color="auto"/>
          <w:lang w:val="es-EC"/>
        </w:rPr>
        <w:t xml:space="preserve">El 2 de septiembre de 2010, la CIDH remitió la petición al Estado hondureño, solicitándole una respuesta dentro de los dos meses a partir del recibo de la comunicación, de acuerdo con el artículo 30(3) de su Reglamento. El </w:t>
      </w:r>
      <w:r w:rsidRPr="00CF2395">
        <w:rPr>
          <w:rFonts w:ascii="Cambria" w:eastAsiaTheme="minorHAnsi" w:hAnsi="Cambria" w:cstheme="minorBidi"/>
          <w:sz w:val="20"/>
          <w:szCs w:val="20"/>
          <w:bdr w:val="none" w:sz="0" w:space="0" w:color="auto"/>
          <w:lang w:val="es-MX"/>
        </w:rPr>
        <w:t xml:space="preserve"> </w:t>
      </w:r>
      <w:r w:rsidRPr="00CF2395">
        <w:rPr>
          <w:rFonts w:ascii="Cambria" w:eastAsiaTheme="minorHAnsi" w:hAnsi="Cambria" w:cs="Arial"/>
          <w:sz w:val="20"/>
          <w:szCs w:val="20"/>
          <w:bdr w:val="none" w:sz="0" w:space="0" w:color="auto"/>
          <w:lang w:val="es-MX"/>
        </w:rPr>
        <w:t xml:space="preserve">30 de enero de 2012, se reiteró a Honduras la solicitud de </w:t>
      </w:r>
      <w:r w:rsidRPr="00CF2395">
        <w:rPr>
          <w:rFonts w:ascii="Cambria" w:eastAsiaTheme="minorHAnsi" w:hAnsi="Cambria" w:cstheme="minorBidi"/>
          <w:sz w:val="20"/>
          <w:szCs w:val="20"/>
          <w:bdr w:val="none" w:sz="0" w:space="0" w:color="auto"/>
          <w:lang w:val="es-MX"/>
        </w:rPr>
        <w:t xml:space="preserve">presentar su respectiva respuesta. </w:t>
      </w:r>
      <w:r w:rsidRPr="00CF2395">
        <w:rPr>
          <w:rFonts w:ascii="Cambria" w:eastAsia="Times New Roman" w:hAnsi="Cambria"/>
          <w:sz w:val="20"/>
          <w:szCs w:val="20"/>
          <w:bdr w:val="none" w:sz="0" w:space="0" w:color="auto"/>
          <w:lang w:val="es-EC"/>
        </w:rPr>
        <w:t xml:space="preserve">A la fecha de la consideración del presente informe, el Estado no había suministrado información alguna sobre la petición.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Default="00CF2395" w:rsidP="00C21492">
      <w:pPr>
        <w:keepN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Cambria" w:eastAsia="Times New Roman" w:hAnsi="Cambria" w:cs="Arial"/>
          <w:b/>
          <w:snapToGrid w:val="0"/>
          <w:spacing w:val="-3"/>
          <w:sz w:val="20"/>
          <w:szCs w:val="20"/>
          <w:bdr w:val="none" w:sz="0" w:space="0" w:color="auto"/>
          <w:lang w:val="es-ES"/>
        </w:rPr>
      </w:pPr>
      <w:r w:rsidRPr="00CF2395">
        <w:rPr>
          <w:rFonts w:ascii="Cambria" w:eastAsia="Times New Roman" w:hAnsi="Cambria" w:cs="Arial"/>
          <w:b/>
          <w:snapToGrid w:val="0"/>
          <w:spacing w:val="-3"/>
          <w:sz w:val="20"/>
          <w:szCs w:val="20"/>
          <w:bdr w:val="none" w:sz="0" w:space="0" w:color="auto"/>
          <w:lang w:val="es-ES"/>
        </w:rPr>
        <w:t>POSICIONES DE LAS PARTES</w:t>
      </w:r>
    </w:p>
    <w:p w:rsidR="00C21492" w:rsidRPr="00CF2395" w:rsidRDefault="00C21492" w:rsidP="00C21492">
      <w:pPr>
        <w:keepNext/>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Cambria" w:eastAsia="Times New Roman" w:hAnsi="Cambria" w:cs="Arial"/>
          <w:b/>
          <w:snapToGrid w:val="0"/>
          <w:spacing w:val="-3"/>
          <w:sz w:val="20"/>
          <w:szCs w:val="20"/>
          <w:bdr w:val="none" w:sz="0" w:space="0" w:color="auto"/>
          <w:lang w:val="es-ES"/>
        </w:rPr>
      </w:pPr>
    </w:p>
    <w:p w:rsidR="00CF2395" w:rsidRDefault="00CF2395" w:rsidP="00C2149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rPr>
          <w:rFonts w:ascii="Cambria" w:eastAsiaTheme="minorHAnsi" w:hAnsi="Cambria" w:cs="Arial"/>
          <w:b/>
          <w:spacing w:val="-3"/>
          <w:sz w:val="20"/>
          <w:szCs w:val="20"/>
          <w:bdr w:val="none" w:sz="0" w:space="0" w:color="auto"/>
        </w:rPr>
      </w:pPr>
      <w:proofErr w:type="spellStart"/>
      <w:r w:rsidRPr="00CF2395">
        <w:rPr>
          <w:rFonts w:ascii="Cambria" w:eastAsiaTheme="minorHAnsi" w:hAnsi="Cambria" w:cs="Arial"/>
          <w:b/>
          <w:spacing w:val="-3"/>
          <w:sz w:val="20"/>
          <w:szCs w:val="20"/>
          <w:bdr w:val="none" w:sz="0" w:space="0" w:color="auto"/>
        </w:rPr>
        <w:t>Posición</w:t>
      </w:r>
      <w:proofErr w:type="spellEnd"/>
      <w:r w:rsidRPr="00CF2395">
        <w:rPr>
          <w:rFonts w:ascii="Cambria" w:eastAsiaTheme="minorHAnsi" w:hAnsi="Cambria" w:cs="Arial"/>
          <w:b/>
          <w:spacing w:val="-3"/>
          <w:sz w:val="20"/>
          <w:szCs w:val="20"/>
          <w:bdr w:val="none" w:sz="0" w:space="0" w:color="auto"/>
        </w:rPr>
        <w:t xml:space="preserve"> del </w:t>
      </w:r>
      <w:proofErr w:type="spellStart"/>
      <w:r w:rsidRPr="00CF2395">
        <w:rPr>
          <w:rFonts w:ascii="Cambria" w:eastAsiaTheme="minorHAnsi" w:hAnsi="Cambria" w:cs="Arial"/>
          <w:b/>
          <w:spacing w:val="-3"/>
          <w:sz w:val="20"/>
          <w:szCs w:val="20"/>
          <w:bdr w:val="none" w:sz="0" w:space="0" w:color="auto"/>
        </w:rPr>
        <w:t>peticionario</w:t>
      </w:r>
      <w:proofErr w:type="spellEnd"/>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mbria" w:eastAsiaTheme="minorHAnsi" w:hAnsi="Cambria" w:cs="Arial"/>
          <w:b/>
          <w:spacing w:val="-3"/>
          <w:sz w:val="20"/>
          <w:szCs w:val="20"/>
          <w:bdr w:val="none" w:sz="0" w:space="0" w:color="auto"/>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imes New Roman" w:hAnsi="Cambria"/>
          <w:sz w:val="20"/>
          <w:szCs w:val="20"/>
          <w:bdr w:val="none" w:sz="0" w:space="0" w:color="auto"/>
          <w:lang w:val="es-EC"/>
        </w:rPr>
        <w:t>El peticionario alega que debido al supuesto “abuso de poder” por parte de policías y miembros del Ejército Nacional, su</w:t>
      </w:r>
      <w:r w:rsidRPr="00CF2395">
        <w:rPr>
          <w:rFonts w:ascii="Cambria" w:eastAsiaTheme="minorHAnsi" w:hAnsi="Cambria" w:cstheme="minorBidi"/>
          <w:sz w:val="20"/>
          <w:szCs w:val="20"/>
          <w:bdr w:val="none" w:sz="0" w:space="0" w:color="auto"/>
          <w:lang w:val="es-MX"/>
        </w:rPr>
        <w:t xml:space="preserve"> hijo menor Ronald Jared Martínez Velásquez habría quedado parapléjico de por vida. Sobre el incidente que habría ocasionado esta discapacidad física permanente, consta en los documentos aportados por el peticionario que el 20 de julio de 2002, el peticionario manejaba un automóvil, en el que también se encontraban su hijo </w:t>
      </w:r>
      <w:proofErr w:type="spellStart"/>
      <w:r w:rsidRPr="00CF2395">
        <w:rPr>
          <w:rFonts w:ascii="Cambria" w:eastAsiaTheme="minorHAnsi" w:hAnsi="Cambria" w:cstheme="minorBidi"/>
          <w:sz w:val="20"/>
          <w:szCs w:val="20"/>
          <w:bdr w:val="none" w:sz="0" w:space="0" w:color="auto"/>
          <w:lang w:val="es-MX"/>
        </w:rPr>
        <w:t>Ronal</w:t>
      </w:r>
      <w:proofErr w:type="spellEnd"/>
      <w:r w:rsidRPr="00CF2395">
        <w:rPr>
          <w:rFonts w:ascii="Cambria" w:eastAsiaTheme="minorHAnsi" w:hAnsi="Cambria" w:cstheme="minorBidi"/>
          <w:sz w:val="20"/>
          <w:szCs w:val="20"/>
          <w:bdr w:val="none" w:sz="0" w:space="0" w:color="auto"/>
          <w:lang w:val="es-MX"/>
        </w:rPr>
        <w:t xml:space="preserve"> Jared Martínez Velásquez y el hijo de una vecina, </w:t>
      </w:r>
      <w:proofErr w:type="spellStart"/>
      <w:r w:rsidRPr="00CF2395">
        <w:rPr>
          <w:rFonts w:ascii="Cambria" w:eastAsiaTheme="minorHAnsi" w:hAnsi="Cambria" w:cstheme="minorBidi"/>
          <w:sz w:val="20"/>
          <w:szCs w:val="20"/>
          <w:bdr w:val="none" w:sz="0" w:space="0" w:color="auto"/>
          <w:lang w:val="es-MX"/>
        </w:rPr>
        <w:t>Marlón</w:t>
      </w:r>
      <w:proofErr w:type="spellEnd"/>
      <w:r w:rsidRPr="00CF2395">
        <w:rPr>
          <w:rFonts w:ascii="Cambria" w:eastAsiaTheme="minorHAnsi" w:hAnsi="Cambria" w:cstheme="minorBidi"/>
          <w:sz w:val="20"/>
          <w:szCs w:val="20"/>
          <w:bdr w:val="none" w:sz="0" w:space="0" w:color="auto"/>
          <w:lang w:val="es-MX"/>
        </w:rPr>
        <w:t xml:space="preserve"> Fabricio Hernández Fúnez, de diez y cinco años de edad respectivamente. Debido a que el peticionario manejó su vehículo en sentido contrario, integrantes de una patrulla que presuntamente estaba compuesta por un </w:t>
      </w:r>
      <w:r w:rsidRPr="00CF2395">
        <w:rPr>
          <w:rFonts w:ascii="Cambria" w:eastAsiaTheme="minorHAnsi" w:hAnsi="Cambria" w:cstheme="minorBidi"/>
          <w:sz w:val="20"/>
          <w:szCs w:val="20"/>
          <w:bdr w:val="none" w:sz="0" w:space="0" w:color="auto"/>
          <w:lang w:val="es-MX"/>
        </w:rPr>
        <w:lastRenderedPageBreak/>
        <w:t xml:space="preserve">agente de la Policía Nacional y por cinco oficiales del Ejército (Jorge Joel </w:t>
      </w:r>
      <w:proofErr w:type="spellStart"/>
      <w:r w:rsidRPr="00CF2395">
        <w:rPr>
          <w:rFonts w:ascii="Cambria" w:eastAsiaTheme="minorHAnsi" w:hAnsi="Cambria" w:cstheme="minorBidi"/>
          <w:sz w:val="20"/>
          <w:szCs w:val="20"/>
          <w:bdr w:val="none" w:sz="0" w:space="0" w:color="auto"/>
          <w:lang w:val="es-MX"/>
        </w:rPr>
        <w:t>Cubías</w:t>
      </w:r>
      <w:proofErr w:type="spellEnd"/>
      <w:r w:rsidRPr="00CF2395">
        <w:rPr>
          <w:rFonts w:ascii="Cambria" w:eastAsiaTheme="minorHAnsi" w:hAnsi="Cambria" w:cstheme="minorBidi"/>
          <w:sz w:val="20"/>
          <w:szCs w:val="20"/>
          <w:bdr w:val="none" w:sz="0" w:space="0" w:color="auto"/>
          <w:lang w:val="es-MX"/>
        </w:rPr>
        <w:t xml:space="preserve"> Irías, Ángel Gabriel Padilla, Marvin Israel Amaya S., </w:t>
      </w:r>
      <w:proofErr w:type="spellStart"/>
      <w:r w:rsidRPr="00CF2395">
        <w:rPr>
          <w:rFonts w:ascii="Cambria" w:eastAsiaTheme="minorHAnsi" w:hAnsi="Cambria" w:cstheme="minorBidi"/>
          <w:sz w:val="20"/>
          <w:szCs w:val="20"/>
          <w:bdr w:val="none" w:sz="0" w:space="0" w:color="auto"/>
          <w:lang w:val="es-MX"/>
        </w:rPr>
        <w:t>Harin</w:t>
      </w:r>
      <w:proofErr w:type="spellEnd"/>
      <w:r w:rsidRPr="00CF2395">
        <w:rPr>
          <w:rFonts w:ascii="Cambria" w:eastAsiaTheme="minorHAnsi" w:hAnsi="Cambria" w:cstheme="minorBidi"/>
          <w:sz w:val="20"/>
          <w:szCs w:val="20"/>
          <w:bdr w:val="none" w:sz="0" w:space="0" w:color="auto"/>
          <w:lang w:val="es-MX"/>
        </w:rPr>
        <w:t xml:space="preserve"> Noel Martínez y </w:t>
      </w:r>
      <w:proofErr w:type="spellStart"/>
      <w:r w:rsidRPr="00CF2395">
        <w:rPr>
          <w:rFonts w:ascii="Cambria" w:eastAsiaTheme="minorHAnsi" w:hAnsi="Cambria" w:cstheme="minorBidi"/>
          <w:sz w:val="20"/>
          <w:szCs w:val="20"/>
          <w:bdr w:val="none" w:sz="0" w:space="0" w:color="auto"/>
          <w:lang w:val="es-MX"/>
        </w:rPr>
        <w:t>Alcidez</w:t>
      </w:r>
      <w:proofErr w:type="spellEnd"/>
      <w:r w:rsidRPr="00CF2395">
        <w:rPr>
          <w:rFonts w:ascii="Cambria" w:eastAsiaTheme="minorHAnsi" w:hAnsi="Cambria" w:cstheme="minorBidi"/>
          <w:sz w:val="20"/>
          <w:szCs w:val="20"/>
          <w:bdr w:val="none" w:sz="0" w:space="0" w:color="auto"/>
          <w:lang w:val="es-MX"/>
        </w:rPr>
        <w:t xml:space="preserve"> Rafael Rodríguez) habrían disparado seis tiros, impactándole al vehículo del peticionario, cinco proyectiles calibre 5.56 milímetros en la parte trasera, y un proyectil de igual calibre en la ventanilla de la puerta derecha.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MX"/>
        </w:rPr>
        <w:t xml:space="preserve">Conforme a la información aportada por el peticionario, éste habría sido detenido y trasladado a la estación policial de Jutiapa. Debido a las lesiones presentadas por las presuntas víctimas, éstas habrían sido trasladadas al Hospital Atlántida Integrado. </w:t>
      </w:r>
      <w:proofErr w:type="spellStart"/>
      <w:r w:rsidRPr="00CF2395">
        <w:rPr>
          <w:rFonts w:ascii="Cambria" w:eastAsiaTheme="minorHAnsi" w:hAnsi="Cambria" w:cstheme="minorBidi"/>
          <w:sz w:val="20"/>
          <w:szCs w:val="20"/>
          <w:bdr w:val="none" w:sz="0" w:space="0" w:color="auto"/>
          <w:lang w:val="es-MX"/>
        </w:rPr>
        <w:t>Ronal</w:t>
      </w:r>
      <w:proofErr w:type="spellEnd"/>
      <w:r w:rsidRPr="00CF2395">
        <w:rPr>
          <w:rFonts w:ascii="Cambria" w:eastAsiaTheme="minorHAnsi" w:hAnsi="Cambria" w:cstheme="minorBidi"/>
          <w:sz w:val="20"/>
          <w:szCs w:val="20"/>
          <w:bdr w:val="none" w:sz="0" w:space="0" w:color="auto"/>
          <w:lang w:val="es-MX"/>
        </w:rPr>
        <w:t xml:space="preserve"> Jared Martínez habría sido “gravemente herido por un proyectil que le laceró el colón, riñón derecho, vértebras lumbares [...] y afectó su médula espinal  [...] que le </w:t>
      </w:r>
      <w:proofErr w:type="spellStart"/>
      <w:r w:rsidRPr="00CF2395">
        <w:rPr>
          <w:rFonts w:ascii="Cambria" w:eastAsiaTheme="minorHAnsi" w:hAnsi="Cambria" w:cstheme="minorBidi"/>
          <w:sz w:val="20"/>
          <w:szCs w:val="20"/>
          <w:bdr w:val="none" w:sz="0" w:space="0" w:color="auto"/>
          <w:lang w:val="es-MX"/>
        </w:rPr>
        <w:t>produj</w:t>
      </w:r>
      <w:proofErr w:type="spellEnd"/>
      <w:r w:rsidRPr="00CF2395">
        <w:rPr>
          <w:rFonts w:ascii="Cambria" w:eastAsiaTheme="minorHAnsi" w:hAnsi="Cambria" w:cstheme="minorBidi"/>
          <w:sz w:val="20"/>
          <w:szCs w:val="20"/>
          <w:bdr w:val="none" w:sz="0" w:space="0" w:color="auto"/>
          <w:lang w:val="es-MX"/>
        </w:rPr>
        <w:t xml:space="preserve">[o] incapacidad permanente”; y el niño </w:t>
      </w:r>
      <w:proofErr w:type="spellStart"/>
      <w:r w:rsidRPr="00CF2395">
        <w:rPr>
          <w:rFonts w:ascii="Cambria" w:eastAsiaTheme="minorHAnsi" w:hAnsi="Cambria" w:cstheme="minorBidi"/>
          <w:sz w:val="20"/>
          <w:szCs w:val="20"/>
          <w:bdr w:val="none" w:sz="0" w:space="0" w:color="auto"/>
          <w:lang w:val="es-MX"/>
        </w:rPr>
        <w:t>Marlón</w:t>
      </w:r>
      <w:proofErr w:type="spellEnd"/>
      <w:r w:rsidRPr="00CF2395">
        <w:rPr>
          <w:rFonts w:ascii="Cambria" w:eastAsiaTheme="minorHAnsi" w:hAnsi="Cambria" w:cstheme="minorBidi"/>
          <w:sz w:val="20"/>
          <w:szCs w:val="20"/>
          <w:bdr w:val="none" w:sz="0" w:space="0" w:color="auto"/>
          <w:lang w:val="es-MX"/>
        </w:rPr>
        <w:t xml:space="preserve"> Fabricio Hernández Fúnez habría “</w:t>
      </w:r>
      <w:proofErr w:type="spellStart"/>
      <w:proofErr w:type="gramStart"/>
      <w:r w:rsidRPr="00CF2395">
        <w:rPr>
          <w:rFonts w:ascii="Cambria" w:eastAsiaTheme="minorHAnsi" w:hAnsi="Cambria" w:cstheme="minorBidi"/>
          <w:sz w:val="20"/>
          <w:szCs w:val="20"/>
          <w:bdr w:val="none" w:sz="0" w:space="0" w:color="auto"/>
          <w:lang w:val="es-MX"/>
        </w:rPr>
        <w:t>result</w:t>
      </w:r>
      <w:proofErr w:type="spellEnd"/>
      <w:r w:rsidRPr="00CF2395">
        <w:rPr>
          <w:rFonts w:ascii="Cambria" w:eastAsiaTheme="minorHAnsi" w:hAnsi="Cambria" w:cstheme="minorBidi"/>
          <w:sz w:val="20"/>
          <w:szCs w:val="20"/>
          <w:bdr w:val="none" w:sz="0" w:space="0" w:color="auto"/>
          <w:lang w:val="es-MX"/>
        </w:rPr>
        <w:t>[</w:t>
      </w:r>
      <w:proofErr w:type="spellStart"/>
      <w:proofErr w:type="gramEnd"/>
      <w:r w:rsidRPr="00CF2395">
        <w:rPr>
          <w:rFonts w:ascii="Cambria" w:eastAsiaTheme="minorHAnsi" w:hAnsi="Cambria" w:cstheme="minorBidi"/>
          <w:sz w:val="20"/>
          <w:szCs w:val="20"/>
          <w:bdr w:val="none" w:sz="0" w:space="0" w:color="auto"/>
          <w:lang w:val="es-MX"/>
        </w:rPr>
        <w:t>ado</w:t>
      </w:r>
      <w:proofErr w:type="spellEnd"/>
      <w:r w:rsidRPr="00CF2395">
        <w:rPr>
          <w:rFonts w:ascii="Cambria" w:eastAsiaTheme="minorHAnsi" w:hAnsi="Cambria" w:cstheme="minorBidi"/>
          <w:sz w:val="20"/>
          <w:szCs w:val="20"/>
          <w:bdr w:val="none" w:sz="0" w:space="0" w:color="auto"/>
          <w:lang w:val="es-MX"/>
        </w:rPr>
        <w:t xml:space="preserve">] herido en el abdomen, por proyectil, determinándosele incapacidad temporal de veintiún días”. Consta también en la información aportada por los peticionarios que en el Hospital Atlántida Integrado, se habría presentado requerimiento contra el oficial del ejército Jorge Joel </w:t>
      </w:r>
      <w:proofErr w:type="spellStart"/>
      <w:r w:rsidRPr="00CF2395">
        <w:rPr>
          <w:rFonts w:ascii="Cambria" w:eastAsiaTheme="minorHAnsi" w:hAnsi="Cambria" w:cstheme="minorBidi"/>
          <w:sz w:val="20"/>
          <w:szCs w:val="20"/>
          <w:bdr w:val="none" w:sz="0" w:space="0" w:color="auto"/>
          <w:lang w:val="es-MX"/>
        </w:rPr>
        <w:t>Cubías</w:t>
      </w:r>
      <w:proofErr w:type="spellEnd"/>
      <w:r w:rsidRPr="00CF2395">
        <w:rPr>
          <w:rFonts w:ascii="Cambria" w:eastAsiaTheme="minorHAnsi" w:hAnsi="Cambria" w:cstheme="minorBidi"/>
          <w:sz w:val="20"/>
          <w:szCs w:val="20"/>
          <w:bdr w:val="none" w:sz="0" w:space="0" w:color="auto"/>
          <w:lang w:val="es-MX"/>
        </w:rPr>
        <w:t xml:space="preserve"> Irías.</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MX"/>
        </w:rPr>
        <w:t xml:space="preserve">Adicionalmente, en relación con el agotamiento de los recursos de jurisdicción interna, el peticionario alega que a pesar de que los agentes del Estado habrían sido los responsables de haber disparado contra las presuntas víctimas, éstos seguirían en libertad.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MX"/>
        </w:rPr>
        <w:t>Por otra parte, señala el peticionario que desde la fecha en que ocurrieron los hechos denunciados  –que además de haber producido la discapacidad permanente de su hijo, habría causado severos gastos y pérdidas económicas para su familia– el Estado no le habría brindado a su familia ningún tipo de ayuda monetaria, con excepción de la donación de 15,000 lempiras por parte de la Dama de la Nación. Asimismo, el peticionario indica que una de sus mayores dificultades habría sido la de no poder enviar a su hijo al colegio debido a que  no cuentan con los recursos necesarios para poder trasladarlo.</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Pr="00CF2395" w:rsidRDefault="00CF2395" w:rsidP="00C2149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lang w:val="es-MX"/>
        </w:rPr>
      </w:pPr>
      <w:r w:rsidRPr="00CF2395">
        <w:rPr>
          <w:rFonts w:ascii="Cambria" w:eastAsia="Times New Roman" w:hAnsi="Cambria"/>
          <w:b/>
          <w:bCs/>
          <w:sz w:val="20"/>
          <w:szCs w:val="20"/>
          <w:bdr w:val="none" w:sz="0" w:space="0" w:color="auto"/>
          <w:lang w:val="es-EC"/>
        </w:rPr>
        <w:t>B.</w:t>
      </w:r>
      <w:r w:rsidRPr="00CF2395">
        <w:rPr>
          <w:rFonts w:ascii="Cambria" w:eastAsia="Times New Roman" w:hAnsi="Cambria"/>
          <w:b/>
          <w:bCs/>
          <w:sz w:val="20"/>
          <w:szCs w:val="20"/>
          <w:bdr w:val="none" w:sz="0" w:space="0" w:color="auto"/>
          <w:lang w:val="es-EC"/>
        </w:rPr>
        <w:tab/>
        <w:t>El Estado</w:t>
      </w:r>
    </w:p>
    <w:p w:rsidR="00CF2395" w:rsidRPr="00CF2395" w:rsidRDefault="00CF2395" w:rsidP="00C21492">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heme="minorHAnsi" w:hAnsi="Cambria" w:cstheme="minorBidi"/>
          <w:sz w:val="20"/>
          <w:szCs w:val="20"/>
          <w:bdr w:val="none" w:sz="0" w:space="0" w:color="auto"/>
          <w:lang w:val="es-EC"/>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imes New Roman" w:hAnsi="Cambria"/>
          <w:sz w:val="20"/>
          <w:szCs w:val="20"/>
          <w:bdr w:val="none" w:sz="0" w:space="0" w:color="auto"/>
          <w:lang w:val="es-EC"/>
        </w:rPr>
        <w:t xml:space="preserve">El Estado no presentó respuesta alguna a los hechos alegados por el peticionario, ni ha cuestionado la admisibilidad de la petición en consideración.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Default="00CF2395" w:rsidP="00C21492">
      <w:pPr>
        <w:keepN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bCs/>
          <w:sz w:val="20"/>
          <w:szCs w:val="20"/>
          <w:bdr w:val="none" w:sz="0" w:space="0" w:color="auto"/>
          <w:lang w:val="es-ES"/>
        </w:rPr>
      </w:pPr>
      <w:r w:rsidRPr="00CF2395">
        <w:rPr>
          <w:rFonts w:ascii="Cambria" w:eastAsia="Times New Roman" w:hAnsi="Cambria"/>
          <w:b/>
          <w:bCs/>
          <w:sz w:val="20"/>
          <w:szCs w:val="20"/>
          <w:bdr w:val="none" w:sz="0" w:space="0" w:color="auto"/>
          <w:lang w:val="es-ES"/>
        </w:rPr>
        <w:t>ANÁLISIS DE COMPETENCIA Y ADMISIBILIDAD</w:t>
      </w:r>
    </w:p>
    <w:p w:rsidR="00C21492" w:rsidRPr="00CF2395" w:rsidRDefault="00C21492" w:rsidP="00C21492">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bCs/>
          <w:sz w:val="20"/>
          <w:szCs w:val="20"/>
          <w:bdr w:val="none" w:sz="0" w:space="0" w:color="auto"/>
          <w:lang w:val="es-ES"/>
        </w:rPr>
      </w:pPr>
    </w:p>
    <w:p w:rsidR="00CF2395" w:rsidRPr="00C21492" w:rsidRDefault="00CF2395" w:rsidP="00C21492">
      <w:pPr>
        <w:keepNext/>
        <w:numPr>
          <w:ilvl w:val="2"/>
          <w:numId w:val="10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b/>
          <w:i/>
          <w:sz w:val="20"/>
          <w:szCs w:val="20"/>
          <w:bdr w:val="none" w:sz="0" w:space="0" w:color="auto"/>
          <w:lang w:val="es-ES"/>
        </w:rPr>
      </w:pPr>
      <w:r w:rsidRPr="00B568B8">
        <w:rPr>
          <w:rFonts w:ascii="Cambria" w:eastAsia="Times New Roman" w:hAnsi="Cambria"/>
          <w:b/>
          <w:sz w:val="20"/>
          <w:szCs w:val="20"/>
          <w:bdr w:val="none" w:sz="0" w:space="0" w:color="auto"/>
          <w:lang w:val="es-ES"/>
        </w:rPr>
        <w:t>Consideraciones preliminares</w:t>
      </w:r>
    </w:p>
    <w:p w:rsidR="00C21492" w:rsidRPr="00CF2395" w:rsidRDefault="00C21492" w:rsidP="00C21492">
      <w:pPr>
        <w:keepNext/>
        <w:pBdr>
          <w:top w:val="none" w:sz="0" w:space="0" w:color="auto"/>
          <w:left w:val="none" w:sz="0" w:space="0" w:color="auto"/>
          <w:bottom w:val="none" w:sz="0" w:space="0" w:color="auto"/>
          <w:right w:val="none" w:sz="0" w:space="0" w:color="auto"/>
          <w:between w:val="none" w:sz="0" w:space="0" w:color="auto"/>
          <w:bar w:val="none" w:sz="0" w:color="auto"/>
        </w:pBdr>
        <w:ind w:left="2070"/>
        <w:jc w:val="both"/>
        <w:outlineLvl w:val="1"/>
        <w:rPr>
          <w:rFonts w:ascii="Cambria" w:eastAsia="Times New Roman" w:hAnsi="Cambria"/>
          <w:b/>
          <w:i/>
          <w:sz w:val="20"/>
          <w:szCs w:val="20"/>
          <w:bdr w:val="none" w:sz="0" w:space="0" w:color="auto"/>
          <w:lang w:val="es-ES"/>
        </w:rPr>
      </w:pPr>
    </w:p>
    <w:p w:rsidR="00CF2395" w:rsidRP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imes New Roman" w:hAnsi="Cambria"/>
          <w:sz w:val="20"/>
          <w:szCs w:val="20"/>
          <w:bdr w:val="none" w:sz="0" w:space="0" w:color="auto"/>
          <w:lang w:val="es-EC"/>
        </w:rPr>
        <w:t>La CIDH observa que el Estado en ningún momento ha respondido a las alegaciones del peticionario ni ha cuestionado la admisibilidad de la petición. La CIDH recuerda que Honduras es responsable de las obligaciones internacionales asumidas conforme a los términos de la Convención Americana. El artículo 48.1.a de la Convención tiene particular relevancia pues establece los procedimientos que se deben seguir cuando se presenta una petición o comunicación a la Comisión. La CIDH “solicitará informaciones al Gobierno del Estado al cual pertenezca la autoridad señalada como responsable de la violación alegada” y “</w:t>
      </w:r>
      <w:r w:rsidRPr="00CF2395">
        <w:rPr>
          <w:rFonts w:ascii="Cambria" w:eastAsiaTheme="minorHAnsi" w:hAnsi="Cambria" w:cstheme="minorBidi"/>
          <w:sz w:val="20"/>
          <w:szCs w:val="20"/>
          <w:bdr w:val="none" w:sz="0" w:space="0" w:color="auto"/>
          <w:lang w:val="es-MX"/>
        </w:rPr>
        <w:t>[d]</w:t>
      </w:r>
      <w:proofErr w:type="spellStart"/>
      <w:r w:rsidRPr="00CF2395">
        <w:rPr>
          <w:rFonts w:ascii="Cambria" w:eastAsia="Times New Roman" w:hAnsi="Cambria"/>
          <w:sz w:val="20"/>
          <w:szCs w:val="20"/>
          <w:bdr w:val="none" w:sz="0" w:space="0" w:color="auto"/>
          <w:lang w:val="es-EC"/>
        </w:rPr>
        <w:t>ichas</w:t>
      </w:r>
      <w:proofErr w:type="spellEnd"/>
      <w:r w:rsidRPr="00CF2395">
        <w:rPr>
          <w:rFonts w:ascii="Cambria" w:eastAsia="Times New Roman" w:hAnsi="Cambria"/>
          <w:sz w:val="20"/>
          <w:szCs w:val="20"/>
          <w:bdr w:val="none" w:sz="0" w:space="0" w:color="auto"/>
          <w:lang w:val="es-EC"/>
        </w:rPr>
        <w:t xml:space="preserve"> informaciones deben ser enviadas dentro de un plazo razonable </w:t>
      </w:r>
      <w:r w:rsidRPr="00CF2395">
        <w:rPr>
          <w:rFonts w:ascii="Cambria" w:eastAsiaTheme="minorHAnsi" w:hAnsi="Cambria" w:cstheme="minorBidi"/>
          <w:sz w:val="20"/>
          <w:szCs w:val="20"/>
          <w:bdr w:val="none" w:sz="0" w:space="0" w:color="auto"/>
          <w:lang w:val="es-MX"/>
        </w:rPr>
        <w:t>[…]</w:t>
      </w:r>
      <w:r w:rsidRPr="00CF2395">
        <w:rPr>
          <w:rFonts w:ascii="Cambria" w:eastAsia="Times New Roman" w:hAnsi="Cambria"/>
          <w:sz w:val="20"/>
          <w:szCs w:val="20"/>
          <w:bdr w:val="none" w:sz="0" w:space="0" w:color="auto"/>
          <w:lang w:val="es-EC"/>
        </w:rPr>
        <w:t>”.  Las disposiciones del artículo 48.1.e estipulan que la Comisión “podrá pedir a los Estados interesados cualquier información pertinente”. Ello obliga a los Estados partes de la Convención a brindar a la Comisión la información que necesite para analizar las peticiones individuales</w:t>
      </w:r>
      <w:r w:rsidRPr="005A596C">
        <w:rPr>
          <w:rFonts w:ascii="Cambria" w:eastAsia="Times New Roman" w:hAnsi="Cambria"/>
          <w:sz w:val="20"/>
          <w:szCs w:val="20"/>
          <w:bdr w:val="none" w:sz="0" w:space="0" w:color="auto"/>
          <w:vertAlign w:val="superscript"/>
          <w:lang w:val="es-EC"/>
        </w:rPr>
        <w:footnoteReference w:id="2"/>
      </w:r>
      <w:r w:rsidRPr="00CF2395">
        <w:rPr>
          <w:rFonts w:ascii="Cambria" w:eastAsia="Times New Roman" w:hAnsi="Cambria"/>
          <w:sz w:val="20"/>
          <w:szCs w:val="20"/>
          <w:bdr w:val="none" w:sz="0" w:space="0" w:color="auto"/>
          <w:lang w:val="es-EC"/>
        </w:rPr>
        <w:t>.</w:t>
      </w:r>
    </w:p>
    <w:p w:rsidR="00CF2395" w:rsidRPr="00CF2395" w:rsidRDefault="00CF2395" w:rsidP="00C2149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heme="minorHAnsi" w:hAnsi="Cambria" w:cstheme="minorBidi"/>
          <w:sz w:val="20"/>
          <w:szCs w:val="20"/>
          <w:bdr w:val="none" w:sz="0" w:space="0" w:color="auto"/>
          <w:lang w:val="es-ES"/>
        </w:rPr>
      </w:pPr>
    </w:p>
    <w:p w:rsidR="00CF2395" w:rsidRDefault="00CF2395" w:rsidP="00C21492">
      <w:pPr>
        <w:keepNext/>
        <w:numPr>
          <w:ilvl w:val="2"/>
          <w:numId w:val="10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b/>
          <w:i/>
          <w:sz w:val="20"/>
          <w:szCs w:val="20"/>
          <w:bdr w:val="none" w:sz="0" w:space="0" w:color="auto"/>
          <w:lang w:val="es-ES"/>
        </w:rPr>
      </w:pPr>
      <w:r w:rsidRPr="00B568B8">
        <w:rPr>
          <w:rFonts w:ascii="Cambria" w:eastAsia="Times New Roman" w:hAnsi="Cambria"/>
          <w:b/>
          <w:sz w:val="20"/>
          <w:szCs w:val="20"/>
          <w:bdr w:val="none" w:sz="0" w:space="0" w:color="auto"/>
          <w:lang w:val="es-ES"/>
        </w:rPr>
        <w:t>Competencia de la Comisión</w:t>
      </w:r>
      <w:r w:rsidRPr="00B568B8">
        <w:rPr>
          <w:rFonts w:ascii="Cambria" w:eastAsia="Times New Roman" w:hAnsi="Cambria"/>
          <w:b/>
          <w:i/>
          <w:sz w:val="20"/>
          <w:szCs w:val="20"/>
          <w:bdr w:val="none" w:sz="0" w:space="0" w:color="auto"/>
          <w:lang w:val="es-ES"/>
        </w:rPr>
        <w:t xml:space="preserve"> </w:t>
      </w:r>
      <w:proofErr w:type="spellStart"/>
      <w:r w:rsidRPr="00B568B8">
        <w:rPr>
          <w:rFonts w:ascii="Cambria" w:eastAsia="Times New Roman" w:hAnsi="Cambria"/>
          <w:b/>
          <w:i/>
          <w:sz w:val="20"/>
          <w:szCs w:val="20"/>
          <w:bdr w:val="none" w:sz="0" w:space="0" w:color="auto"/>
          <w:lang w:val="es-ES"/>
        </w:rPr>
        <w:t>ratione</w:t>
      </w:r>
      <w:proofErr w:type="spellEnd"/>
      <w:r w:rsidRPr="00B568B8">
        <w:rPr>
          <w:rFonts w:ascii="Cambria" w:eastAsia="Times New Roman" w:hAnsi="Cambria"/>
          <w:b/>
          <w:i/>
          <w:sz w:val="20"/>
          <w:szCs w:val="20"/>
          <w:bdr w:val="none" w:sz="0" w:space="0" w:color="auto"/>
          <w:lang w:val="es-ES"/>
        </w:rPr>
        <w:t xml:space="preserve"> </w:t>
      </w:r>
      <w:proofErr w:type="spellStart"/>
      <w:r w:rsidRPr="00B568B8">
        <w:rPr>
          <w:rFonts w:ascii="Cambria" w:eastAsia="Times New Roman" w:hAnsi="Cambria"/>
          <w:b/>
          <w:i/>
          <w:sz w:val="20"/>
          <w:szCs w:val="20"/>
          <w:bdr w:val="none" w:sz="0" w:space="0" w:color="auto"/>
          <w:lang w:val="es-ES"/>
        </w:rPr>
        <w:t>personae</w:t>
      </w:r>
      <w:proofErr w:type="spellEnd"/>
      <w:r w:rsidRPr="00B568B8">
        <w:rPr>
          <w:rFonts w:ascii="Cambria" w:eastAsia="Times New Roman" w:hAnsi="Cambria"/>
          <w:b/>
          <w:i/>
          <w:sz w:val="20"/>
          <w:szCs w:val="20"/>
          <w:bdr w:val="none" w:sz="0" w:space="0" w:color="auto"/>
          <w:lang w:val="es-ES"/>
        </w:rPr>
        <w:t xml:space="preserve">, </w:t>
      </w:r>
      <w:proofErr w:type="spellStart"/>
      <w:r w:rsidRPr="00B568B8">
        <w:rPr>
          <w:rFonts w:ascii="Cambria" w:eastAsia="Times New Roman" w:hAnsi="Cambria"/>
          <w:b/>
          <w:i/>
          <w:sz w:val="20"/>
          <w:szCs w:val="20"/>
          <w:bdr w:val="none" w:sz="0" w:space="0" w:color="auto"/>
          <w:lang w:val="es-ES"/>
        </w:rPr>
        <w:t>ratione</w:t>
      </w:r>
      <w:proofErr w:type="spellEnd"/>
      <w:r w:rsidRPr="00B568B8">
        <w:rPr>
          <w:rFonts w:ascii="Cambria" w:eastAsia="Times New Roman" w:hAnsi="Cambria"/>
          <w:b/>
          <w:i/>
          <w:sz w:val="20"/>
          <w:szCs w:val="20"/>
          <w:bdr w:val="none" w:sz="0" w:space="0" w:color="auto"/>
          <w:lang w:val="es-ES"/>
        </w:rPr>
        <w:t xml:space="preserve"> </w:t>
      </w:r>
      <w:proofErr w:type="spellStart"/>
      <w:r w:rsidRPr="00B568B8">
        <w:rPr>
          <w:rFonts w:ascii="Cambria" w:eastAsia="Times New Roman" w:hAnsi="Cambria"/>
          <w:b/>
          <w:i/>
          <w:sz w:val="20"/>
          <w:szCs w:val="20"/>
          <w:bdr w:val="none" w:sz="0" w:space="0" w:color="auto"/>
          <w:lang w:val="es-ES"/>
        </w:rPr>
        <w:t>materiae</w:t>
      </w:r>
      <w:proofErr w:type="spellEnd"/>
      <w:r w:rsidRPr="00B568B8">
        <w:rPr>
          <w:rFonts w:ascii="Cambria" w:eastAsia="Times New Roman" w:hAnsi="Cambria"/>
          <w:b/>
          <w:i/>
          <w:sz w:val="20"/>
          <w:szCs w:val="20"/>
          <w:bdr w:val="none" w:sz="0" w:space="0" w:color="auto"/>
          <w:lang w:val="es-ES"/>
        </w:rPr>
        <w:t xml:space="preserve">, </w:t>
      </w:r>
      <w:proofErr w:type="spellStart"/>
      <w:r w:rsidRPr="00B568B8">
        <w:rPr>
          <w:rFonts w:ascii="Cambria" w:eastAsia="Times New Roman" w:hAnsi="Cambria"/>
          <w:b/>
          <w:i/>
          <w:sz w:val="20"/>
          <w:szCs w:val="20"/>
          <w:bdr w:val="none" w:sz="0" w:space="0" w:color="auto"/>
          <w:lang w:val="es-ES"/>
        </w:rPr>
        <w:t>ratione</w:t>
      </w:r>
      <w:proofErr w:type="spellEnd"/>
      <w:r w:rsidRPr="00B568B8">
        <w:rPr>
          <w:rFonts w:ascii="Cambria" w:eastAsia="Times New Roman" w:hAnsi="Cambria"/>
          <w:b/>
          <w:i/>
          <w:sz w:val="20"/>
          <w:szCs w:val="20"/>
          <w:bdr w:val="none" w:sz="0" w:space="0" w:color="auto"/>
          <w:lang w:val="es-ES"/>
        </w:rPr>
        <w:t xml:space="preserve"> </w:t>
      </w:r>
      <w:proofErr w:type="spellStart"/>
      <w:r w:rsidRPr="00B568B8">
        <w:rPr>
          <w:rFonts w:ascii="Cambria" w:eastAsia="Times New Roman" w:hAnsi="Cambria"/>
          <w:b/>
          <w:i/>
          <w:sz w:val="20"/>
          <w:szCs w:val="20"/>
          <w:bdr w:val="none" w:sz="0" w:space="0" w:color="auto"/>
          <w:lang w:val="es-ES"/>
        </w:rPr>
        <w:t>temporis</w:t>
      </w:r>
      <w:proofErr w:type="spellEnd"/>
      <w:r w:rsidRPr="00B568B8">
        <w:rPr>
          <w:rFonts w:ascii="Cambria" w:eastAsia="Times New Roman" w:hAnsi="Cambria"/>
          <w:b/>
          <w:i/>
          <w:sz w:val="20"/>
          <w:szCs w:val="20"/>
          <w:bdr w:val="none" w:sz="0" w:space="0" w:color="auto"/>
          <w:lang w:val="es-ES"/>
        </w:rPr>
        <w:t xml:space="preserve"> y </w:t>
      </w:r>
      <w:proofErr w:type="spellStart"/>
      <w:r w:rsidRPr="00B568B8">
        <w:rPr>
          <w:rFonts w:ascii="Cambria" w:eastAsia="Times New Roman" w:hAnsi="Cambria"/>
          <w:b/>
          <w:i/>
          <w:sz w:val="20"/>
          <w:szCs w:val="20"/>
          <w:bdr w:val="none" w:sz="0" w:space="0" w:color="auto"/>
          <w:lang w:val="es-ES"/>
        </w:rPr>
        <w:t>ratione</w:t>
      </w:r>
      <w:proofErr w:type="spellEnd"/>
      <w:r w:rsidRPr="00B568B8">
        <w:rPr>
          <w:rFonts w:ascii="Cambria" w:eastAsia="Times New Roman" w:hAnsi="Cambria"/>
          <w:b/>
          <w:i/>
          <w:sz w:val="20"/>
          <w:szCs w:val="20"/>
          <w:bdr w:val="none" w:sz="0" w:space="0" w:color="auto"/>
          <w:lang w:val="es-ES"/>
        </w:rPr>
        <w:t xml:space="preserve"> </w:t>
      </w:r>
      <w:proofErr w:type="spellStart"/>
      <w:r w:rsidRPr="00B568B8">
        <w:rPr>
          <w:rFonts w:ascii="Cambria" w:eastAsia="Times New Roman" w:hAnsi="Cambria"/>
          <w:b/>
          <w:i/>
          <w:sz w:val="20"/>
          <w:szCs w:val="20"/>
          <w:bdr w:val="none" w:sz="0" w:space="0" w:color="auto"/>
          <w:lang w:val="es-ES"/>
        </w:rPr>
        <w:t>loci</w:t>
      </w:r>
      <w:proofErr w:type="spellEnd"/>
    </w:p>
    <w:p w:rsidR="00C21492" w:rsidRPr="00CF2395" w:rsidRDefault="00C21492" w:rsidP="00C21492">
      <w:pPr>
        <w:keepNext/>
        <w:pBdr>
          <w:top w:val="none" w:sz="0" w:space="0" w:color="auto"/>
          <w:left w:val="none" w:sz="0" w:space="0" w:color="auto"/>
          <w:bottom w:val="none" w:sz="0" w:space="0" w:color="auto"/>
          <w:right w:val="none" w:sz="0" w:space="0" w:color="auto"/>
          <w:between w:val="none" w:sz="0" w:space="0" w:color="auto"/>
          <w:bar w:val="none" w:sz="0" w:color="auto"/>
        </w:pBdr>
        <w:ind w:left="2070"/>
        <w:jc w:val="both"/>
        <w:outlineLvl w:val="1"/>
        <w:rPr>
          <w:rFonts w:ascii="Cambria" w:eastAsia="Times New Roman" w:hAnsi="Cambria"/>
          <w:b/>
          <w:i/>
          <w:sz w:val="20"/>
          <w:szCs w:val="20"/>
          <w:bdr w:val="none" w:sz="0" w:space="0" w:color="auto"/>
          <w:lang w:val="es-ES"/>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MX"/>
        </w:rPr>
      </w:pPr>
      <w:r w:rsidRPr="00CF2395">
        <w:rPr>
          <w:rFonts w:ascii="Cambria" w:eastAsiaTheme="minorHAnsi" w:hAnsi="Cambria" w:cstheme="minorBidi"/>
          <w:sz w:val="20"/>
          <w:szCs w:val="20"/>
          <w:bdr w:val="none" w:sz="0" w:space="0" w:color="auto"/>
          <w:lang w:val="es-ES"/>
        </w:rPr>
        <w:t xml:space="preserve">Los peticionarios se encuentran facultados, en principio, por el artículo 44 de la Convención Americana para presentar peticiones ante la Comisión.  La petición señala como presuntas víctimas a personas individuales, respecto de quienes el Estado de Honduras se comprometió a respetar y garantizar los derechos consagrados en la Convención Americana. En lo concerniente al Estado, la Comisión señala que </w:t>
      </w:r>
      <w:r w:rsidRPr="00CF2395">
        <w:rPr>
          <w:rFonts w:ascii="Cambria" w:eastAsiaTheme="minorHAnsi" w:hAnsi="Cambria" w:cstheme="minorBidi"/>
          <w:sz w:val="20"/>
          <w:szCs w:val="20"/>
          <w:bdr w:val="none" w:sz="0" w:space="0" w:color="auto"/>
          <w:lang w:val="es-ES"/>
        </w:rPr>
        <w:lastRenderedPageBreak/>
        <w:t xml:space="preserve">Honduras es un Estado parte en la Convención Americana desde el 8 de septiembre de 1977, fecha en la que depositó su instrumento de ratificación, respectivamente. Por lo tanto, la Comisión tiene competencia </w:t>
      </w:r>
      <w:proofErr w:type="spellStart"/>
      <w:r w:rsidRPr="00CF2395">
        <w:rPr>
          <w:rFonts w:ascii="Cambria" w:eastAsiaTheme="minorHAnsi" w:hAnsi="Cambria" w:cstheme="minorBidi"/>
          <w:i/>
          <w:iCs/>
          <w:sz w:val="20"/>
          <w:szCs w:val="20"/>
          <w:bdr w:val="none" w:sz="0" w:space="0" w:color="auto"/>
          <w:lang w:val="es-ES"/>
        </w:rPr>
        <w:t>ratione</w:t>
      </w:r>
      <w:proofErr w:type="spellEnd"/>
      <w:r w:rsidRPr="00CF2395">
        <w:rPr>
          <w:rFonts w:ascii="Cambria" w:eastAsiaTheme="minorHAnsi" w:hAnsi="Cambria" w:cstheme="minorBidi"/>
          <w:i/>
          <w:iCs/>
          <w:sz w:val="20"/>
          <w:szCs w:val="20"/>
          <w:bdr w:val="none" w:sz="0" w:space="0" w:color="auto"/>
          <w:lang w:val="es-ES"/>
        </w:rPr>
        <w:t xml:space="preserve"> </w:t>
      </w:r>
      <w:proofErr w:type="spellStart"/>
      <w:r w:rsidRPr="00CF2395">
        <w:rPr>
          <w:rFonts w:ascii="Cambria" w:eastAsiaTheme="minorHAnsi" w:hAnsi="Cambria" w:cstheme="minorBidi"/>
          <w:i/>
          <w:iCs/>
          <w:sz w:val="20"/>
          <w:szCs w:val="20"/>
          <w:bdr w:val="none" w:sz="0" w:space="0" w:color="auto"/>
          <w:lang w:val="es-ES"/>
        </w:rPr>
        <w:t>personae</w:t>
      </w:r>
      <w:proofErr w:type="spellEnd"/>
      <w:r w:rsidRPr="00CF2395">
        <w:rPr>
          <w:rFonts w:ascii="Cambria" w:eastAsiaTheme="minorHAnsi" w:hAnsi="Cambria" w:cstheme="minorBidi"/>
          <w:sz w:val="20"/>
          <w:szCs w:val="20"/>
          <w:bdr w:val="none" w:sz="0" w:space="0" w:color="auto"/>
          <w:lang w:val="es-ES"/>
        </w:rPr>
        <w:t xml:space="preserve"> para examinar la petición.  Asimismo, la Comisión tiene competencia </w:t>
      </w:r>
      <w:proofErr w:type="spellStart"/>
      <w:r w:rsidRPr="00CF2395">
        <w:rPr>
          <w:rFonts w:ascii="Cambria" w:eastAsiaTheme="minorHAnsi" w:hAnsi="Cambria" w:cstheme="minorBidi"/>
          <w:i/>
          <w:iCs/>
          <w:sz w:val="20"/>
          <w:szCs w:val="20"/>
          <w:bdr w:val="none" w:sz="0" w:space="0" w:color="auto"/>
          <w:lang w:val="es-ES"/>
        </w:rPr>
        <w:t>ratione</w:t>
      </w:r>
      <w:proofErr w:type="spellEnd"/>
      <w:r w:rsidRPr="00CF2395">
        <w:rPr>
          <w:rFonts w:ascii="Cambria" w:eastAsiaTheme="minorHAnsi" w:hAnsi="Cambria" w:cstheme="minorBidi"/>
          <w:i/>
          <w:iCs/>
          <w:sz w:val="20"/>
          <w:szCs w:val="20"/>
          <w:bdr w:val="none" w:sz="0" w:space="0" w:color="auto"/>
          <w:lang w:val="es-ES"/>
        </w:rPr>
        <w:t xml:space="preserve"> </w:t>
      </w:r>
      <w:proofErr w:type="spellStart"/>
      <w:r w:rsidRPr="00CF2395">
        <w:rPr>
          <w:rFonts w:ascii="Cambria" w:eastAsiaTheme="minorHAnsi" w:hAnsi="Cambria" w:cstheme="minorBidi"/>
          <w:i/>
          <w:iCs/>
          <w:sz w:val="20"/>
          <w:szCs w:val="20"/>
          <w:bdr w:val="none" w:sz="0" w:space="0" w:color="auto"/>
          <w:lang w:val="es-ES"/>
        </w:rPr>
        <w:t>loci</w:t>
      </w:r>
      <w:proofErr w:type="spellEnd"/>
      <w:r w:rsidRPr="00CF2395">
        <w:rPr>
          <w:rFonts w:ascii="Cambria" w:eastAsiaTheme="minorHAnsi" w:hAnsi="Cambria" w:cstheme="minorBidi"/>
          <w:sz w:val="20"/>
          <w:szCs w:val="20"/>
          <w:bdr w:val="none" w:sz="0" w:space="0" w:color="auto"/>
          <w:lang w:val="es-ES"/>
        </w:rPr>
        <w:t xml:space="preserve"> para conocer la petición, por cuanto en ella se alegan violaciones de derechos protegidos por la Convención Americana, que habrían tenido lugar dentro del territorio de Honduras, Estado Parte en dicho tratado.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MX"/>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MX"/>
        </w:rPr>
      </w:pPr>
      <w:r w:rsidRPr="00CF2395">
        <w:rPr>
          <w:rFonts w:ascii="Cambria" w:eastAsiaTheme="minorHAnsi" w:hAnsi="Cambria" w:cstheme="minorBidi"/>
          <w:sz w:val="20"/>
          <w:szCs w:val="20"/>
          <w:bdr w:val="none" w:sz="0" w:space="0" w:color="auto"/>
          <w:lang w:val="es-ES"/>
        </w:rPr>
        <w:t xml:space="preserve">La Comisión tiene competencia </w:t>
      </w:r>
      <w:proofErr w:type="spellStart"/>
      <w:r w:rsidRPr="00CF2395">
        <w:rPr>
          <w:rFonts w:ascii="Cambria" w:eastAsiaTheme="minorHAnsi" w:hAnsi="Cambria" w:cstheme="minorBidi"/>
          <w:i/>
          <w:iCs/>
          <w:sz w:val="20"/>
          <w:szCs w:val="20"/>
          <w:bdr w:val="none" w:sz="0" w:space="0" w:color="auto"/>
          <w:lang w:val="es-ES"/>
        </w:rPr>
        <w:t>ratione</w:t>
      </w:r>
      <w:proofErr w:type="spellEnd"/>
      <w:r w:rsidRPr="00CF2395">
        <w:rPr>
          <w:rFonts w:ascii="Cambria" w:eastAsiaTheme="minorHAnsi" w:hAnsi="Cambria" w:cstheme="minorBidi"/>
          <w:i/>
          <w:iCs/>
          <w:sz w:val="20"/>
          <w:szCs w:val="20"/>
          <w:bdr w:val="none" w:sz="0" w:space="0" w:color="auto"/>
          <w:lang w:val="es-ES"/>
        </w:rPr>
        <w:t xml:space="preserve"> </w:t>
      </w:r>
      <w:proofErr w:type="spellStart"/>
      <w:r w:rsidRPr="00CF2395">
        <w:rPr>
          <w:rFonts w:ascii="Cambria" w:eastAsiaTheme="minorHAnsi" w:hAnsi="Cambria" w:cstheme="minorBidi"/>
          <w:i/>
          <w:iCs/>
          <w:sz w:val="20"/>
          <w:szCs w:val="20"/>
          <w:bdr w:val="none" w:sz="0" w:space="0" w:color="auto"/>
          <w:lang w:val="es-ES"/>
        </w:rPr>
        <w:t>temporis</w:t>
      </w:r>
      <w:proofErr w:type="spellEnd"/>
      <w:r w:rsidRPr="00CF2395">
        <w:rPr>
          <w:rFonts w:ascii="Cambria" w:eastAsiaTheme="minorHAnsi" w:hAnsi="Cambria" w:cstheme="minorBidi"/>
          <w:sz w:val="20"/>
          <w:szCs w:val="20"/>
          <w:bdr w:val="none" w:sz="0" w:space="0" w:color="auto"/>
          <w:lang w:val="es-ES"/>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proofErr w:type="spellStart"/>
      <w:r w:rsidRPr="00CF2395">
        <w:rPr>
          <w:rFonts w:ascii="Cambria" w:eastAsiaTheme="minorHAnsi" w:hAnsi="Cambria" w:cstheme="minorBidi"/>
          <w:i/>
          <w:iCs/>
          <w:sz w:val="20"/>
          <w:szCs w:val="20"/>
          <w:bdr w:val="none" w:sz="0" w:space="0" w:color="auto"/>
          <w:lang w:val="es-ES"/>
        </w:rPr>
        <w:t>ratione</w:t>
      </w:r>
      <w:proofErr w:type="spellEnd"/>
      <w:r w:rsidRPr="00CF2395">
        <w:rPr>
          <w:rFonts w:ascii="Cambria" w:eastAsiaTheme="minorHAnsi" w:hAnsi="Cambria" w:cstheme="minorBidi"/>
          <w:i/>
          <w:iCs/>
          <w:sz w:val="20"/>
          <w:szCs w:val="20"/>
          <w:bdr w:val="none" w:sz="0" w:space="0" w:color="auto"/>
          <w:lang w:val="es-ES"/>
        </w:rPr>
        <w:t xml:space="preserve"> </w:t>
      </w:r>
      <w:proofErr w:type="spellStart"/>
      <w:r w:rsidRPr="00CF2395">
        <w:rPr>
          <w:rFonts w:ascii="Cambria" w:eastAsiaTheme="minorHAnsi" w:hAnsi="Cambria" w:cstheme="minorBidi"/>
          <w:i/>
          <w:iCs/>
          <w:sz w:val="20"/>
          <w:szCs w:val="20"/>
          <w:bdr w:val="none" w:sz="0" w:space="0" w:color="auto"/>
          <w:lang w:val="es-ES"/>
        </w:rPr>
        <w:t>materiae</w:t>
      </w:r>
      <w:proofErr w:type="spellEnd"/>
      <w:r w:rsidRPr="00CF2395">
        <w:rPr>
          <w:rFonts w:ascii="Cambria" w:eastAsiaTheme="minorHAnsi" w:hAnsi="Cambria" w:cstheme="minorBidi"/>
          <w:sz w:val="20"/>
          <w:szCs w:val="20"/>
          <w:bdr w:val="none" w:sz="0" w:space="0" w:color="auto"/>
          <w:lang w:val="es-ES"/>
        </w:rPr>
        <w:t xml:space="preserve">, porque en la petición se denuncian posibles violaciones a derechos humanos protegidos por la Convención Americana.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MX"/>
        </w:rPr>
      </w:pPr>
    </w:p>
    <w:p w:rsid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MX"/>
        </w:rPr>
      </w:pPr>
      <w:r w:rsidRPr="00CF2395">
        <w:rPr>
          <w:rFonts w:ascii="Cambria" w:eastAsiaTheme="minorHAnsi" w:hAnsi="Cambria" w:cs="Arial"/>
          <w:sz w:val="20"/>
          <w:szCs w:val="20"/>
          <w:bdr w:val="none" w:sz="0" w:space="0" w:color="auto"/>
          <w:lang w:val="es-ES_tradnl"/>
        </w:rPr>
        <w:t xml:space="preserve">Lo anterior, sin perjuicio que en el análisis de si el Estado hondureño incurrió en responsabilidad internacional bajo la Convención Americana, la CIDH tome en consideración otros instrumentos que hacen parte del </w:t>
      </w:r>
      <w:r w:rsidRPr="00CF2395">
        <w:rPr>
          <w:rFonts w:ascii="Cambria" w:eastAsiaTheme="minorHAnsi" w:hAnsi="Cambria" w:cs="Arial"/>
          <w:i/>
          <w:sz w:val="20"/>
          <w:szCs w:val="20"/>
          <w:bdr w:val="none" w:sz="0" w:space="0" w:color="auto"/>
          <w:lang w:val="es-ES_tradnl"/>
        </w:rPr>
        <w:t xml:space="preserve">corpus </w:t>
      </w:r>
      <w:proofErr w:type="spellStart"/>
      <w:r w:rsidRPr="00CF2395">
        <w:rPr>
          <w:rFonts w:ascii="Cambria" w:eastAsiaTheme="minorHAnsi" w:hAnsi="Cambria" w:cs="Arial"/>
          <w:i/>
          <w:sz w:val="20"/>
          <w:szCs w:val="20"/>
          <w:bdr w:val="none" w:sz="0" w:space="0" w:color="auto"/>
          <w:lang w:val="es-ES_tradnl"/>
        </w:rPr>
        <w:t>juris</w:t>
      </w:r>
      <w:proofErr w:type="spellEnd"/>
      <w:r w:rsidRPr="00CF2395">
        <w:rPr>
          <w:rFonts w:ascii="Cambria" w:eastAsiaTheme="minorHAnsi" w:hAnsi="Cambria" w:cs="Arial"/>
          <w:i/>
          <w:sz w:val="20"/>
          <w:szCs w:val="20"/>
          <w:bdr w:val="none" w:sz="0" w:space="0" w:color="auto"/>
          <w:lang w:val="es-ES_tradnl"/>
        </w:rPr>
        <w:t xml:space="preserve"> </w:t>
      </w:r>
      <w:r w:rsidRPr="00CF2395">
        <w:rPr>
          <w:rFonts w:ascii="Cambria" w:eastAsiaTheme="minorHAnsi" w:hAnsi="Cambria" w:cs="Arial"/>
          <w:sz w:val="20"/>
          <w:szCs w:val="20"/>
          <w:bdr w:val="none" w:sz="0" w:space="0" w:color="auto"/>
          <w:lang w:val="es-ES_tradnl"/>
        </w:rPr>
        <w:t xml:space="preserve">en materia de derechos de los niños, niñas y adolescentes en cuanto a la situación de </w:t>
      </w:r>
      <w:proofErr w:type="spellStart"/>
      <w:r w:rsidRPr="00CF2395">
        <w:rPr>
          <w:rFonts w:ascii="Cambria" w:eastAsiaTheme="minorHAnsi" w:hAnsi="Cambria" w:cstheme="minorBidi"/>
          <w:sz w:val="20"/>
          <w:szCs w:val="20"/>
          <w:bdr w:val="none" w:sz="0" w:space="0" w:color="auto"/>
          <w:lang w:val="es-MX"/>
        </w:rPr>
        <w:t>Ronal</w:t>
      </w:r>
      <w:proofErr w:type="spellEnd"/>
      <w:r w:rsidRPr="00CF2395">
        <w:rPr>
          <w:rFonts w:ascii="Cambria" w:eastAsiaTheme="minorHAnsi" w:hAnsi="Cambria" w:cstheme="minorBidi"/>
          <w:sz w:val="20"/>
          <w:szCs w:val="20"/>
          <w:bdr w:val="none" w:sz="0" w:space="0" w:color="auto"/>
          <w:lang w:val="es-MX"/>
        </w:rPr>
        <w:t xml:space="preserve"> Jared Martínez Velásquez</w:t>
      </w:r>
      <w:r w:rsidRPr="00CF2395">
        <w:rPr>
          <w:rFonts w:ascii="Cambria" w:eastAsiaTheme="minorHAnsi" w:hAnsi="Cambria" w:cs="Arial"/>
          <w:sz w:val="20"/>
          <w:szCs w:val="20"/>
          <w:bdr w:val="none" w:sz="0" w:space="0" w:color="auto"/>
          <w:lang w:val="es-ES_tradnl"/>
        </w:rPr>
        <w:t xml:space="preserve"> y </w:t>
      </w:r>
      <w:proofErr w:type="spellStart"/>
      <w:r w:rsidRPr="00CF2395">
        <w:rPr>
          <w:rFonts w:ascii="Cambria" w:eastAsiaTheme="minorHAnsi" w:hAnsi="Cambria" w:cstheme="minorBidi"/>
          <w:sz w:val="20"/>
          <w:szCs w:val="20"/>
          <w:bdr w:val="none" w:sz="0" w:space="0" w:color="auto"/>
          <w:lang w:val="es-MX"/>
        </w:rPr>
        <w:t>Marlón</w:t>
      </w:r>
      <w:proofErr w:type="spellEnd"/>
      <w:r w:rsidRPr="00CF2395">
        <w:rPr>
          <w:rFonts w:ascii="Cambria" w:eastAsiaTheme="minorHAnsi" w:hAnsi="Cambria" w:cstheme="minorBidi"/>
          <w:sz w:val="20"/>
          <w:szCs w:val="20"/>
          <w:bdr w:val="none" w:sz="0" w:space="0" w:color="auto"/>
          <w:lang w:val="es-MX"/>
        </w:rPr>
        <w:t xml:space="preserve"> Fabricio Hernández Fúnez</w:t>
      </w:r>
      <w:r w:rsidRPr="00CF2395">
        <w:rPr>
          <w:rFonts w:ascii="Cambria" w:eastAsiaTheme="minorHAnsi" w:hAnsi="Cambria" w:cs="Arial"/>
          <w:sz w:val="20"/>
          <w:szCs w:val="20"/>
          <w:bdr w:val="none" w:sz="0" w:space="0" w:color="auto"/>
          <w:lang w:val="es-ES_tradnl"/>
        </w:rPr>
        <w:t xml:space="preserve">, así como también en materia de derechos de las personas con discapacidad en perjuicio de </w:t>
      </w:r>
      <w:proofErr w:type="spellStart"/>
      <w:r w:rsidRPr="00CF2395">
        <w:rPr>
          <w:rFonts w:ascii="Cambria" w:eastAsiaTheme="minorHAnsi" w:hAnsi="Cambria" w:cstheme="minorBidi"/>
          <w:sz w:val="20"/>
          <w:szCs w:val="20"/>
          <w:bdr w:val="none" w:sz="0" w:space="0" w:color="auto"/>
          <w:lang w:val="es-MX"/>
        </w:rPr>
        <w:t>Ronal</w:t>
      </w:r>
      <w:proofErr w:type="spellEnd"/>
      <w:r w:rsidRPr="00CF2395">
        <w:rPr>
          <w:rFonts w:ascii="Cambria" w:eastAsiaTheme="minorHAnsi" w:hAnsi="Cambria" w:cstheme="minorBidi"/>
          <w:sz w:val="20"/>
          <w:szCs w:val="20"/>
          <w:bdr w:val="none" w:sz="0" w:space="0" w:color="auto"/>
          <w:lang w:val="es-MX"/>
        </w:rPr>
        <w:t xml:space="preserve"> Jared Martínez Velásquez.</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MX"/>
        </w:rPr>
      </w:pPr>
    </w:p>
    <w:p w:rsidR="00CF2395" w:rsidRDefault="00CF2395" w:rsidP="00C21492">
      <w:pPr>
        <w:keepNext/>
        <w:numPr>
          <w:ilvl w:val="2"/>
          <w:numId w:val="10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b/>
          <w:sz w:val="20"/>
          <w:szCs w:val="20"/>
          <w:bdr w:val="none" w:sz="0" w:space="0" w:color="auto"/>
          <w:lang w:val="es-ES"/>
        </w:rPr>
      </w:pPr>
      <w:r w:rsidRPr="00CB2295">
        <w:rPr>
          <w:rFonts w:ascii="Cambria" w:eastAsia="Times New Roman" w:hAnsi="Cambria"/>
          <w:b/>
          <w:sz w:val="20"/>
          <w:szCs w:val="20"/>
          <w:bdr w:val="none" w:sz="0" w:space="0" w:color="auto"/>
          <w:lang w:val="es-ES"/>
        </w:rPr>
        <w:t>Requisitos de admisibilidad</w:t>
      </w:r>
    </w:p>
    <w:p w:rsidR="00C21492" w:rsidRPr="00CF2395" w:rsidRDefault="00C21492" w:rsidP="00C21492">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sz w:val="20"/>
          <w:szCs w:val="20"/>
          <w:bdr w:val="none" w:sz="0" w:space="0" w:color="auto"/>
          <w:lang w:val="es-ES"/>
        </w:rPr>
      </w:pPr>
    </w:p>
    <w:p w:rsidR="00CF2395" w:rsidRDefault="00CF2395" w:rsidP="00C21492">
      <w:pPr>
        <w:numPr>
          <w:ilvl w:val="3"/>
          <w:numId w:val="106"/>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Theme="minorHAnsi" w:hAnsi="Cambria" w:cstheme="minorBidi"/>
          <w:b/>
          <w:sz w:val="20"/>
          <w:szCs w:val="20"/>
          <w:bdr w:val="none" w:sz="0" w:space="0" w:color="auto"/>
          <w:lang w:val="es-ES"/>
        </w:rPr>
      </w:pPr>
      <w:r w:rsidRPr="00CF2395">
        <w:rPr>
          <w:rFonts w:ascii="Cambria" w:eastAsiaTheme="minorHAnsi" w:hAnsi="Cambria" w:cstheme="minorBidi"/>
          <w:b/>
          <w:sz w:val="20"/>
          <w:szCs w:val="20"/>
          <w:bdr w:val="none" w:sz="0" w:space="0" w:color="auto"/>
          <w:lang w:val="es-ES"/>
        </w:rPr>
        <w:t>Agotamiento de los recursos internos</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ind w:left="2985"/>
        <w:rPr>
          <w:rFonts w:ascii="Cambria" w:eastAsiaTheme="minorHAnsi" w:hAnsi="Cambria" w:cstheme="minorBidi"/>
          <w:b/>
          <w:sz w:val="20"/>
          <w:szCs w:val="20"/>
          <w:bdr w:val="none" w:sz="0" w:space="0" w:color="auto"/>
          <w:lang w:val="es-ES"/>
        </w:rPr>
      </w:pPr>
    </w:p>
    <w:p w:rsid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ES"/>
        </w:rPr>
        <w:t>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la solucionen antes de que sea conocida por una instancia internacional. El artículo 46.2 de la Convención por su parte establece tres supuestos en los que no se aplica la regla del agotamiento de los recursos internos: a) que no exista en la legislación interna del Estado de que se trata el debido proceso legal para la protección del derecho o derechos que se alega han sido violados; b) que no se haya permitido al presunto lesionado en sus derechos el acceso a los recursos de la jurisdicción interna, o haya sido impedido de agotarlos; y c) que haya retardo injustificado en la decisión sobre los mencionados recursos.  Estos supuestos no se refieren sólo a la existencia formal de tales recursos, sino también que estos sean adecuados y efectivos.</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MX"/>
        </w:rPr>
      </w:pPr>
      <w:r w:rsidRPr="00CF2395">
        <w:rPr>
          <w:rFonts w:ascii="Cambria" w:eastAsiaTheme="minorHAnsi" w:hAnsi="Cambria" w:cstheme="minorBidi"/>
          <w:sz w:val="20"/>
          <w:szCs w:val="20"/>
          <w:bdr w:val="none" w:sz="0" w:space="0" w:color="auto"/>
          <w:lang w:val="es-MX"/>
        </w:rPr>
        <w:t xml:space="preserve">En relación con el agotamiento de los recursos de jurisdicción interna, el peticionario alega que a pesar de que los agentes del Estado fueron los responsables de haberle ocasionado una paraplejía irreversible a su hijo, no habría ninguna persona procesada penalmente, con lo cual, éstos seguirían en libertad. Por su parte, el Estado no se ha pronunciado sobre su posición respecto al agotamiento de los recursos de jurisdicción interna.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MX"/>
        </w:rPr>
      </w:pPr>
    </w:p>
    <w:p w:rsid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MX"/>
        </w:rPr>
      </w:pPr>
      <w:r w:rsidRPr="00CF2395">
        <w:rPr>
          <w:rFonts w:ascii="Cambria" w:eastAsiaTheme="minorHAnsi" w:hAnsi="Cambria" w:cstheme="minorBidi"/>
          <w:sz w:val="20"/>
          <w:szCs w:val="20"/>
          <w:bdr w:val="none" w:sz="0" w:space="0" w:color="auto"/>
          <w:lang w:val="es-MX"/>
        </w:rPr>
        <w:t>Consta en la evidencia judicial que el Tribunal de Sentencia de la Ceiba, mediante sentencia del 26 de marzo de 2003, se pronunció respecto al caso en el que se denunciaba a los cinco oficiales del ejército identificados por los peticionarios como supuestos responsables por los delitos de lesiones en perjuicio de las presuntas víctimas, y de abuso de autoridad en perjuicio de la Administración Pública</w:t>
      </w:r>
      <w:r w:rsidRPr="005A596C">
        <w:rPr>
          <w:rFonts w:ascii="Cambria" w:eastAsiaTheme="minorHAnsi" w:hAnsi="Cambria" w:cstheme="minorBidi"/>
          <w:sz w:val="20"/>
          <w:szCs w:val="20"/>
          <w:bdr w:val="none" w:sz="0" w:space="0" w:color="auto"/>
          <w:vertAlign w:val="superscript"/>
          <w:lang w:val="es-MX"/>
        </w:rPr>
        <w:footnoteReference w:id="3"/>
      </w:r>
      <w:r w:rsidRPr="00CF2395">
        <w:rPr>
          <w:rFonts w:ascii="Cambria" w:eastAsiaTheme="minorHAnsi" w:hAnsi="Cambria" w:cstheme="minorBidi"/>
          <w:sz w:val="20"/>
          <w:szCs w:val="20"/>
          <w:bdr w:val="none" w:sz="0" w:space="0" w:color="auto"/>
          <w:lang w:val="es-MX"/>
        </w:rPr>
        <w:t xml:space="preserve">. En esta sentencia, el tribunal de primera instancia absolvió a los cinco presuntos responsables “por falta de prueba para crear la certeza y poder declarar [su] culpabilidad”; con base en la imposibilidad de establecer a cuál de los oficiales del ejército pertenecían los proyectiles encontrados en el cuerpo del niño </w:t>
      </w:r>
      <w:proofErr w:type="spellStart"/>
      <w:r w:rsidRPr="00CF2395">
        <w:rPr>
          <w:rFonts w:ascii="Cambria" w:eastAsiaTheme="minorHAnsi" w:hAnsi="Cambria" w:cstheme="minorBidi"/>
          <w:sz w:val="20"/>
          <w:szCs w:val="20"/>
          <w:bdr w:val="none" w:sz="0" w:space="0" w:color="auto"/>
          <w:lang w:val="es-MX"/>
        </w:rPr>
        <w:t>Ronal</w:t>
      </w:r>
      <w:proofErr w:type="spellEnd"/>
      <w:r w:rsidRPr="00CF2395">
        <w:rPr>
          <w:rFonts w:ascii="Cambria" w:eastAsiaTheme="minorHAnsi" w:hAnsi="Cambria" w:cstheme="minorBidi"/>
          <w:sz w:val="20"/>
          <w:szCs w:val="20"/>
          <w:bdr w:val="none" w:sz="0" w:space="0" w:color="auto"/>
          <w:lang w:val="es-MX"/>
        </w:rPr>
        <w:t xml:space="preserve"> Jared Martínez.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MX"/>
        </w:rPr>
      </w:pPr>
    </w:p>
    <w:p w:rsid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MX"/>
        </w:rPr>
      </w:pPr>
      <w:r w:rsidRPr="00CF2395">
        <w:rPr>
          <w:rFonts w:ascii="Cambria" w:eastAsiaTheme="minorHAnsi" w:hAnsi="Cambria" w:cstheme="minorBidi"/>
          <w:sz w:val="20"/>
          <w:szCs w:val="20"/>
          <w:bdr w:val="none" w:sz="0" w:space="0" w:color="auto"/>
          <w:lang w:val="es-MX"/>
        </w:rPr>
        <w:lastRenderedPageBreak/>
        <w:t xml:space="preserve">Frente a esta decisión absolutoria, el Ministerio Público interpuso el 30 de abril de 2003 un recurso de casación por quebrantamiento de forma (No. 1491-2003) ante la Corte Suprema de Justicia, basado en que el tribunal de primera instancia no habría valorado la prueba de acuerdo a las reglas de la sana crítica; de hecho, la referida instancia investigadora refirió que con esta decisión se dejaba en la impunidad un hecho “de gravedad cometido por agentes del Estado”.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MX"/>
        </w:rPr>
      </w:pPr>
    </w:p>
    <w:p w:rsid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MX"/>
        </w:rPr>
      </w:pPr>
      <w:r w:rsidRPr="00CF2395">
        <w:rPr>
          <w:rFonts w:ascii="Cambria" w:eastAsiaTheme="minorHAnsi" w:hAnsi="Cambria" w:cstheme="minorBidi"/>
          <w:sz w:val="20"/>
          <w:szCs w:val="20"/>
          <w:bdr w:val="none" w:sz="0" w:space="0" w:color="auto"/>
          <w:lang w:val="es-MX"/>
        </w:rPr>
        <w:t xml:space="preserve">De acuerdo con la información aportada por el peticionario, el 11 de marzo de 2004 el recurso de casación fue declarado admisible por la Sala de lo Penal de la Corte Suprema de Justicia, misma que devolvió los autos al tribunal de primera instancia para la enmienda de la sentencia. Ante esta devolución, el 22 de febrero de 2005, el Tribunal de Sentencia de la Ceiba dictó sentencia absolutoria únicamente respecto del militar Jorge Joel </w:t>
      </w:r>
      <w:proofErr w:type="spellStart"/>
      <w:r w:rsidRPr="00CF2395">
        <w:rPr>
          <w:rFonts w:ascii="Cambria" w:eastAsiaTheme="minorHAnsi" w:hAnsi="Cambria" w:cstheme="minorBidi"/>
          <w:sz w:val="20"/>
          <w:szCs w:val="20"/>
          <w:bdr w:val="none" w:sz="0" w:space="0" w:color="auto"/>
          <w:lang w:val="es-MX"/>
        </w:rPr>
        <w:t>Cubías</w:t>
      </w:r>
      <w:proofErr w:type="spellEnd"/>
      <w:r w:rsidRPr="00CF2395">
        <w:rPr>
          <w:rFonts w:ascii="Cambria" w:eastAsiaTheme="minorHAnsi" w:hAnsi="Cambria" w:cstheme="minorBidi"/>
          <w:sz w:val="20"/>
          <w:szCs w:val="20"/>
          <w:bdr w:val="none" w:sz="0" w:space="0" w:color="auto"/>
          <w:lang w:val="es-MX"/>
        </w:rPr>
        <w:t xml:space="preserve"> Irías. Su decisión absolutoria se basó en que “no </w:t>
      </w:r>
      <w:proofErr w:type="spellStart"/>
      <w:proofErr w:type="gramStart"/>
      <w:r w:rsidRPr="00CF2395">
        <w:rPr>
          <w:rFonts w:ascii="Cambria" w:eastAsiaTheme="minorHAnsi" w:hAnsi="Cambria" w:cstheme="minorBidi"/>
          <w:sz w:val="20"/>
          <w:szCs w:val="20"/>
          <w:bdr w:val="none" w:sz="0" w:space="0" w:color="auto"/>
          <w:lang w:val="es-MX"/>
        </w:rPr>
        <w:t>exist</w:t>
      </w:r>
      <w:proofErr w:type="spellEnd"/>
      <w:r w:rsidRPr="00CF2395">
        <w:rPr>
          <w:rFonts w:ascii="Cambria" w:eastAsiaTheme="minorHAnsi" w:hAnsi="Cambria" w:cstheme="minorBidi"/>
          <w:sz w:val="20"/>
          <w:szCs w:val="20"/>
          <w:bdr w:val="none" w:sz="0" w:space="0" w:color="auto"/>
          <w:lang w:val="es-MX"/>
        </w:rPr>
        <w:t>[</w:t>
      </w:r>
      <w:proofErr w:type="spellStart"/>
      <w:proofErr w:type="gramEnd"/>
      <w:r w:rsidRPr="00CF2395">
        <w:rPr>
          <w:rFonts w:ascii="Cambria" w:eastAsiaTheme="minorHAnsi" w:hAnsi="Cambria" w:cstheme="minorBidi"/>
          <w:sz w:val="20"/>
          <w:szCs w:val="20"/>
          <w:bdr w:val="none" w:sz="0" w:space="0" w:color="auto"/>
          <w:lang w:val="es-MX"/>
        </w:rPr>
        <w:t>ía</w:t>
      </w:r>
      <w:proofErr w:type="spellEnd"/>
      <w:r w:rsidRPr="00CF2395">
        <w:rPr>
          <w:rFonts w:ascii="Cambria" w:eastAsiaTheme="minorHAnsi" w:hAnsi="Cambria" w:cstheme="minorBidi"/>
          <w:sz w:val="20"/>
          <w:szCs w:val="20"/>
          <w:bdr w:val="none" w:sz="0" w:space="0" w:color="auto"/>
          <w:lang w:val="es-MX"/>
        </w:rPr>
        <w:t>] ningún nexo entre los impactos de bala que presenta[</w:t>
      </w:r>
      <w:proofErr w:type="spellStart"/>
      <w:r w:rsidRPr="00CF2395">
        <w:rPr>
          <w:rFonts w:ascii="Cambria" w:eastAsiaTheme="minorHAnsi" w:hAnsi="Cambria" w:cstheme="minorBidi"/>
          <w:sz w:val="20"/>
          <w:szCs w:val="20"/>
          <w:bdr w:val="none" w:sz="0" w:space="0" w:color="auto"/>
          <w:lang w:val="es-MX"/>
        </w:rPr>
        <w:t>ba</w:t>
      </w:r>
      <w:proofErr w:type="spellEnd"/>
      <w:r w:rsidRPr="00CF2395">
        <w:rPr>
          <w:rFonts w:ascii="Cambria" w:eastAsiaTheme="minorHAnsi" w:hAnsi="Cambria" w:cstheme="minorBidi"/>
          <w:sz w:val="20"/>
          <w:szCs w:val="20"/>
          <w:bdr w:val="none" w:sz="0" w:space="0" w:color="auto"/>
          <w:lang w:val="es-MX"/>
        </w:rPr>
        <w:t xml:space="preserve">] el vehículo [...]  y el arma de fuego que portaba Jorge Joel </w:t>
      </w:r>
      <w:proofErr w:type="spellStart"/>
      <w:r w:rsidRPr="00CF2395">
        <w:rPr>
          <w:rFonts w:ascii="Cambria" w:eastAsiaTheme="minorHAnsi" w:hAnsi="Cambria" w:cstheme="minorBidi"/>
          <w:sz w:val="20"/>
          <w:szCs w:val="20"/>
          <w:bdr w:val="none" w:sz="0" w:space="0" w:color="auto"/>
          <w:lang w:val="es-MX"/>
        </w:rPr>
        <w:t>Cubías</w:t>
      </w:r>
      <w:proofErr w:type="spellEnd"/>
      <w:r w:rsidRPr="00CF2395">
        <w:rPr>
          <w:rFonts w:ascii="Cambria" w:eastAsiaTheme="minorHAnsi" w:hAnsi="Cambria" w:cstheme="minorBidi"/>
          <w:sz w:val="20"/>
          <w:szCs w:val="20"/>
          <w:bdr w:val="none" w:sz="0" w:space="0" w:color="auto"/>
          <w:lang w:val="es-MX"/>
        </w:rPr>
        <w:t xml:space="preserve"> Irías”, ya que el día de los hechos el imputado portaba “un arma de fuego tipo Pistola 9 mm”</w:t>
      </w:r>
      <w:r w:rsidRPr="005A596C">
        <w:rPr>
          <w:rFonts w:ascii="Cambria" w:eastAsiaTheme="minorHAnsi" w:hAnsi="Cambria" w:cstheme="minorBidi"/>
          <w:sz w:val="20"/>
          <w:szCs w:val="20"/>
          <w:bdr w:val="none" w:sz="0" w:space="0" w:color="auto"/>
          <w:vertAlign w:val="superscript"/>
          <w:lang w:val="es-MX"/>
        </w:rPr>
        <w:footnoteReference w:id="4"/>
      </w:r>
      <w:r w:rsidRPr="00CF2395">
        <w:rPr>
          <w:rFonts w:ascii="Cambria" w:eastAsiaTheme="minorHAnsi" w:hAnsi="Cambria" w:cstheme="minorBidi"/>
          <w:sz w:val="20"/>
          <w:szCs w:val="20"/>
          <w:bdr w:val="none" w:sz="0" w:space="0" w:color="auto"/>
          <w:lang w:val="es-MX"/>
        </w:rPr>
        <w:t xml:space="preserve">, y el vehículo “recibió seis impactos de bala de proyectil calibre 5.56 x 45mm”.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MX"/>
        </w:rPr>
      </w:pPr>
    </w:p>
    <w:p w:rsidR="00CF2395" w:rsidRP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MX"/>
        </w:rPr>
      </w:pPr>
      <w:r w:rsidRPr="00CF2395">
        <w:rPr>
          <w:rFonts w:ascii="Cambria" w:eastAsiaTheme="minorHAnsi" w:hAnsi="Cambria" w:cstheme="minorBidi"/>
          <w:sz w:val="20"/>
          <w:szCs w:val="20"/>
          <w:bdr w:val="none" w:sz="0" w:space="0" w:color="auto"/>
          <w:lang w:val="es-MX"/>
        </w:rPr>
        <w:t xml:space="preserve">Los hechos en el presente caso </w:t>
      </w:r>
      <w:r w:rsidRPr="00CF2395">
        <w:rPr>
          <w:rFonts w:ascii="Cambria" w:eastAsia="Calibri" w:hAnsi="Cambria"/>
          <w:sz w:val="20"/>
          <w:szCs w:val="20"/>
          <w:bdr w:val="none" w:sz="0" w:space="0" w:color="auto"/>
          <w:lang w:val="es-CL"/>
        </w:rPr>
        <w:t>involucran la presunta vulneración de derechos que se traducen –</w:t>
      </w:r>
      <w:r w:rsidRPr="00CF2395">
        <w:rPr>
          <w:rFonts w:ascii="Cambria" w:eastAsiaTheme="minorHAnsi" w:hAnsi="Cambria" w:cstheme="minorBidi"/>
          <w:sz w:val="20"/>
          <w:szCs w:val="20"/>
          <w:bdr w:val="none" w:sz="0" w:space="0" w:color="auto"/>
          <w:lang w:val="es-MX"/>
        </w:rPr>
        <w:t>de acuerdo con el Código de Procedimientos Penales de Honduras</w:t>
      </w:r>
      <w:r w:rsidRPr="00CF2395">
        <w:rPr>
          <w:rFonts w:ascii="Cambria" w:eastAsia="Calibri" w:hAnsi="Cambria"/>
          <w:sz w:val="20"/>
          <w:szCs w:val="20"/>
          <w:bdr w:val="none" w:sz="0" w:space="0" w:color="auto"/>
          <w:lang w:val="es-CL"/>
        </w:rPr>
        <w:t>– en</w:t>
      </w:r>
      <w:r w:rsidRPr="00CF2395">
        <w:rPr>
          <w:rFonts w:ascii="Cambria" w:eastAsiaTheme="minorHAnsi" w:hAnsi="Cambria" w:cstheme="minorBidi"/>
          <w:sz w:val="20"/>
          <w:szCs w:val="20"/>
          <w:bdr w:val="none" w:sz="0" w:space="0" w:color="auto"/>
          <w:lang w:val="es-MX"/>
        </w:rPr>
        <w:t xml:space="preserve"> posibles delitos perseguibles de oficio. En este sentido, los </w:t>
      </w:r>
      <w:r w:rsidRPr="00CF2395">
        <w:rPr>
          <w:rFonts w:ascii="Cambria" w:eastAsiaTheme="minorHAnsi" w:hAnsi="Cambria" w:cstheme="minorBidi"/>
          <w:sz w:val="20"/>
          <w:szCs w:val="20"/>
          <w:bdr w:val="none" w:sz="0" w:space="0" w:color="auto"/>
          <w:lang w:val="es-CL"/>
        </w:rPr>
        <w:t xml:space="preserve">precedentes establecidos por la Comisión señalan que </w:t>
      </w:r>
      <w:r w:rsidRPr="00CF2395">
        <w:rPr>
          <w:rFonts w:ascii="Cambria" w:eastAsia="Calibri" w:hAnsi="Cambria"/>
          <w:sz w:val="20"/>
          <w:szCs w:val="20"/>
          <w:bdr w:val="none" w:sz="0" w:space="0" w:color="auto"/>
          <w:lang w:val="es-CL"/>
        </w:rPr>
        <w:t>toda vez que se cometa un delito perseguible de oficio, el Estado tiene la obligación de promover e impulsar el proceso penal y que, en esos casos, éste constituye la vía idónea para esclarecer los hechos, juzgar a los responsables y establecer las sanciones penales correspondientes, además de posibilitar otros modos de reparación de tipo pecuniario</w:t>
      </w:r>
      <w:r w:rsidRPr="00CF2395">
        <w:rPr>
          <w:rFonts w:ascii="Cambria" w:eastAsia="Calibri" w:hAnsi="Cambria"/>
          <w:sz w:val="20"/>
          <w:szCs w:val="20"/>
          <w:bdr w:val="none" w:sz="0" w:space="0" w:color="auto"/>
          <w:vertAlign w:val="superscript"/>
          <w:lang w:val="es-CL"/>
        </w:rPr>
        <w:footnoteReference w:id="5"/>
      </w:r>
      <w:r w:rsidRPr="00CF2395">
        <w:rPr>
          <w:rFonts w:ascii="Cambria" w:eastAsia="Calibri" w:hAnsi="Cambria"/>
          <w:sz w:val="20"/>
          <w:szCs w:val="20"/>
          <w:bdr w:val="none" w:sz="0" w:space="0" w:color="auto"/>
          <w:lang w:val="es-CL"/>
        </w:rPr>
        <w:t xml:space="preserve">. Adicionalmente, esta Comisión ha enfatizado respecto de esta obligación, al señalar que </w:t>
      </w:r>
      <w:r w:rsidRPr="00CF2395">
        <w:rPr>
          <w:rFonts w:ascii="Cambria" w:eastAsiaTheme="minorHAnsi" w:hAnsi="Cambria" w:cstheme="minorBidi"/>
          <w:sz w:val="20"/>
          <w:szCs w:val="20"/>
          <w:bdr w:val="none" w:sz="0" w:space="0" w:color="auto"/>
          <w:lang w:val="es-ES"/>
        </w:rPr>
        <w:t>“</w:t>
      </w:r>
      <w:r w:rsidRPr="00CF2395">
        <w:rPr>
          <w:rFonts w:ascii="Cambria" w:eastAsiaTheme="minorHAnsi" w:hAnsi="Cambria" w:cstheme="minorBidi"/>
          <w:sz w:val="20"/>
          <w:szCs w:val="20"/>
          <w:bdr w:val="none" w:sz="0" w:space="0" w:color="auto"/>
          <w:lang w:val="es-MX"/>
        </w:rPr>
        <w:t>tratándose [...] de delitos de acción pública, perseguibles de oficio, el Estado tiene la obligación legal, indelegable e irrenunciable, de investigarlos”</w:t>
      </w:r>
      <w:r w:rsidRPr="005A596C">
        <w:rPr>
          <w:rFonts w:ascii="Cambria" w:eastAsiaTheme="minorHAnsi" w:hAnsi="Cambria" w:cstheme="minorBidi"/>
          <w:sz w:val="20"/>
          <w:szCs w:val="20"/>
          <w:bdr w:val="none" w:sz="0" w:space="0" w:color="auto"/>
          <w:vertAlign w:val="superscript"/>
          <w:lang w:val="es-MX"/>
        </w:rPr>
        <w:footnoteReference w:id="6"/>
      </w:r>
      <w:r w:rsidRPr="00CF2395">
        <w:rPr>
          <w:rFonts w:ascii="Cambria" w:eastAsiaTheme="minorHAnsi" w:hAnsi="Cambria" w:cstheme="minorBidi"/>
          <w:sz w:val="20"/>
          <w:szCs w:val="20"/>
          <w:bdr w:val="none" w:sz="0" w:space="0" w:color="auto"/>
          <w:lang w:val="es-MX"/>
        </w:rPr>
        <w:t xml:space="preserve">. Con base en lo anterior, la Comisión estima que </w:t>
      </w:r>
      <w:r w:rsidRPr="00CF2395">
        <w:rPr>
          <w:rFonts w:ascii="Cambria" w:eastAsia="Calibri" w:hAnsi="Cambria"/>
          <w:sz w:val="20"/>
          <w:szCs w:val="20"/>
          <w:bdr w:val="none" w:sz="0" w:space="0" w:color="auto"/>
          <w:lang w:val="es-CL"/>
        </w:rPr>
        <w:t>es este proceso penal, impulsado por el Estado mismo, el que debe ser considerado a los efectos de determinar la admisibilidad del reclamo.</w:t>
      </w:r>
      <w:r w:rsidRPr="00CF2395">
        <w:rPr>
          <w:rFonts w:ascii="Cambria" w:eastAsiaTheme="minorHAnsi" w:hAnsi="Cambria" w:cstheme="minorBidi"/>
          <w:sz w:val="20"/>
          <w:szCs w:val="20"/>
          <w:bdr w:val="none" w:sz="0" w:space="0" w:color="auto"/>
          <w:lang w:val="es-MX"/>
        </w:rPr>
        <w:t xml:space="preserve"> </w:t>
      </w:r>
    </w:p>
    <w:p w:rsidR="00CF2395" w:rsidRPr="00CF2395" w:rsidRDefault="00CF2395" w:rsidP="00C2149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heme="minorHAnsi" w:hAnsi="Cambria" w:cstheme="minorBidi"/>
          <w:sz w:val="20"/>
          <w:szCs w:val="20"/>
          <w:bdr w:val="none" w:sz="0" w:space="0" w:color="auto"/>
          <w:lang w:val="es-MX"/>
        </w:rPr>
      </w:pPr>
    </w:p>
    <w:p w:rsid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MX"/>
        </w:rPr>
      </w:pPr>
      <w:r w:rsidRPr="00CF2395">
        <w:rPr>
          <w:rFonts w:ascii="Cambria" w:eastAsiaTheme="minorHAnsi" w:hAnsi="Cambria" w:cstheme="minorBidi"/>
          <w:sz w:val="20"/>
          <w:szCs w:val="20"/>
          <w:bdr w:val="none" w:sz="0" w:space="0" w:color="auto"/>
          <w:lang w:val="es-MX"/>
        </w:rPr>
        <w:t>Por otra parte, la CIDH advierte que consta en la evidencia judicial que el Tribunal de Sentencia de la Ceiba únicamente se pronunció sobre uno de los cinco agentes estatales que habrían disparado contra el vehículo del peticionario. De hecho, obra en el expediente judicial que a pesar de que mediante auto de 14 de octubre de 2004 de la Corte Suprema de Justicia se le requirió a la Dirección General de Investigación Criminal (DGIC) “ordenar [...] la inmediata captura de los cinco presuntos autores materiales”</w:t>
      </w:r>
      <w:r w:rsidRPr="005A596C">
        <w:rPr>
          <w:rFonts w:ascii="Cambria" w:eastAsiaTheme="minorHAnsi" w:hAnsi="Cambria" w:cstheme="minorBidi"/>
          <w:sz w:val="20"/>
          <w:szCs w:val="20"/>
          <w:bdr w:val="none" w:sz="0" w:space="0" w:color="auto"/>
          <w:vertAlign w:val="superscript"/>
          <w:lang w:val="es-MX"/>
        </w:rPr>
        <w:footnoteReference w:id="7"/>
      </w:r>
      <w:r w:rsidRPr="00CF2395">
        <w:rPr>
          <w:rFonts w:ascii="Cambria" w:eastAsiaTheme="minorHAnsi" w:hAnsi="Cambria" w:cstheme="minorBidi"/>
          <w:sz w:val="20"/>
          <w:szCs w:val="20"/>
          <w:bdr w:val="none" w:sz="0" w:space="0" w:color="auto"/>
          <w:lang w:val="es-MX"/>
        </w:rPr>
        <w:t xml:space="preserve">, únicamente se detuvo al señor Jorge Joel </w:t>
      </w:r>
      <w:proofErr w:type="spellStart"/>
      <w:r w:rsidRPr="00CF2395">
        <w:rPr>
          <w:rFonts w:ascii="Cambria" w:eastAsiaTheme="minorHAnsi" w:hAnsi="Cambria" w:cstheme="minorBidi"/>
          <w:sz w:val="20"/>
          <w:szCs w:val="20"/>
          <w:bdr w:val="none" w:sz="0" w:space="0" w:color="auto"/>
          <w:lang w:val="es-MX"/>
        </w:rPr>
        <w:t>Cubías</w:t>
      </w:r>
      <w:proofErr w:type="spellEnd"/>
      <w:r w:rsidRPr="00CF2395">
        <w:rPr>
          <w:rFonts w:ascii="Cambria" w:eastAsiaTheme="minorHAnsi" w:hAnsi="Cambria" w:cstheme="minorBidi"/>
          <w:sz w:val="20"/>
          <w:szCs w:val="20"/>
          <w:bdr w:val="none" w:sz="0" w:space="0" w:color="auto"/>
          <w:lang w:val="es-MX"/>
        </w:rPr>
        <w:t xml:space="preserve"> el 22 de noviembre de 2004. Con lo cual, sólo se habría seguido proceso contra uno de los presuntos responsables, mismo que habría quedado en libertad. Por ello, considerando que a más de doce años desde que ocurrieron los hechos, no se han podido establecer las circunstancias que dieron origen a los hechos ni se han procesado a todos los presuntos responsables, además de que el Estado no ha aportado información sobre </w:t>
      </w:r>
      <w:r w:rsidRPr="00CF2395">
        <w:rPr>
          <w:rFonts w:ascii="Cambria" w:eastAsiaTheme="minorHAnsi" w:hAnsi="Cambria" w:cstheme="minorBidi"/>
          <w:sz w:val="20"/>
          <w:szCs w:val="20"/>
          <w:bdr w:val="none" w:sz="0" w:space="0" w:color="auto"/>
          <w:lang w:val="es-ES_tradnl"/>
        </w:rPr>
        <w:t xml:space="preserve">los recursos disponibles en relación con los hechos del presente caso, </w:t>
      </w:r>
      <w:r w:rsidRPr="00CF2395">
        <w:rPr>
          <w:rFonts w:ascii="Cambria" w:eastAsiaTheme="minorHAnsi" w:hAnsi="Cambria" w:cstheme="minorBidi"/>
          <w:sz w:val="20"/>
          <w:szCs w:val="20"/>
          <w:bdr w:val="none" w:sz="0" w:space="0" w:color="auto"/>
          <w:lang w:val="es-MX"/>
        </w:rPr>
        <w:t xml:space="preserve">la CIDH concluye que existe </w:t>
      </w:r>
      <w:r w:rsidRPr="00CF2395">
        <w:rPr>
          <w:rFonts w:ascii="Cambria" w:eastAsiaTheme="minorHAnsi" w:hAnsi="Cambria" w:cstheme="minorBidi"/>
          <w:spacing w:val="-2"/>
          <w:sz w:val="20"/>
          <w:szCs w:val="20"/>
          <w:bdr w:val="none" w:sz="0" w:space="0" w:color="auto"/>
          <w:lang w:val="es-ES_tradnl"/>
        </w:rPr>
        <w:t xml:space="preserve">un retardo injustificado en la ejecución de las investigaciones, y por lo tanto es aplicable la excepción consagrada en el artículo 46.2.c de la Convención Americana. </w:t>
      </w:r>
    </w:p>
    <w:p w:rsidR="00C21492" w:rsidRPr="00C21492"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MX"/>
        </w:rPr>
      </w:pPr>
    </w:p>
    <w:p w:rsid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bookmarkStart w:id="2" w:name="_ftnref11"/>
      <w:bookmarkEnd w:id="2"/>
      <w:r w:rsidRPr="00CF2395">
        <w:rPr>
          <w:rFonts w:ascii="Cambria" w:eastAsiaTheme="minorHAnsi" w:hAnsi="Cambria" w:cstheme="minorBidi"/>
          <w:sz w:val="20"/>
          <w:szCs w:val="20"/>
          <w:bdr w:val="none" w:sz="0" w:space="0" w:color="auto"/>
          <w:lang w:val="es-ES"/>
        </w:rPr>
        <w:t xml:space="preserve">Sólo resta señalar que la invocación de las excepciones a la regla del agotamiento de los recursos internos previstas en el artículo 46.2 de la Convención se encuentra estrechamente ligada a la </w:t>
      </w:r>
      <w:r w:rsidRPr="00CF2395">
        <w:rPr>
          <w:rFonts w:ascii="Cambria" w:eastAsiaTheme="minorHAnsi" w:hAnsi="Cambria" w:cstheme="minorBidi"/>
          <w:sz w:val="20"/>
          <w:szCs w:val="20"/>
          <w:bdr w:val="none" w:sz="0" w:space="0" w:color="auto"/>
          <w:lang w:val="es-ES"/>
        </w:rPr>
        <w:lastRenderedPageBreak/>
        <w:t xml:space="preserve">determinación de posibles violaciones a ciertos derechos allí consagrados, tales como las garantías de acceso a la justicia.  Sin embargo, el artículo 46.2, por su naturaleza y objeto, es una norma con contenido autónomo, </w:t>
      </w:r>
      <w:r w:rsidRPr="00CF2395">
        <w:rPr>
          <w:rFonts w:ascii="Cambria" w:eastAsiaTheme="minorHAnsi" w:hAnsi="Cambria" w:cstheme="minorBidi"/>
          <w:i/>
          <w:iCs/>
          <w:sz w:val="20"/>
          <w:szCs w:val="20"/>
          <w:bdr w:val="none" w:sz="0" w:space="0" w:color="auto"/>
          <w:lang w:val="es-ES"/>
        </w:rPr>
        <w:t xml:space="preserve">vis </w:t>
      </w:r>
      <w:proofErr w:type="spellStart"/>
      <w:r w:rsidRPr="00CF2395">
        <w:rPr>
          <w:rFonts w:ascii="Cambria" w:eastAsiaTheme="minorHAnsi" w:hAnsi="Cambria" w:cstheme="minorBidi"/>
          <w:i/>
          <w:iCs/>
          <w:sz w:val="20"/>
          <w:szCs w:val="20"/>
          <w:bdr w:val="none" w:sz="0" w:space="0" w:color="auto"/>
          <w:lang w:val="es-ES"/>
        </w:rPr>
        <w:t>á</w:t>
      </w:r>
      <w:proofErr w:type="spellEnd"/>
      <w:r w:rsidRPr="00CF2395">
        <w:rPr>
          <w:rFonts w:ascii="Cambria" w:eastAsiaTheme="minorHAnsi" w:hAnsi="Cambria" w:cstheme="minorBidi"/>
          <w:i/>
          <w:iCs/>
          <w:sz w:val="20"/>
          <w:szCs w:val="20"/>
          <w:bdr w:val="none" w:sz="0" w:space="0" w:color="auto"/>
          <w:lang w:val="es-ES"/>
        </w:rPr>
        <w:t xml:space="preserve"> vis</w:t>
      </w:r>
      <w:r w:rsidRPr="00CF2395">
        <w:rPr>
          <w:rFonts w:ascii="Cambria" w:eastAsiaTheme="minorHAnsi" w:hAnsi="Cambria" w:cstheme="minorBidi"/>
          <w:sz w:val="20"/>
          <w:szCs w:val="20"/>
          <w:bdr w:val="none" w:sz="0" w:space="0" w:color="auto"/>
          <w:lang w:val="es-ES"/>
        </w:rPr>
        <w:t xml:space="preserve"> las normas sustantivas de la Convención. Por lo tanto, la determinación de que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Default="00CF2395" w:rsidP="00C21492">
      <w:pPr>
        <w:numPr>
          <w:ilvl w:val="2"/>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rPr>
          <w:rFonts w:ascii="Cambria" w:eastAsia="Times New Roman" w:hAnsi="Cambria" w:cs="Arial"/>
          <w:b/>
          <w:bCs/>
          <w:kern w:val="32"/>
          <w:sz w:val="20"/>
          <w:szCs w:val="20"/>
          <w:bdr w:val="none" w:sz="0" w:space="0" w:color="auto"/>
          <w:lang w:val="es-MX"/>
        </w:rPr>
      </w:pPr>
      <w:r w:rsidRPr="00CF2395">
        <w:rPr>
          <w:rFonts w:ascii="Cambria" w:eastAsia="Times New Roman" w:hAnsi="Cambria" w:cs="Arial"/>
          <w:b/>
          <w:bCs/>
          <w:kern w:val="32"/>
          <w:sz w:val="20"/>
          <w:szCs w:val="20"/>
          <w:bdr w:val="none" w:sz="0" w:space="0" w:color="auto"/>
          <w:lang w:val="es-MX"/>
        </w:rPr>
        <w:t>Plazo de presentación de la petición</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tabs>
          <w:tab w:val="num" w:pos="2985"/>
        </w:tabs>
        <w:rPr>
          <w:rFonts w:ascii="Cambria" w:eastAsia="Times New Roman" w:hAnsi="Cambria" w:cs="Arial"/>
          <w:b/>
          <w:bCs/>
          <w:kern w:val="32"/>
          <w:sz w:val="20"/>
          <w:szCs w:val="20"/>
          <w:bdr w:val="none" w:sz="0" w:space="0" w:color="auto"/>
          <w:lang w:val="es-MX"/>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MX"/>
        </w:rPr>
      </w:pPr>
      <w:r w:rsidRPr="00CF2395">
        <w:rPr>
          <w:rFonts w:ascii="Cambria" w:eastAsiaTheme="minorHAnsi" w:hAnsi="Cambria" w:cstheme="minorBidi"/>
          <w:sz w:val="20"/>
          <w:szCs w:val="20"/>
          <w:bdr w:val="none" w:sz="0" w:space="0" w:color="auto"/>
          <w:lang w:val="es-ES"/>
        </w:rPr>
        <w:t xml:space="preserve">Conforme a lo dispuesto en el artículo 46.1.b de la Convención para que una petición pueda ser admitida, debe presentarse dentro del plazo de seis meses contados a partir de la fecha en que la parte denunciante fue notificada de la decisión definitiva dictada a nivel nacional.  En el reclamo bajo análisis, la CIDH ha establecido la aplicación de la excepción al agotamiento de los recursos internos conforme al artículo 46.2.c de la Convención.  Al respecto, el artículo 32 del Reglamento de la CIDH establece que en los casos en los cuales resulten aplicables las excepciones al previo </w:t>
      </w:r>
      <w:r w:rsidRPr="00CF2395">
        <w:rPr>
          <w:rFonts w:ascii="Cambria" w:eastAsiaTheme="minorHAnsi" w:hAnsi="Cambria" w:cstheme="minorBidi"/>
          <w:sz w:val="20"/>
          <w:szCs w:val="20"/>
          <w:bdr w:val="none" w:sz="0" w:space="0" w:color="auto"/>
          <w:lang w:val="es-ES_tradnl"/>
        </w:rPr>
        <w:t>agotamiento</w:t>
      </w:r>
      <w:r w:rsidRPr="00CF2395">
        <w:rPr>
          <w:rFonts w:ascii="Cambria" w:eastAsiaTheme="minorHAnsi" w:hAnsi="Cambria" w:cstheme="minorBidi"/>
          <w:sz w:val="20"/>
          <w:szCs w:val="20"/>
          <w:bdr w:val="none" w:sz="0" w:space="0" w:color="auto"/>
          <w:lang w:val="es-ES"/>
        </w:rPr>
        <w:t xml:space="preserve"> de los recursos internos, la petición deberá presentarse dentro de un plazo razonable, a criterio de la Comisión. A tal efecto, la Comisión debe considerar la fecha en que haya ocurrido la presunta violación de los derechos y las circunstancias de cada caso.</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MX"/>
        </w:rPr>
      </w:pPr>
    </w:p>
    <w:p w:rsidR="00CF2395" w:rsidRP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MX"/>
        </w:rPr>
      </w:pPr>
      <w:r w:rsidRPr="00CF2395">
        <w:rPr>
          <w:rFonts w:ascii="Cambria" w:eastAsiaTheme="minorHAnsi" w:hAnsi="Cambria" w:cstheme="minorBidi"/>
          <w:sz w:val="20"/>
          <w:szCs w:val="20"/>
          <w:bdr w:val="none" w:sz="0" w:space="0" w:color="auto"/>
          <w:lang w:val="es-ES"/>
        </w:rPr>
        <w:t xml:space="preserve">Por lo tanto, en vista del contexto y las características del presente caso, para la consideración si la </w:t>
      </w:r>
      <w:r w:rsidRPr="00CF2395">
        <w:rPr>
          <w:rFonts w:ascii="Cambria" w:eastAsiaTheme="minorHAnsi" w:hAnsi="Cambria" w:cstheme="minorBidi"/>
          <w:sz w:val="20"/>
          <w:szCs w:val="20"/>
          <w:bdr w:val="none" w:sz="0" w:space="0" w:color="auto"/>
          <w:lang w:val="es-MX"/>
        </w:rPr>
        <w:t xml:space="preserve">petición fue presentada en un tiempo razonable según las circunstancias, la CIDH toma en cuenta que la petición fue presentada el 15 de septiembre de 2004, que los hechos del reclamo que iniciaron con el incidente en que se habrían lesionado a los niños Jared Martínez Velásquez y </w:t>
      </w:r>
      <w:proofErr w:type="spellStart"/>
      <w:r w:rsidRPr="00CF2395">
        <w:rPr>
          <w:rFonts w:ascii="Cambria" w:eastAsiaTheme="minorHAnsi" w:hAnsi="Cambria" w:cstheme="minorBidi"/>
          <w:sz w:val="20"/>
          <w:szCs w:val="20"/>
          <w:bdr w:val="none" w:sz="0" w:space="0" w:color="auto"/>
          <w:lang w:val="es-MX"/>
        </w:rPr>
        <w:t>Marlón</w:t>
      </w:r>
      <w:proofErr w:type="spellEnd"/>
      <w:r w:rsidRPr="00CF2395">
        <w:rPr>
          <w:rFonts w:ascii="Cambria" w:eastAsiaTheme="minorHAnsi" w:hAnsi="Cambria" w:cstheme="minorBidi"/>
          <w:sz w:val="20"/>
          <w:szCs w:val="20"/>
          <w:bdr w:val="none" w:sz="0" w:space="0" w:color="auto"/>
          <w:lang w:val="es-MX"/>
        </w:rPr>
        <w:t xml:space="preserve"> Fabricio Hernández Fúnez ocurrieron el 20 de julio de 2002, y que sus </w:t>
      </w:r>
      <w:proofErr w:type="spellStart"/>
      <w:r w:rsidRPr="00CF2395">
        <w:rPr>
          <w:rFonts w:ascii="Cambria" w:eastAsiaTheme="minorHAnsi" w:hAnsi="Cambria" w:cstheme="minorBidi"/>
          <w:sz w:val="20"/>
          <w:szCs w:val="20"/>
          <w:bdr w:val="none" w:sz="0" w:space="0" w:color="auto"/>
          <w:lang w:val="es-MX"/>
        </w:rPr>
        <w:t>alegados</w:t>
      </w:r>
      <w:proofErr w:type="spellEnd"/>
      <w:r w:rsidRPr="00CF2395">
        <w:rPr>
          <w:rFonts w:ascii="Cambria" w:eastAsiaTheme="minorHAnsi" w:hAnsi="Cambria" w:cstheme="minorBidi"/>
          <w:sz w:val="20"/>
          <w:szCs w:val="20"/>
          <w:bdr w:val="none" w:sz="0" w:space="0" w:color="auto"/>
          <w:lang w:val="es-MX"/>
        </w:rPr>
        <w:t xml:space="preserve"> efectos en términos de la alegada administración de justicia se extienden hasta el presente. </w:t>
      </w:r>
      <w:r w:rsidRPr="00CF2395">
        <w:rPr>
          <w:rFonts w:ascii="Cambria" w:eastAsiaTheme="minorHAnsi" w:hAnsi="Cambria" w:cstheme="minorBidi"/>
          <w:sz w:val="20"/>
          <w:szCs w:val="20"/>
          <w:bdr w:val="none" w:sz="0" w:space="0" w:color="auto"/>
          <w:lang w:val="es-ES"/>
        </w:rPr>
        <w:t>Con base en lo anterior, la CIDH concluye que la petición fue presentada dentro de un plazo razonable, en los términos del artículo 32 de su Reglamento, y que debe darse por satisfecho el requisito de admisibilidad referente al plazo de presentación.</w:t>
      </w:r>
    </w:p>
    <w:p w:rsidR="00CF2395" w:rsidRPr="00CF2395" w:rsidRDefault="00CF2395" w:rsidP="00C21492">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ES"/>
        </w:rPr>
      </w:pPr>
    </w:p>
    <w:p w:rsidR="00CF2395" w:rsidRDefault="00CF2395" w:rsidP="00C21492">
      <w:pPr>
        <w:keepNext/>
        <w:numPr>
          <w:ilvl w:val="2"/>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outlineLvl w:val="0"/>
        <w:rPr>
          <w:rFonts w:ascii="Cambria" w:eastAsia="Times New Roman" w:hAnsi="Cambria" w:cs="Arial"/>
          <w:b/>
          <w:bCs/>
          <w:kern w:val="32"/>
          <w:sz w:val="20"/>
          <w:szCs w:val="20"/>
          <w:bdr w:val="none" w:sz="0" w:space="0" w:color="auto"/>
          <w:lang w:val="es-MX"/>
        </w:rPr>
      </w:pPr>
      <w:r w:rsidRPr="00CF2395">
        <w:rPr>
          <w:rFonts w:ascii="Cambria" w:eastAsia="Times New Roman" w:hAnsi="Cambria" w:cs="Arial"/>
          <w:b/>
          <w:bCs/>
          <w:kern w:val="32"/>
          <w:sz w:val="20"/>
          <w:szCs w:val="20"/>
          <w:bdr w:val="none" w:sz="0" w:space="0" w:color="auto"/>
          <w:lang w:val="es-MX"/>
        </w:rPr>
        <w:t>Duplicación de procedimientos y cosa juzgada internacional</w:t>
      </w:r>
    </w:p>
    <w:p w:rsidR="00C21492" w:rsidRPr="00CF2395" w:rsidRDefault="00C21492" w:rsidP="00C21492">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985"/>
        </w:tabs>
        <w:outlineLvl w:val="0"/>
        <w:rPr>
          <w:rFonts w:ascii="Cambria" w:eastAsia="Times New Roman" w:hAnsi="Cambria" w:cs="Arial"/>
          <w:b/>
          <w:bCs/>
          <w:kern w:val="32"/>
          <w:sz w:val="20"/>
          <w:szCs w:val="20"/>
          <w:bdr w:val="none" w:sz="0" w:space="0" w:color="auto"/>
          <w:lang w:val="es-MX"/>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bCs/>
          <w:sz w:val="20"/>
          <w:szCs w:val="20"/>
          <w:bdr w:val="none" w:sz="0" w:space="0" w:color="auto"/>
          <w:lang w:val="es-MX"/>
        </w:rPr>
        <w:t xml:space="preserve">El artículo 46.1.c de la Convención dispone que la admisión de las peticiones está sujeta al requisito respecto a que la materia </w:t>
      </w:r>
      <w:r w:rsidRPr="00CF2395">
        <w:rPr>
          <w:rFonts w:ascii="Cambria" w:eastAsiaTheme="minorHAnsi" w:hAnsi="Cambria" w:cs="Arial"/>
          <w:sz w:val="20"/>
          <w:szCs w:val="20"/>
          <w:bdr w:val="none" w:sz="0" w:space="0" w:color="auto"/>
          <w:lang w:val="es-MX"/>
        </w:rPr>
        <w:t>"</w:t>
      </w:r>
      <w:r w:rsidRPr="00CF2395">
        <w:rPr>
          <w:rFonts w:ascii="Cambria" w:eastAsiaTheme="minorHAnsi" w:hAnsi="Cambria" w:cstheme="minorBidi"/>
          <w:bCs/>
          <w:sz w:val="20"/>
          <w:szCs w:val="20"/>
          <w:bdr w:val="none" w:sz="0" w:space="0" w:color="auto"/>
          <w:lang w:val="es-MX"/>
        </w:rPr>
        <w:t>no esté pendiente de otro procedimiento de arreglo internacional</w:t>
      </w:r>
      <w:r w:rsidRPr="00CF2395">
        <w:rPr>
          <w:rFonts w:ascii="Cambria" w:eastAsiaTheme="minorHAnsi" w:hAnsi="Cambria" w:cs="Arial"/>
          <w:sz w:val="20"/>
          <w:szCs w:val="20"/>
          <w:bdr w:val="none" w:sz="0" w:space="0" w:color="auto"/>
          <w:lang w:val="es-MX"/>
        </w:rPr>
        <w:t>"</w:t>
      </w:r>
      <w:r w:rsidRPr="00CF2395">
        <w:rPr>
          <w:rFonts w:ascii="Cambria" w:eastAsiaTheme="minorHAnsi" w:hAnsi="Cambria" w:cstheme="minorBidi"/>
          <w:bCs/>
          <w:sz w:val="20"/>
          <w:szCs w:val="20"/>
          <w:bdr w:val="none" w:sz="0" w:space="0" w:color="auto"/>
          <w:lang w:val="es-MX"/>
        </w:rPr>
        <w:t xml:space="preserve"> y en el artículo 47.d de la Convención se estipula que la Comisión no admitirá la petición que sea sustancialmente la reproducción de petición o comunicación anterior ya examinada por la Comisión o por otro organismo internacional. En el presente caso, las partes no han esgrimido la existencia de ninguna de esas dos circunstancias, ni ellas se deducen del expediente.</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Default="00CF2395" w:rsidP="00C21492">
      <w:pPr>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350"/>
        <w:rPr>
          <w:rFonts w:ascii="Cambria" w:eastAsia="Times New Roman" w:hAnsi="Cambria"/>
          <w:b/>
          <w:bCs/>
          <w:sz w:val="20"/>
          <w:szCs w:val="20"/>
          <w:bdr w:val="none" w:sz="0" w:space="0" w:color="auto"/>
          <w:lang w:val="es-CL"/>
        </w:rPr>
      </w:pPr>
      <w:r w:rsidRPr="00CF2395">
        <w:rPr>
          <w:rFonts w:ascii="Cambria" w:eastAsia="Times New Roman" w:hAnsi="Cambria"/>
          <w:b/>
          <w:bCs/>
          <w:sz w:val="20"/>
          <w:szCs w:val="20"/>
          <w:bdr w:val="none" w:sz="0" w:space="0" w:color="auto"/>
          <w:lang w:val="es-CL"/>
        </w:rPr>
        <w:t>Caracterización de los hechos alegados</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tabs>
          <w:tab w:val="num" w:pos="2070"/>
        </w:tabs>
        <w:rPr>
          <w:rFonts w:ascii="Cambria" w:eastAsia="Times New Roman" w:hAnsi="Cambria"/>
          <w:b/>
          <w:bCs/>
          <w:sz w:val="20"/>
          <w:szCs w:val="20"/>
          <w:bdr w:val="none" w:sz="0" w:space="0" w:color="auto"/>
          <w:lang w:val="es-CL"/>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CL"/>
        </w:rPr>
        <w:t>A los fines de la admisibilidad, la CIDH debe decidir si los alegatos exponen hechos que podrían caracterizar una violación a la Convención Americana, según estipula su artículo 47.b, y si la petición es “manifiestamente infundada” o sea “evidente su total improcedencia”, según el inciso (c) del mismo artículo.</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MX"/>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EC"/>
        </w:rPr>
        <w:t xml:space="preserve">El peticionario señala que </w:t>
      </w:r>
      <w:r w:rsidRPr="00CF2395">
        <w:rPr>
          <w:rFonts w:ascii="Cambria" w:eastAsia="Times New Roman" w:hAnsi="Cambria"/>
          <w:sz w:val="20"/>
          <w:szCs w:val="20"/>
          <w:bdr w:val="none" w:sz="0" w:space="0" w:color="auto"/>
          <w:lang w:val="es-EC"/>
        </w:rPr>
        <w:t>debido al supuesto “abuso de poder” ejercido por policías y miembros del Ejército Nacional, su</w:t>
      </w:r>
      <w:r w:rsidRPr="00CF2395">
        <w:rPr>
          <w:rFonts w:ascii="Cambria" w:eastAsiaTheme="minorHAnsi" w:hAnsi="Cambria" w:cstheme="minorBidi"/>
          <w:sz w:val="20"/>
          <w:szCs w:val="20"/>
          <w:bdr w:val="none" w:sz="0" w:space="0" w:color="auto"/>
          <w:lang w:val="es-MX"/>
        </w:rPr>
        <w:t xml:space="preserve"> hijo menor Ronald Jared Martínez Velásquez habría quedado parapléjico de por vida. Además, señala que a pesar de que el Estado de Honduras sería directamente responsable de lo </w:t>
      </w:r>
      <w:r w:rsidRPr="00CF2395">
        <w:rPr>
          <w:rFonts w:ascii="Cambria" w:eastAsiaTheme="minorHAnsi" w:hAnsi="Cambria" w:cstheme="minorBidi"/>
          <w:sz w:val="20"/>
          <w:szCs w:val="20"/>
          <w:bdr w:val="none" w:sz="0" w:space="0" w:color="auto"/>
          <w:lang w:val="es-MX"/>
        </w:rPr>
        <w:lastRenderedPageBreak/>
        <w:t xml:space="preserve">sucedido a su hijo –debido a que habrían sido sus agentes quienes ocasionaron la discapacidad permanente de su hijo– los tribunales hondureños habrían absuelto a uno de los presuntos responsables. </w:t>
      </w:r>
      <w:r w:rsidRPr="00CF2395">
        <w:rPr>
          <w:rFonts w:ascii="Cambria" w:eastAsiaTheme="minorHAnsi" w:hAnsi="Cambria" w:cstheme="minorBidi"/>
          <w:sz w:val="20"/>
          <w:szCs w:val="20"/>
          <w:bdr w:val="none" w:sz="0" w:space="0" w:color="auto"/>
          <w:lang w:val="es-EC"/>
        </w:rPr>
        <w:t>Por su parte, el Estado no presentó observaciones ni información sobre las violaciones alegadas por el peticionario.</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ES"/>
        </w:rPr>
        <w:t xml:space="preserve">Habiendo revisado la información presentada por el peticionario, la Comisión encuentra que el peticionario ha formulado alegaciones que no son "manifiestamente infundadas" o "evidentemente improcedentes" y que, de comprobarse como ciertas, podrían configurar violaciones de los artículos 5, 8, 19 y 25 de la Convención Americana, respectivamente, en relación con los artículos 1.1 del mismo instrumento internacional.  Asimismo, </w:t>
      </w:r>
      <w:r w:rsidRPr="00CF2395">
        <w:rPr>
          <w:rFonts w:ascii="Cambria" w:eastAsiaTheme="minorHAnsi" w:hAnsi="Cambria" w:cstheme="minorBidi"/>
          <w:sz w:val="20"/>
          <w:szCs w:val="20"/>
          <w:bdr w:val="none" w:sz="0" w:space="0" w:color="auto"/>
          <w:lang w:val="es-CO"/>
        </w:rPr>
        <w:t xml:space="preserve">la Comisión examinará los hechos alegados a la luz del artículo 19 de la Convención Americana, específicamente en cuanto al deber especial de protección que tienen los Estados, conforme al principio de interés superior del niño y el </w:t>
      </w:r>
      <w:r w:rsidRPr="00CF2395">
        <w:rPr>
          <w:rFonts w:ascii="Cambria" w:eastAsiaTheme="minorHAnsi" w:hAnsi="Cambria" w:cstheme="minorBidi"/>
          <w:i/>
          <w:sz w:val="20"/>
          <w:szCs w:val="20"/>
          <w:bdr w:val="none" w:sz="0" w:space="0" w:color="auto"/>
          <w:lang w:val="es-CO"/>
        </w:rPr>
        <w:t xml:space="preserve">corpus </w:t>
      </w:r>
      <w:proofErr w:type="spellStart"/>
      <w:r w:rsidRPr="00CF2395">
        <w:rPr>
          <w:rFonts w:ascii="Cambria" w:eastAsiaTheme="minorHAnsi" w:hAnsi="Cambria" w:cstheme="minorBidi"/>
          <w:i/>
          <w:sz w:val="20"/>
          <w:szCs w:val="20"/>
          <w:bdr w:val="none" w:sz="0" w:space="0" w:color="auto"/>
          <w:lang w:val="es-CO"/>
        </w:rPr>
        <w:t>juris</w:t>
      </w:r>
      <w:proofErr w:type="spellEnd"/>
      <w:r w:rsidRPr="00CF2395">
        <w:rPr>
          <w:rFonts w:ascii="Cambria" w:eastAsiaTheme="minorHAnsi" w:hAnsi="Cambria" w:cstheme="minorBidi"/>
          <w:sz w:val="20"/>
          <w:szCs w:val="20"/>
          <w:bdr w:val="none" w:sz="0" w:space="0" w:color="auto"/>
          <w:lang w:val="es-CO"/>
        </w:rPr>
        <w:t xml:space="preserve"> en materia de derechos de los niños, niñas y adolescentes.</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ES"/>
        </w:rPr>
        <w:t xml:space="preserve">En particular, la Comisión observa que las alegaciones en la presente petición se relacionan fundamentalmente con la supuesta responsabilidad internacional de Honduras derivada del actuar de agentes del Estado hondureño que habría resultado en un supuesto uso excesivo de la fuerza en contra de </w:t>
      </w:r>
      <w:proofErr w:type="spellStart"/>
      <w:r w:rsidRPr="00CF2395">
        <w:rPr>
          <w:rFonts w:ascii="Cambria" w:eastAsiaTheme="minorHAnsi" w:hAnsi="Cambria" w:cstheme="minorBidi"/>
          <w:sz w:val="20"/>
          <w:szCs w:val="20"/>
          <w:bdr w:val="none" w:sz="0" w:space="0" w:color="auto"/>
          <w:lang w:val="es-ES"/>
        </w:rPr>
        <w:t>Ronal</w:t>
      </w:r>
      <w:proofErr w:type="spellEnd"/>
      <w:r w:rsidRPr="00CF2395">
        <w:rPr>
          <w:rFonts w:ascii="Cambria" w:eastAsiaTheme="minorHAnsi" w:hAnsi="Cambria" w:cstheme="minorBidi"/>
          <w:sz w:val="20"/>
          <w:szCs w:val="20"/>
          <w:bdr w:val="none" w:sz="0" w:space="0" w:color="auto"/>
          <w:lang w:val="es-ES"/>
        </w:rPr>
        <w:t xml:space="preserve"> Jared Martínez Velásquez, Jorge Roberto Martínez y Marlon Fabricio Hernández, hechos que podrían resultar en etapa de fondo, en violaciones del artículo 5 en relación con el artículo 1.1 de la Convención Americana.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ES"/>
        </w:rPr>
        <w:t xml:space="preserve">Asimismo, de comprobarse los reclamos respecto a la falta de debida diligencia respecto a la investigación, sanción y juzgamiento de los presuntos responsables, podrían configurarse en violaciones a los artículos 8 y 25 de la Convención Americana en relación con su artículo 1.1, en perjuicio de </w:t>
      </w:r>
      <w:proofErr w:type="spellStart"/>
      <w:r w:rsidRPr="00CF2395">
        <w:rPr>
          <w:rFonts w:ascii="Cambria" w:eastAsiaTheme="minorHAnsi" w:hAnsi="Cambria" w:cstheme="minorBidi"/>
          <w:sz w:val="20"/>
          <w:szCs w:val="20"/>
          <w:bdr w:val="none" w:sz="0" w:space="0" w:color="auto"/>
          <w:lang w:val="es-ES"/>
        </w:rPr>
        <w:t>Ronal</w:t>
      </w:r>
      <w:proofErr w:type="spellEnd"/>
      <w:r w:rsidRPr="00CF2395">
        <w:rPr>
          <w:rFonts w:ascii="Cambria" w:eastAsiaTheme="minorHAnsi" w:hAnsi="Cambria" w:cstheme="minorBidi"/>
          <w:sz w:val="20"/>
          <w:szCs w:val="20"/>
          <w:bdr w:val="none" w:sz="0" w:space="0" w:color="auto"/>
          <w:lang w:val="es-ES"/>
        </w:rPr>
        <w:t xml:space="preserve"> Jared Martínez Velásquez y su familia y Marlon Fabricio Hernández.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ES"/>
        </w:rPr>
        <w:t xml:space="preserve">Adicionalmente, la CIDH considera que los efectos que habrían padecido los familiares del niño </w:t>
      </w:r>
      <w:proofErr w:type="spellStart"/>
      <w:r w:rsidRPr="00CF2395">
        <w:rPr>
          <w:rFonts w:ascii="Cambria" w:eastAsiaTheme="minorHAnsi" w:hAnsi="Cambria" w:cstheme="minorBidi"/>
          <w:sz w:val="20"/>
          <w:szCs w:val="20"/>
          <w:bdr w:val="none" w:sz="0" w:space="0" w:color="auto"/>
          <w:lang w:val="es-ES"/>
        </w:rPr>
        <w:t>Ronal</w:t>
      </w:r>
      <w:proofErr w:type="spellEnd"/>
      <w:r w:rsidRPr="00CF2395">
        <w:rPr>
          <w:rFonts w:ascii="Cambria" w:eastAsiaTheme="minorHAnsi" w:hAnsi="Cambria" w:cstheme="minorBidi"/>
          <w:sz w:val="20"/>
          <w:szCs w:val="20"/>
          <w:bdr w:val="none" w:sz="0" w:space="0" w:color="auto"/>
          <w:lang w:val="es-ES"/>
        </w:rPr>
        <w:t xml:space="preserve"> Jared Martínez a consecuencia de que éste habría adquirido una discapacidad física permanente, y de la alegada denegación de justicia, podrían caracterizar una posible violación del artículo 5 de la Convención Americana, en relación con su artículo 1.1.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z w:val="20"/>
          <w:szCs w:val="20"/>
          <w:bdr w:val="none" w:sz="0" w:space="0" w:color="auto"/>
          <w:lang w:val="es-ES"/>
        </w:rPr>
        <w:t>Por todo lo anterior, la Comisión considera satisfechos los requisitos establecidos en el artículo 47.b y c de la Convención.</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Default="00CF2395" w:rsidP="00C2149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lang w:val="es-ES"/>
        </w:rPr>
      </w:pPr>
      <w:r w:rsidRPr="00CF2395">
        <w:rPr>
          <w:rFonts w:ascii="Cambria" w:eastAsia="Times New Roman" w:hAnsi="Cambria"/>
          <w:b/>
          <w:sz w:val="20"/>
          <w:szCs w:val="20"/>
          <w:bdr w:val="none" w:sz="0" w:space="0" w:color="auto"/>
          <w:lang w:val="es-ES"/>
        </w:rPr>
        <w:t>CONCLUSIONES</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lang w:val="es-ES"/>
        </w:rPr>
      </w:pPr>
    </w:p>
    <w:p w:rsidR="00CF2395" w:rsidRPr="00C21492" w:rsidRDefault="00CF2395" w:rsidP="00C2149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pacing w:val="-3"/>
          <w:sz w:val="20"/>
          <w:szCs w:val="20"/>
          <w:bdr w:val="none" w:sz="0" w:space="0" w:color="auto"/>
          <w:lang w:val="es-ES"/>
        </w:rPr>
        <w:t>Dadas las consideraciones de hecho y de derecho que anteceden,</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cstheme="minorBidi"/>
          <w:sz w:val="20"/>
          <w:szCs w:val="20"/>
          <w:bdr w:val="none" w:sz="0" w:space="0" w:color="auto"/>
          <w:lang w:val="es-ES"/>
        </w:rPr>
      </w:pPr>
    </w:p>
    <w:p w:rsidR="00CF2395" w:rsidRPr="00CF2395" w:rsidRDefault="00CF2395" w:rsidP="00C2149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firstLine="720"/>
        <w:rPr>
          <w:rFonts w:ascii="Cambria" w:eastAsiaTheme="minorHAnsi" w:hAnsi="Cambria" w:cstheme="minorBidi"/>
          <w:b/>
          <w:spacing w:val="-3"/>
          <w:sz w:val="20"/>
          <w:szCs w:val="20"/>
          <w:bdr w:val="none" w:sz="0" w:space="0" w:color="auto"/>
          <w:lang w:val="es-ES"/>
        </w:rPr>
      </w:pPr>
      <w:r w:rsidRPr="00CF2395">
        <w:rPr>
          <w:rFonts w:ascii="Cambria" w:eastAsiaTheme="minorHAnsi" w:hAnsi="Cambria" w:cstheme="minorBidi"/>
          <w:b/>
          <w:spacing w:val="-3"/>
          <w:sz w:val="20"/>
          <w:szCs w:val="20"/>
          <w:bdr w:val="none" w:sz="0" w:space="0" w:color="auto"/>
          <w:lang w:val="es-ES"/>
        </w:rPr>
        <w:t>LA COMISIÓN INTERAMERICANA DE DERECHOS HUMANOS</w:t>
      </w:r>
    </w:p>
    <w:p w:rsidR="00CF2395" w:rsidRPr="00CF2395" w:rsidRDefault="00CF2395" w:rsidP="00C2149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heme="minorHAnsi" w:hAnsi="Cambria" w:cstheme="minorBidi"/>
          <w:b/>
          <w:spacing w:val="-3"/>
          <w:sz w:val="20"/>
          <w:szCs w:val="20"/>
          <w:bdr w:val="none" w:sz="0" w:space="0" w:color="auto"/>
          <w:lang w:val="es-ES"/>
        </w:rPr>
      </w:pPr>
      <w:r w:rsidRPr="00CF2395">
        <w:rPr>
          <w:rFonts w:ascii="Cambria" w:eastAsiaTheme="minorHAnsi" w:hAnsi="Cambria" w:cstheme="minorBidi"/>
          <w:b/>
          <w:spacing w:val="-3"/>
          <w:sz w:val="20"/>
          <w:szCs w:val="20"/>
          <w:bdr w:val="none" w:sz="0" w:space="0" w:color="auto"/>
          <w:lang w:val="es-ES"/>
        </w:rPr>
        <w:t>DECIDE:</w:t>
      </w:r>
    </w:p>
    <w:p w:rsidR="00CF2395" w:rsidRPr="00CF2395" w:rsidRDefault="00CF2395" w:rsidP="00C2149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heme="minorHAnsi" w:hAnsi="Cambria" w:cstheme="minorBidi"/>
          <w:b/>
          <w:spacing w:val="-3"/>
          <w:sz w:val="20"/>
          <w:szCs w:val="20"/>
          <w:bdr w:val="none" w:sz="0" w:space="0" w:color="auto"/>
          <w:lang w:val="es-ES"/>
        </w:rPr>
      </w:pPr>
    </w:p>
    <w:p w:rsidR="00CF2395" w:rsidRDefault="00CF2395" w:rsidP="00C21492">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rFonts w:ascii="Cambria" w:eastAsia="Times New Roman" w:hAnsi="Cambria"/>
          <w:sz w:val="20"/>
          <w:szCs w:val="20"/>
          <w:bdr w:val="none" w:sz="0" w:space="0" w:color="auto"/>
          <w:lang w:val="es-ES"/>
        </w:rPr>
      </w:pPr>
      <w:r w:rsidRPr="00CF2395">
        <w:rPr>
          <w:rFonts w:ascii="Cambria" w:eastAsia="Times New Roman" w:hAnsi="Cambria"/>
          <w:spacing w:val="-3"/>
          <w:sz w:val="20"/>
          <w:szCs w:val="20"/>
          <w:bdr w:val="none" w:sz="0" w:space="0" w:color="auto"/>
          <w:lang w:val="es-ES"/>
        </w:rPr>
        <w:t xml:space="preserve">Declarar admisible el presente caso </w:t>
      </w:r>
      <w:r w:rsidRPr="00CF2395">
        <w:rPr>
          <w:rFonts w:ascii="Cambria" w:eastAsia="Times New Roman" w:hAnsi="Cambria"/>
          <w:sz w:val="20"/>
          <w:szCs w:val="20"/>
          <w:bdr w:val="none" w:sz="0" w:space="0" w:color="auto"/>
          <w:lang w:val="es-ES"/>
        </w:rPr>
        <w:t xml:space="preserve">en cuanto a las presuntas violaciones de los derechos establecidos en los artículos 5, 8, 19 y 25  de la Convención Americana, en conexión con el artículo 1.1 de dicho instrumento. </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sz w:val="20"/>
          <w:szCs w:val="20"/>
          <w:bdr w:val="none" w:sz="0" w:space="0" w:color="auto"/>
          <w:lang w:val="es-ES"/>
        </w:rPr>
      </w:pPr>
    </w:p>
    <w:p w:rsidR="00CF2395" w:rsidRPr="00C21492" w:rsidRDefault="00CF2395" w:rsidP="00C21492">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0" w:firstLine="720"/>
        <w:jc w:val="both"/>
        <w:rPr>
          <w:rFonts w:ascii="Cambria" w:eastAsiaTheme="minorHAnsi" w:hAnsi="Cambria" w:cstheme="minorBidi"/>
          <w:sz w:val="20"/>
          <w:szCs w:val="20"/>
          <w:bdr w:val="none" w:sz="0" w:space="0" w:color="auto"/>
          <w:lang w:val="es-ES"/>
        </w:rPr>
      </w:pPr>
      <w:r w:rsidRPr="00CF2395">
        <w:rPr>
          <w:rFonts w:ascii="Cambria" w:eastAsiaTheme="minorHAnsi" w:hAnsi="Cambria" w:cstheme="minorBidi"/>
          <w:spacing w:val="-3"/>
          <w:sz w:val="20"/>
          <w:szCs w:val="20"/>
          <w:bdr w:val="none" w:sz="0" w:space="0" w:color="auto"/>
          <w:lang w:val="es-ES"/>
        </w:rPr>
        <w:t>Notificar de esta decisión a las partes.</w:t>
      </w:r>
    </w:p>
    <w:p w:rsidR="00C21492" w:rsidRPr="00CF2395" w:rsidRDefault="00C21492" w:rsidP="00C2149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heme="minorHAnsi" w:hAnsi="Cambria" w:cstheme="minorBidi"/>
          <w:sz w:val="20"/>
          <w:szCs w:val="20"/>
          <w:bdr w:val="none" w:sz="0" w:space="0" w:color="auto"/>
          <w:lang w:val="es-ES"/>
        </w:rPr>
      </w:pPr>
    </w:p>
    <w:p w:rsidR="00AD2B99" w:rsidRPr="00990635" w:rsidRDefault="00CF2395" w:rsidP="00C21492">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0" w:firstLine="720"/>
        <w:jc w:val="both"/>
        <w:rPr>
          <w:rFonts w:ascii="Cambria" w:eastAsiaTheme="minorHAnsi" w:hAnsi="Cambria" w:cstheme="minorBidi"/>
          <w:b/>
          <w:sz w:val="20"/>
          <w:szCs w:val="20"/>
          <w:bdr w:val="none" w:sz="0" w:space="0" w:color="auto"/>
          <w:lang w:val="es-ES"/>
        </w:rPr>
      </w:pPr>
      <w:r w:rsidRPr="00CF2395">
        <w:rPr>
          <w:rFonts w:ascii="Cambria" w:eastAsiaTheme="minorHAnsi" w:hAnsi="Cambria" w:cstheme="minorBidi"/>
          <w:sz w:val="20"/>
          <w:szCs w:val="20"/>
          <w:bdr w:val="none" w:sz="0" w:space="0" w:color="auto"/>
          <w:lang w:val="es-ES"/>
        </w:rPr>
        <w:t xml:space="preserve">Publicar esta decisión e incluirla en su Informe Anual </w:t>
      </w:r>
      <w:r w:rsidR="00990635">
        <w:rPr>
          <w:rFonts w:ascii="Cambria" w:eastAsiaTheme="minorHAnsi" w:hAnsi="Cambria" w:cstheme="minorBidi"/>
          <w:sz w:val="20"/>
          <w:szCs w:val="20"/>
          <w:bdr w:val="none" w:sz="0" w:space="0" w:color="auto"/>
          <w:lang w:val="es-ES"/>
        </w:rPr>
        <w:t>a la Asamblea General de la OEA.</w:t>
      </w:r>
    </w:p>
    <w:p w:rsidR="00C21492" w:rsidRDefault="00C21492" w:rsidP="00C21492">
      <w:pPr>
        <w:tabs>
          <w:tab w:val="left" w:pos="720"/>
          <w:tab w:val="center" w:pos="5400"/>
        </w:tabs>
        <w:suppressAutoHyphens/>
        <w:jc w:val="both"/>
        <w:rPr>
          <w:rFonts w:ascii="Cambria" w:eastAsia="Times New Roman" w:hAnsi="Cambria" w:cs="Arial"/>
          <w:noProof/>
          <w:spacing w:val="-2"/>
          <w:sz w:val="20"/>
          <w:szCs w:val="20"/>
          <w:lang w:val="es-CL"/>
        </w:rPr>
      </w:pPr>
    </w:p>
    <w:p w:rsidR="00AD2B99" w:rsidRPr="00AD2B99" w:rsidRDefault="006744C7" w:rsidP="00C21492">
      <w:pPr>
        <w:tabs>
          <w:tab w:val="left" w:pos="720"/>
          <w:tab w:val="center" w:pos="5400"/>
        </w:tabs>
        <w:suppressAutoHyphens/>
        <w:jc w:val="both"/>
        <w:rPr>
          <w:rFonts w:ascii="Cambria" w:eastAsia="Times New Roman" w:hAnsi="Cambria" w:cs="Arial"/>
          <w:noProof/>
          <w:spacing w:val="-2"/>
          <w:sz w:val="20"/>
          <w:szCs w:val="20"/>
          <w:lang w:val="es-CL"/>
        </w:rPr>
      </w:pPr>
      <w:r>
        <w:rPr>
          <w:rFonts w:ascii="Cambria" w:eastAsia="Times New Roman" w:hAnsi="Cambria" w:cs="Arial"/>
          <w:noProof/>
          <w:spacing w:val="-2"/>
          <w:sz w:val="20"/>
          <w:szCs w:val="20"/>
          <w:lang w:val="es-CL"/>
        </w:rPr>
        <w:tab/>
      </w:r>
      <w:r>
        <w:rPr>
          <w:rFonts w:ascii="Cambria" w:eastAsia="Times New Roman" w:hAnsi="Cambria" w:cs="Arial"/>
          <w:noProof/>
          <w:spacing w:val="-2"/>
          <w:sz w:val="20"/>
          <w:szCs w:val="20"/>
          <w:lang w:val="es-CL"/>
        </w:rPr>
        <w:tab/>
      </w:r>
      <w:r w:rsidR="00AD2B99" w:rsidRPr="00AD2B99">
        <w:rPr>
          <w:rFonts w:ascii="Cambria" w:eastAsia="Times New Roman" w:hAnsi="Cambria" w:cs="Arial"/>
          <w:noProof/>
          <w:spacing w:val="-2"/>
          <w:sz w:val="20"/>
          <w:szCs w:val="20"/>
          <w:lang w:val="es-CL"/>
        </w:rPr>
        <w:t>Dado y firmado en la ciud</w:t>
      </w:r>
      <w:r w:rsidR="00AD2B99">
        <w:rPr>
          <w:rFonts w:ascii="Cambria" w:eastAsia="Times New Roman" w:hAnsi="Cambria" w:cs="Arial"/>
          <w:noProof/>
          <w:spacing w:val="-2"/>
          <w:sz w:val="20"/>
          <w:szCs w:val="20"/>
          <w:lang w:val="es-CL"/>
        </w:rPr>
        <w:t>ad de Washington, D.C., a los 21</w:t>
      </w:r>
      <w:r w:rsidR="00AD2B99" w:rsidRPr="00AD2B99">
        <w:rPr>
          <w:rFonts w:ascii="Cambria" w:eastAsia="Times New Roman" w:hAnsi="Cambria" w:cs="Arial"/>
          <w:noProof/>
          <w:spacing w:val="-2"/>
          <w:sz w:val="20"/>
          <w:szCs w:val="20"/>
          <w:lang w:val="es-CL"/>
        </w:rPr>
        <w:t xml:space="preserve"> días del mes de </w:t>
      </w:r>
      <w:r w:rsidR="00AD2B99">
        <w:rPr>
          <w:rFonts w:ascii="Cambria" w:eastAsia="Times New Roman" w:hAnsi="Cambria" w:cs="Arial"/>
          <w:noProof/>
          <w:spacing w:val="-2"/>
          <w:sz w:val="20"/>
          <w:szCs w:val="20"/>
          <w:lang w:val="es-CL"/>
        </w:rPr>
        <w:t>julio</w:t>
      </w:r>
      <w:r w:rsidR="00AD2B99" w:rsidRPr="00AD2B99">
        <w:rPr>
          <w:rFonts w:ascii="Cambria" w:eastAsia="Times New Roman" w:hAnsi="Cambria" w:cs="Arial"/>
          <w:noProof/>
          <w:spacing w:val="-2"/>
          <w:sz w:val="20"/>
          <w:szCs w:val="20"/>
          <w:lang w:val="es-CL"/>
        </w:rPr>
        <w:t xml:space="preserve"> de 2014.</w:t>
      </w:r>
      <w:r>
        <w:rPr>
          <w:rFonts w:ascii="Cambria" w:eastAsia="Times New Roman" w:hAnsi="Cambria" w:cs="Arial"/>
          <w:noProof/>
          <w:spacing w:val="-2"/>
          <w:sz w:val="20"/>
          <w:szCs w:val="20"/>
          <w:lang w:val="es-CL"/>
        </w:rPr>
        <w:t xml:space="preserve"> </w:t>
      </w:r>
      <w:r w:rsidRPr="00A37B82">
        <w:rPr>
          <w:rFonts w:asciiTheme="majorHAnsi" w:hAnsiTheme="majorHAnsi" w:cs="Arial"/>
          <w:noProof/>
          <w:spacing w:val="-2"/>
          <w:sz w:val="20"/>
          <w:szCs w:val="20"/>
          <w:lang w:val="es-CL"/>
        </w:rPr>
        <w:t>(Firmado): Tracy Robinson, Presidenta; Rose-Marie Belle Antoine, Primera Vicepresidenta; Felipe González, Segundo Vicepresidente</w:t>
      </w:r>
      <w:r>
        <w:rPr>
          <w:rFonts w:asciiTheme="majorHAnsi" w:hAnsiTheme="majorHAnsi" w:cs="Arial"/>
          <w:noProof/>
          <w:spacing w:val="-2"/>
          <w:sz w:val="20"/>
          <w:szCs w:val="20"/>
          <w:lang w:val="es-CL"/>
        </w:rPr>
        <w:t xml:space="preserve">, José de Jesús Orozco Henríquez, </w:t>
      </w:r>
      <w:r w:rsidRPr="00A37B82">
        <w:rPr>
          <w:rFonts w:asciiTheme="majorHAnsi" w:hAnsiTheme="majorHAnsi" w:cs="Arial"/>
          <w:noProof/>
          <w:spacing w:val="-2"/>
          <w:sz w:val="20"/>
          <w:szCs w:val="20"/>
          <w:lang w:val="es-CL"/>
        </w:rPr>
        <w:t>Rosa María Ortiz, Paulo Vannuchi y James L. Cavallaro, Miembros de la Comisión.</w:t>
      </w:r>
    </w:p>
    <w:p w:rsidR="00AD2B99" w:rsidRPr="00AD2B99" w:rsidRDefault="00AD2B99" w:rsidP="00C21492">
      <w:pPr>
        <w:tabs>
          <w:tab w:val="center" w:pos="5400"/>
        </w:tabs>
        <w:suppressAutoHyphens/>
        <w:jc w:val="center"/>
        <w:rPr>
          <w:rFonts w:ascii="Cambria" w:eastAsia="Times New Roman" w:hAnsi="Cambria" w:cs="Arial"/>
          <w:noProof/>
          <w:spacing w:val="-2"/>
          <w:sz w:val="20"/>
          <w:szCs w:val="20"/>
          <w:lang w:val="es-CL"/>
        </w:rPr>
      </w:pPr>
    </w:p>
    <w:sectPr w:rsidR="00AD2B99" w:rsidRPr="00AD2B9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909" w:rsidRDefault="00535909">
      <w:r>
        <w:separator/>
      </w:r>
    </w:p>
  </w:endnote>
  <w:endnote w:type="continuationSeparator" w:id="0">
    <w:p w:rsidR="00535909" w:rsidRDefault="0053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21492">
          <w:rPr>
            <w:noProof/>
            <w:sz w:val="16"/>
            <w:szCs w:val="22"/>
          </w:rPr>
          <w:t>6</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909" w:rsidRPr="000F35ED" w:rsidRDefault="0053590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35909" w:rsidRPr="000F35ED" w:rsidRDefault="00535909" w:rsidP="000F35ED">
      <w:pPr>
        <w:rPr>
          <w:rFonts w:asciiTheme="majorHAnsi" w:hAnsiTheme="majorHAnsi"/>
          <w:sz w:val="16"/>
          <w:szCs w:val="16"/>
        </w:rPr>
      </w:pPr>
      <w:r w:rsidRPr="000F35ED">
        <w:rPr>
          <w:rFonts w:asciiTheme="majorHAnsi" w:hAnsiTheme="majorHAnsi"/>
          <w:sz w:val="16"/>
          <w:szCs w:val="16"/>
        </w:rPr>
        <w:separator/>
      </w:r>
    </w:p>
    <w:p w:rsidR="00535909" w:rsidRPr="000F35ED" w:rsidRDefault="0053590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535909" w:rsidRPr="000F35ED" w:rsidRDefault="0053590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CF2395" w:rsidRPr="00860B52" w:rsidRDefault="00CF2395" w:rsidP="00CF2395">
      <w:pPr>
        <w:spacing w:after="120"/>
        <w:ind w:firstLine="720"/>
        <w:jc w:val="both"/>
        <w:rPr>
          <w:rFonts w:ascii="Cambria" w:eastAsia="Times New Roman" w:hAnsi="Cambria"/>
          <w:sz w:val="16"/>
          <w:szCs w:val="16"/>
          <w:lang w:val="es-MX"/>
        </w:rPr>
      </w:pPr>
      <w:r w:rsidRPr="00860B52">
        <w:rPr>
          <w:rStyle w:val="FootnoteReference"/>
          <w:rFonts w:ascii="Cambria" w:hAnsi="Cambria"/>
          <w:sz w:val="16"/>
          <w:szCs w:val="16"/>
        </w:rPr>
        <w:footnoteRef/>
      </w:r>
      <w:r w:rsidRPr="00860B52">
        <w:rPr>
          <w:rFonts w:ascii="Cambria" w:eastAsia="Times New Roman" w:hAnsi="Cambria"/>
          <w:bCs/>
          <w:sz w:val="16"/>
          <w:szCs w:val="16"/>
          <w:lang w:val="es-EC"/>
        </w:rPr>
        <w:t xml:space="preserve"> CIDH, Informe de </w:t>
      </w:r>
      <w:r w:rsidRPr="00860B52">
        <w:rPr>
          <w:rFonts w:ascii="Cambria" w:eastAsia="Times New Roman" w:hAnsi="Cambria"/>
          <w:sz w:val="16"/>
          <w:szCs w:val="16"/>
          <w:lang w:val="es-EC"/>
        </w:rPr>
        <w:t>Admisibilidad</w:t>
      </w:r>
      <w:r w:rsidRPr="00860B52">
        <w:rPr>
          <w:rFonts w:ascii="Cambria" w:eastAsia="Times New Roman" w:hAnsi="Cambria"/>
          <w:bCs/>
          <w:sz w:val="16"/>
          <w:szCs w:val="16"/>
          <w:lang w:val="es-EC"/>
        </w:rPr>
        <w:t xml:space="preserve"> No. 65/06, </w:t>
      </w:r>
      <w:r w:rsidRPr="00860B52">
        <w:rPr>
          <w:rFonts w:ascii="Cambria" w:eastAsia="Times New Roman" w:hAnsi="Cambria"/>
          <w:sz w:val="16"/>
          <w:szCs w:val="16"/>
          <w:lang w:val="es-EC"/>
        </w:rPr>
        <w:t xml:space="preserve"> P 81-06, </w:t>
      </w:r>
      <w:r w:rsidRPr="00860B52">
        <w:rPr>
          <w:rFonts w:ascii="Cambria" w:eastAsia="Times New Roman" w:hAnsi="Cambria"/>
          <w:i/>
          <w:sz w:val="16"/>
          <w:szCs w:val="16"/>
          <w:lang w:val="es-EC"/>
        </w:rPr>
        <w:t>Jimmy Charles</w:t>
      </w:r>
      <w:r w:rsidRPr="00860B52">
        <w:rPr>
          <w:rFonts w:ascii="Cambria" w:eastAsia="Times New Roman" w:hAnsi="Cambria"/>
          <w:sz w:val="16"/>
          <w:szCs w:val="16"/>
          <w:lang w:val="es-EC"/>
        </w:rPr>
        <w:t>, Haití, 20 de julio de 2006</w:t>
      </w:r>
      <w:r w:rsidRPr="00860B52">
        <w:rPr>
          <w:rFonts w:ascii="Cambria" w:hAnsi="Cambria"/>
          <w:sz w:val="16"/>
          <w:szCs w:val="16"/>
          <w:lang w:val="es-MX"/>
        </w:rPr>
        <w:t>, párr. 23.</w:t>
      </w:r>
    </w:p>
  </w:footnote>
  <w:footnote w:id="3">
    <w:p w:rsidR="00CF2395" w:rsidRPr="001C5CB7" w:rsidRDefault="00CF2395" w:rsidP="00CF2395">
      <w:pPr>
        <w:spacing w:after="120"/>
        <w:ind w:firstLine="720"/>
        <w:jc w:val="both"/>
        <w:rPr>
          <w:rFonts w:ascii="Cambria" w:hAnsi="Cambria"/>
          <w:sz w:val="16"/>
          <w:szCs w:val="16"/>
          <w:lang w:val="es-MX"/>
        </w:rPr>
      </w:pPr>
      <w:r w:rsidRPr="001C5CB7">
        <w:rPr>
          <w:rStyle w:val="FootnoteReference"/>
          <w:rFonts w:ascii="Cambria" w:hAnsi="Cambria"/>
          <w:sz w:val="16"/>
          <w:szCs w:val="16"/>
        </w:rPr>
        <w:footnoteRef/>
      </w:r>
      <w:r w:rsidRPr="001C5CB7">
        <w:rPr>
          <w:rFonts w:ascii="Cambria" w:hAnsi="Cambria"/>
          <w:sz w:val="16"/>
          <w:szCs w:val="16"/>
          <w:lang w:val="es-MX"/>
        </w:rPr>
        <w:t xml:space="preserve"> Proceso Penal – Juzgado de Letras Seccional La Ceiba, Atlántida. Expediente No. 49-2002</w:t>
      </w:r>
    </w:p>
  </w:footnote>
  <w:footnote w:id="4">
    <w:p w:rsidR="00CF2395" w:rsidRPr="001C5CB7" w:rsidRDefault="00CF2395" w:rsidP="00CF2395">
      <w:pPr>
        <w:pStyle w:val="FootnoteText"/>
        <w:spacing w:after="120"/>
        <w:ind w:firstLine="720"/>
        <w:jc w:val="both"/>
        <w:rPr>
          <w:rFonts w:ascii="Cambria" w:hAnsi="Cambria"/>
          <w:sz w:val="16"/>
          <w:szCs w:val="16"/>
          <w:lang w:val="es-MX"/>
        </w:rPr>
      </w:pPr>
      <w:r w:rsidRPr="001C5CB7">
        <w:rPr>
          <w:rStyle w:val="FootnoteReference"/>
          <w:rFonts w:ascii="Cambria" w:hAnsi="Cambria"/>
          <w:sz w:val="16"/>
          <w:szCs w:val="16"/>
        </w:rPr>
        <w:footnoteRef/>
      </w:r>
      <w:r w:rsidRPr="001C5CB7">
        <w:rPr>
          <w:rFonts w:ascii="Cambria" w:hAnsi="Cambria"/>
          <w:sz w:val="16"/>
          <w:szCs w:val="16"/>
          <w:lang w:val="es-MX"/>
        </w:rPr>
        <w:t xml:space="preserve"> Es de resaltar que este elemento fue agregado únicamente en la sentencia de 2005.</w:t>
      </w:r>
    </w:p>
  </w:footnote>
  <w:footnote w:id="5">
    <w:p w:rsidR="00CF2395" w:rsidRPr="001C5CB7" w:rsidRDefault="00CF2395" w:rsidP="00CF2395">
      <w:pPr>
        <w:spacing w:after="120"/>
        <w:ind w:firstLine="720"/>
        <w:jc w:val="both"/>
        <w:rPr>
          <w:rFonts w:ascii="Cambria" w:eastAsia="Calibri" w:hAnsi="Cambria" w:cs="Arial"/>
          <w:sz w:val="16"/>
          <w:szCs w:val="16"/>
          <w:lang w:val="es-MX"/>
        </w:rPr>
      </w:pPr>
      <w:r w:rsidRPr="001C5CB7">
        <w:rPr>
          <w:rStyle w:val="FootnoteReference"/>
          <w:rFonts w:ascii="Cambria" w:eastAsia="Calibri" w:hAnsi="Cambria" w:cs="Arial"/>
          <w:sz w:val="16"/>
          <w:szCs w:val="16"/>
          <w:lang w:val="es-ES"/>
        </w:rPr>
        <w:footnoteRef/>
      </w:r>
      <w:r w:rsidRPr="001C5CB7">
        <w:rPr>
          <w:rFonts w:ascii="Cambria" w:eastAsia="Calibri" w:hAnsi="Cambria" w:cs="Arial"/>
          <w:sz w:val="16"/>
          <w:szCs w:val="16"/>
          <w:lang w:val="es-MX"/>
        </w:rPr>
        <w:t xml:space="preserve"> </w:t>
      </w:r>
      <w:r w:rsidRPr="001C5CB7">
        <w:rPr>
          <w:rFonts w:ascii="Cambria" w:hAnsi="Cambria"/>
          <w:sz w:val="16"/>
          <w:szCs w:val="16"/>
          <w:lang w:val="es-MX"/>
        </w:rPr>
        <w:t xml:space="preserve">CIDH, </w:t>
      </w:r>
      <w:r w:rsidRPr="001C5CB7">
        <w:rPr>
          <w:rFonts w:ascii="Cambria" w:hAnsi="Cambria"/>
          <w:i/>
          <w:sz w:val="16"/>
          <w:szCs w:val="16"/>
          <w:lang w:val="es-MX"/>
        </w:rPr>
        <w:t xml:space="preserve">Comunidad Indígena </w:t>
      </w:r>
      <w:proofErr w:type="spellStart"/>
      <w:r w:rsidRPr="001C5CB7">
        <w:rPr>
          <w:rFonts w:ascii="Cambria" w:hAnsi="Cambria"/>
          <w:i/>
          <w:sz w:val="16"/>
          <w:szCs w:val="16"/>
          <w:lang w:val="es-MX"/>
        </w:rPr>
        <w:t>Nam</w:t>
      </w:r>
      <w:proofErr w:type="spellEnd"/>
      <w:r w:rsidRPr="001C5CB7">
        <w:rPr>
          <w:rFonts w:ascii="Cambria" w:hAnsi="Cambria"/>
          <w:i/>
          <w:sz w:val="16"/>
          <w:szCs w:val="16"/>
          <w:lang w:val="es-MX"/>
        </w:rPr>
        <w:t xml:space="preserve"> Qom del Pueblo Qom (Toba), </w:t>
      </w:r>
      <w:r w:rsidRPr="001C5CB7">
        <w:rPr>
          <w:rFonts w:ascii="Cambria" w:hAnsi="Cambria"/>
          <w:sz w:val="16"/>
          <w:szCs w:val="16"/>
          <w:lang w:val="es-MX"/>
        </w:rPr>
        <w:t>Argentina, Informe de Admisibilidad No. 273-05, 19 de marzo de 2013. párr.</w:t>
      </w:r>
      <w:r w:rsidRPr="001C5CB7">
        <w:rPr>
          <w:rFonts w:ascii="Cambria" w:hAnsi="Cambria"/>
          <w:i/>
          <w:sz w:val="16"/>
          <w:szCs w:val="16"/>
          <w:lang w:val="es-MX"/>
        </w:rPr>
        <w:t xml:space="preserve"> </w:t>
      </w:r>
      <w:r w:rsidRPr="001C5CB7">
        <w:rPr>
          <w:rFonts w:ascii="Cambria" w:hAnsi="Cambria"/>
          <w:sz w:val="16"/>
          <w:szCs w:val="16"/>
          <w:lang w:val="es-MX"/>
        </w:rPr>
        <w:t xml:space="preserve">33; CIDH, </w:t>
      </w:r>
      <w:r w:rsidRPr="001C5CB7">
        <w:rPr>
          <w:rFonts w:ascii="Cambria" w:hAnsi="Cambria"/>
          <w:i/>
          <w:sz w:val="16"/>
          <w:szCs w:val="16"/>
          <w:lang w:val="es-MX"/>
        </w:rPr>
        <w:t xml:space="preserve">Alex Edmundo </w:t>
      </w:r>
      <w:proofErr w:type="spellStart"/>
      <w:r w:rsidRPr="001C5CB7">
        <w:rPr>
          <w:rFonts w:ascii="Cambria" w:hAnsi="Cambria"/>
          <w:i/>
          <w:sz w:val="16"/>
          <w:szCs w:val="16"/>
          <w:lang w:val="es-MX"/>
        </w:rPr>
        <w:t>Lemún</w:t>
      </w:r>
      <w:proofErr w:type="spellEnd"/>
      <w:r w:rsidRPr="001C5CB7">
        <w:rPr>
          <w:rFonts w:ascii="Cambria" w:hAnsi="Cambria"/>
          <w:i/>
          <w:sz w:val="16"/>
          <w:szCs w:val="16"/>
          <w:lang w:val="es-MX"/>
        </w:rPr>
        <w:t xml:space="preserve"> Saavedra y Otros, </w:t>
      </w:r>
      <w:r w:rsidRPr="001C5CB7">
        <w:rPr>
          <w:rFonts w:ascii="Cambria" w:hAnsi="Cambria"/>
          <w:sz w:val="16"/>
          <w:szCs w:val="16"/>
          <w:lang w:val="es-MX"/>
        </w:rPr>
        <w:t xml:space="preserve">Chile, Informe de Admisibilidad No. 404-06, 8 de noviembre de 2012. </w:t>
      </w:r>
      <w:r w:rsidRPr="001C5CB7">
        <w:rPr>
          <w:rFonts w:ascii="Cambria" w:eastAsia="Calibri" w:hAnsi="Cambria"/>
          <w:sz w:val="16"/>
          <w:szCs w:val="16"/>
          <w:lang w:val="es-MX"/>
        </w:rPr>
        <w:t>párr.</w:t>
      </w:r>
      <w:r w:rsidRPr="001C5CB7">
        <w:rPr>
          <w:rFonts w:ascii="Cambria" w:eastAsia="Calibri" w:hAnsi="Cambria"/>
          <w:i/>
          <w:sz w:val="16"/>
          <w:szCs w:val="16"/>
          <w:lang w:val="es-MX"/>
        </w:rPr>
        <w:t xml:space="preserve"> </w:t>
      </w:r>
      <w:r w:rsidRPr="001C5CB7">
        <w:rPr>
          <w:rFonts w:ascii="Cambria" w:eastAsia="Calibri" w:hAnsi="Cambria"/>
          <w:sz w:val="16"/>
          <w:szCs w:val="16"/>
          <w:lang w:val="es-MX"/>
        </w:rPr>
        <w:t xml:space="preserve">35; </w:t>
      </w:r>
      <w:r w:rsidRPr="001C5CB7">
        <w:rPr>
          <w:rFonts w:ascii="Cambria" w:hAnsi="Cambria"/>
          <w:sz w:val="16"/>
          <w:szCs w:val="16"/>
          <w:lang w:val="es-MX"/>
        </w:rPr>
        <w:t xml:space="preserve">CIDH, </w:t>
      </w:r>
      <w:r w:rsidRPr="001C5CB7">
        <w:rPr>
          <w:rFonts w:ascii="Cambria" w:hAnsi="Cambria"/>
          <w:i/>
          <w:sz w:val="16"/>
          <w:szCs w:val="16"/>
          <w:lang w:val="es-MX"/>
        </w:rPr>
        <w:t xml:space="preserve">Vecinos de la Aldea de </w:t>
      </w:r>
      <w:proofErr w:type="spellStart"/>
      <w:r w:rsidRPr="001C5CB7">
        <w:rPr>
          <w:rFonts w:ascii="Cambria" w:hAnsi="Cambria"/>
          <w:i/>
          <w:sz w:val="16"/>
          <w:szCs w:val="16"/>
          <w:lang w:val="es-MX"/>
        </w:rPr>
        <w:t>Chichupac</w:t>
      </w:r>
      <w:proofErr w:type="spellEnd"/>
      <w:r w:rsidRPr="001C5CB7">
        <w:rPr>
          <w:rFonts w:ascii="Cambria" w:hAnsi="Cambria"/>
          <w:i/>
          <w:sz w:val="16"/>
          <w:szCs w:val="16"/>
          <w:lang w:val="es-MX"/>
        </w:rPr>
        <w:t xml:space="preserve"> y Caserío </w:t>
      </w:r>
      <w:proofErr w:type="spellStart"/>
      <w:r w:rsidRPr="001C5CB7">
        <w:rPr>
          <w:rFonts w:ascii="Cambria" w:hAnsi="Cambria"/>
          <w:i/>
          <w:sz w:val="16"/>
          <w:szCs w:val="16"/>
          <w:lang w:val="es-MX"/>
        </w:rPr>
        <w:t>Xeabaj</w:t>
      </w:r>
      <w:proofErr w:type="spellEnd"/>
      <w:r w:rsidRPr="001C5CB7">
        <w:rPr>
          <w:rFonts w:ascii="Cambria" w:hAnsi="Cambria"/>
          <w:i/>
          <w:sz w:val="16"/>
          <w:szCs w:val="16"/>
          <w:lang w:val="es-MX"/>
        </w:rPr>
        <w:t xml:space="preserve"> del Municipio de Rabinal, </w:t>
      </w:r>
      <w:r w:rsidRPr="001C5CB7">
        <w:rPr>
          <w:rFonts w:ascii="Cambria" w:hAnsi="Cambria"/>
          <w:sz w:val="16"/>
          <w:szCs w:val="16"/>
          <w:lang w:val="es-MX"/>
        </w:rPr>
        <w:t>Guatemala, Petición 1579-07, 1 de noviembre de 2010</w:t>
      </w:r>
      <w:r w:rsidRPr="001C5CB7">
        <w:rPr>
          <w:rFonts w:ascii="Cambria" w:hAnsi="Cambria"/>
          <w:i/>
          <w:sz w:val="16"/>
          <w:szCs w:val="16"/>
          <w:lang w:val="es-MX"/>
        </w:rPr>
        <w:t xml:space="preserve">, </w:t>
      </w:r>
      <w:r w:rsidRPr="001C5CB7">
        <w:rPr>
          <w:rFonts w:ascii="Cambria" w:hAnsi="Cambria"/>
          <w:sz w:val="16"/>
          <w:szCs w:val="16"/>
          <w:lang w:val="es-MX"/>
        </w:rPr>
        <w:t>párr.</w:t>
      </w:r>
      <w:r w:rsidRPr="001C5CB7">
        <w:rPr>
          <w:rFonts w:ascii="Cambria" w:hAnsi="Cambria"/>
          <w:i/>
          <w:sz w:val="16"/>
          <w:szCs w:val="16"/>
          <w:lang w:val="es-MX"/>
        </w:rPr>
        <w:t xml:space="preserve"> </w:t>
      </w:r>
      <w:r w:rsidRPr="001C5CB7">
        <w:rPr>
          <w:rFonts w:ascii="Cambria" w:hAnsi="Cambria"/>
          <w:sz w:val="16"/>
          <w:szCs w:val="16"/>
          <w:lang w:val="es-MX"/>
        </w:rPr>
        <w:t xml:space="preserve">50; </w:t>
      </w:r>
      <w:r w:rsidRPr="001C5CB7">
        <w:rPr>
          <w:rFonts w:ascii="Cambria" w:eastAsia="Calibri" w:hAnsi="Cambria"/>
          <w:sz w:val="16"/>
          <w:szCs w:val="16"/>
          <w:lang w:val="es-ES"/>
        </w:rPr>
        <w:t xml:space="preserve">CIDH, </w:t>
      </w:r>
      <w:r w:rsidRPr="001C5CB7">
        <w:rPr>
          <w:rFonts w:ascii="Cambria" w:hAnsi="Cambria"/>
          <w:sz w:val="16"/>
          <w:szCs w:val="16"/>
          <w:lang w:val="es-MX"/>
        </w:rPr>
        <w:t>Informe de Admisibilidad</w:t>
      </w:r>
      <w:r w:rsidRPr="001C5CB7">
        <w:rPr>
          <w:rFonts w:ascii="Cambria" w:eastAsia="Calibri" w:hAnsi="Cambria"/>
          <w:sz w:val="16"/>
          <w:szCs w:val="16"/>
          <w:lang w:val="es-ES"/>
        </w:rPr>
        <w:t xml:space="preserve"> No. 99/09, Petición 12.335, </w:t>
      </w:r>
      <w:r w:rsidRPr="001C5CB7">
        <w:rPr>
          <w:rFonts w:ascii="Cambria" w:eastAsia="Calibri" w:hAnsi="Cambria"/>
          <w:i/>
          <w:sz w:val="16"/>
          <w:szCs w:val="16"/>
          <w:lang w:val="es-ES"/>
        </w:rPr>
        <w:t>Gustavo Giraldo Villamizar Durán</w:t>
      </w:r>
      <w:r w:rsidRPr="001C5CB7">
        <w:rPr>
          <w:rFonts w:ascii="Cambria" w:eastAsia="Calibri" w:hAnsi="Cambria"/>
          <w:sz w:val="16"/>
          <w:szCs w:val="16"/>
          <w:lang w:val="es-ES"/>
        </w:rPr>
        <w:t xml:space="preserve">, Colombia, 29 de octubre de 2009, párr. </w:t>
      </w:r>
      <w:r w:rsidRPr="001C5CB7">
        <w:rPr>
          <w:rFonts w:ascii="Cambria" w:eastAsia="Calibri" w:hAnsi="Cambria"/>
          <w:sz w:val="16"/>
          <w:szCs w:val="16"/>
          <w:lang w:val="pt-BR"/>
        </w:rPr>
        <w:t xml:space="preserve">33; CIDH, Informe de Admisibilidad No. 52/97, </w:t>
      </w:r>
      <w:r w:rsidRPr="001C5CB7">
        <w:rPr>
          <w:rFonts w:ascii="Cambria" w:eastAsia="Calibri" w:hAnsi="Cambria"/>
          <w:i/>
          <w:sz w:val="16"/>
          <w:szCs w:val="16"/>
          <w:lang w:val="pt-BR"/>
        </w:rPr>
        <w:t>Arges Sequeira Mangas</w:t>
      </w:r>
      <w:r w:rsidRPr="001C5CB7">
        <w:rPr>
          <w:rFonts w:ascii="Cambria" w:eastAsia="Calibri" w:hAnsi="Cambria"/>
          <w:sz w:val="16"/>
          <w:szCs w:val="16"/>
          <w:lang w:val="pt-BR"/>
        </w:rPr>
        <w:t xml:space="preserve">, Nicaragua, </w:t>
      </w:r>
      <w:r w:rsidRPr="001C5CB7">
        <w:rPr>
          <w:rFonts w:ascii="Cambria" w:hAnsi="Cambria"/>
          <w:sz w:val="16"/>
          <w:szCs w:val="16"/>
          <w:lang w:val="pt-BR"/>
        </w:rPr>
        <w:t>Informe Anual de la CIDH 1997,</w:t>
      </w:r>
      <w:r w:rsidRPr="001C5CB7">
        <w:rPr>
          <w:rFonts w:ascii="Cambria" w:eastAsia="Calibri" w:hAnsi="Cambria"/>
          <w:sz w:val="16"/>
          <w:szCs w:val="16"/>
          <w:lang w:val="pt-BR"/>
        </w:rPr>
        <w:t xml:space="preserve"> párrs. </w:t>
      </w:r>
      <w:r w:rsidRPr="001C5CB7">
        <w:rPr>
          <w:rFonts w:ascii="Cambria" w:eastAsia="Calibri" w:hAnsi="Cambria"/>
          <w:sz w:val="16"/>
          <w:szCs w:val="16"/>
          <w:lang w:val="es-ES"/>
        </w:rPr>
        <w:t xml:space="preserve">96 y 97, y CIDH. Informe de Admisibilidad No. 55/97, </w:t>
      </w:r>
      <w:r w:rsidRPr="001C5CB7">
        <w:rPr>
          <w:rFonts w:ascii="Cambria" w:eastAsia="Calibri" w:hAnsi="Cambria"/>
          <w:i/>
          <w:sz w:val="16"/>
          <w:szCs w:val="16"/>
          <w:lang w:val="es-ES"/>
        </w:rPr>
        <w:t>Abella y otros</w:t>
      </w:r>
      <w:r w:rsidRPr="001C5CB7">
        <w:rPr>
          <w:rFonts w:ascii="Cambria" w:eastAsia="Calibri" w:hAnsi="Cambria"/>
          <w:sz w:val="16"/>
          <w:szCs w:val="16"/>
          <w:lang w:val="es-ES"/>
        </w:rPr>
        <w:t xml:space="preserve">, Argentina, 18 de noviembre de 1997, párr. </w:t>
      </w:r>
      <w:r w:rsidRPr="001C5CB7">
        <w:rPr>
          <w:rFonts w:ascii="Cambria" w:eastAsia="Calibri" w:hAnsi="Cambria"/>
          <w:sz w:val="16"/>
          <w:szCs w:val="16"/>
          <w:lang w:val="es-MX"/>
        </w:rPr>
        <w:t>392.</w:t>
      </w:r>
      <w:r w:rsidRPr="001C5CB7">
        <w:rPr>
          <w:rFonts w:ascii="Cambria" w:eastAsia="Calibri" w:hAnsi="Cambria" w:cs="Arial"/>
          <w:sz w:val="16"/>
          <w:szCs w:val="16"/>
          <w:lang w:val="es-MX"/>
        </w:rPr>
        <w:t xml:space="preserve">  </w:t>
      </w:r>
    </w:p>
  </w:footnote>
  <w:footnote w:id="6">
    <w:p w:rsidR="00CF2395" w:rsidRPr="0088518C" w:rsidRDefault="00CF2395" w:rsidP="00CF2395">
      <w:pPr>
        <w:pStyle w:val="FootnoteText"/>
        <w:spacing w:after="120"/>
        <w:ind w:firstLine="720"/>
        <w:jc w:val="both"/>
        <w:rPr>
          <w:sz w:val="18"/>
          <w:szCs w:val="18"/>
          <w:lang w:val="es-MX"/>
        </w:rPr>
      </w:pPr>
      <w:r w:rsidRPr="001C5CB7">
        <w:rPr>
          <w:rStyle w:val="FootnoteReference"/>
          <w:rFonts w:ascii="Cambria" w:hAnsi="Cambria"/>
          <w:sz w:val="16"/>
          <w:szCs w:val="16"/>
        </w:rPr>
        <w:footnoteRef/>
      </w:r>
      <w:r w:rsidRPr="001C5CB7">
        <w:rPr>
          <w:rFonts w:ascii="Cambria" w:hAnsi="Cambria"/>
          <w:sz w:val="16"/>
          <w:szCs w:val="16"/>
          <w:lang w:val="es-MX"/>
        </w:rPr>
        <w:t xml:space="preserve"> Informe de Admisibilidad No 61/01, Caso 11.771, Samuel Alfonso Catalán </w:t>
      </w:r>
      <w:proofErr w:type="spellStart"/>
      <w:r w:rsidRPr="001C5CB7">
        <w:rPr>
          <w:rFonts w:ascii="Cambria" w:hAnsi="Cambria"/>
          <w:sz w:val="16"/>
          <w:szCs w:val="16"/>
          <w:lang w:val="es-MX"/>
        </w:rPr>
        <w:t>Lincoleo</w:t>
      </w:r>
      <w:proofErr w:type="spellEnd"/>
      <w:r w:rsidRPr="001C5CB7">
        <w:rPr>
          <w:rFonts w:ascii="Cambria" w:hAnsi="Cambria"/>
          <w:sz w:val="16"/>
          <w:szCs w:val="16"/>
          <w:lang w:val="es-MX"/>
        </w:rPr>
        <w:t xml:space="preserve"> vs. Chile, 16 de abril de 2001, párr. 62.</w:t>
      </w:r>
    </w:p>
  </w:footnote>
  <w:footnote w:id="7">
    <w:p w:rsidR="00CF2395" w:rsidRPr="001222F8" w:rsidRDefault="00CF2395" w:rsidP="00CF2395">
      <w:pPr>
        <w:pStyle w:val="FootnoteText"/>
        <w:spacing w:after="120"/>
        <w:ind w:firstLine="720"/>
        <w:jc w:val="both"/>
        <w:rPr>
          <w:rFonts w:ascii="Cambria" w:hAnsi="Cambria"/>
          <w:sz w:val="16"/>
          <w:szCs w:val="16"/>
          <w:lang w:val="es-MX"/>
        </w:rPr>
      </w:pPr>
      <w:r w:rsidRPr="001222F8">
        <w:rPr>
          <w:rStyle w:val="FootnoteReference"/>
          <w:rFonts w:ascii="Cambria" w:hAnsi="Cambria"/>
          <w:sz w:val="16"/>
          <w:szCs w:val="16"/>
        </w:rPr>
        <w:footnoteRef/>
      </w:r>
      <w:r w:rsidRPr="001222F8">
        <w:rPr>
          <w:rFonts w:ascii="Cambria" w:hAnsi="Cambria"/>
          <w:sz w:val="16"/>
          <w:szCs w:val="16"/>
          <w:lang w:val="es-MX"/>
        </w:rPr>
        <w:t xml:space="preserve"> Este requerimiento por parte de la Corte Suprema de Justicia, se dio por solicitud del Ministerio Público en este sentido, en fecha  de 22 de septiembre de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535909"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D95CEB"/>
    <w:multiLevelType w:val="hybridMultilevel"/>
    <w:tmpl w:val="37C86DE6"/>
    <w:lvl w:ilvl="0" w:tplc="09CE98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27B6CD1"/>
    <w:multiLevelType w:val="hybridMultilevel"/>
    <w:tmpl w:val="4962985A"/>
    <w:lvl w:ilvl="0" w:tplc="63507010">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7215D77"/>
    <w:multiLevelType w:val="hybridMultilevel"/>
    <w:tmpl w:val="28C46D68"/>
    <w:lvl w:ilvl="0" w:tplc="C58E5BE8">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F17303C"/>
    <w:multiLevelType w:val="hybridMultilevel"/>
    <w:tmpl w:val="6994E10C"/>
    <w:lvl w:ilvl="0" w:tplc="3A785E3A">
      <w:start w:val="1"/>
      <w:numFmt w:val="upperRoman"/>
      <w:lvlText w:val="%1."/>
      <w:lvlJc w:val="left"/>
      <w:pPr>
        <w:tabs>
          <w:tab w:val="num" w:pos="1440"/>
        </w:tabs>
        <w:ind w:left="1440" w:hanging="720"/>
      </w:pPr>
      <w:rPr>
        <w:rFonts w:ascii="Univers" w:hAnsi="Univers" w:hint="default"/>
        <w:sz w:val="22"/>
        <w:szCs w:val="22"/>
      </w:rPr>
    </w:lvl>
    <w:lvl w:ilvl="1" w:tplc="3A2C1CF0">
      <w:start w:val="1"/>
      <w:numFmt w:val="decimal"/>
      <w:lvlText w:val="%2."/>
      <w:lvlJc w:val="left"/>
      <w:pPr>
        <w:tabs>
          <w:tab w:val="num" w:pos="2070"/>
        </w:tabs>
        <w:ind w:left="2070" w:hanging="630"/>
      </w:pPr>
      <w:rPr>
        <w:rFonts w:ascii="Cambria" w:hAnsi="Cambria" w:hint="default"/>
        <w:b/>
        <w:sz w:val="20"/>
      </w:rPr>
    </w:lvl>
    <w:lvl w:ilvl="2" w:tplc="3550C56A">
      <w:start w:val="1"/>
      <w:numFmt w:val="upperLetter"/>
      <w:lvlText w:val="%3."/>
      <w:lvlJc w:val="left"/>
      <w:pPr>
        <w:tabs>
          <w:tab w:val="num" w:pos="2985"/>
        </w:tabs>
        <w:ind w:left="2985" w:hanging="645"/>
      </w:pPr>
      <w:rPr>
        <w:rFonts w:ascii="Cambria" w:hAnsi="Cambria" w:hint="default"/>
        <w:i w:val="0"/>
        <w:sz w:val="20"/>
        <w:szCs w:val="20"/>
      </w:rPr>
    </w:lvl>
    <w:lvl w:ilvl="3" w:tplc="C8C6DBF8">
      <w:start w:val="1"/>
      <w:numFmt w:val="decimal"/>
      <w:lvlText w:val="%4."/>
      <w:lvlJc w:val="left"/>
      <w:pPr>
        <w:tabs>
          <w:tab w:val="num" w:pos="3510"/>
        </w:tabs>
        <w:ind w:left="3510" w:hanging="630"/>
      </w:pPr>
      <w:rPr>
        <w:rFonts w:ascii="Cambria" w:hAnsi="Cambria" w:hint="default"/>
        <w:b/>
        <w:sz w:val="20"/>
        <w:szCs w:val="2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C5307DB"/>
    <w:multiLevelType w:val="hybridMultilevel"/>
    <w:tmpl w:val="C046E488"/>
    <w:lvl w:ilvl="0" w:tplc="F31E8378">
      <w:start w:val="1"/>
      <w:numFmt w:val="decimal"/>
      <w:lvlText w:val="%1."/>
      <w:lvlJc w:val="left"/>
      <w:pPr>
        <w:tabs>
          <w:tab w:val="num" w:pos="1440"/>
        </w:tabs>
        <w:ind w:left="1440" w:hanging="360"/>
      </w:pPr>
      <w:rPr>
        <w:i w:val="0"/>
        <w:sz w:val="20"/>
        <w:szCs w:val="20"/>
      </w:rPr>
    </w:lvl>
    <w:lvl w:ilvl="1" w:tplc="04090001">
      <w:start w:val="1"/>
      <w:numFmt w:val="bullet"/>
      <w:lvlText w:val=""/>
      <w:lvlJc w:val="left"/>
      <w:pPr>
        <w:tabs>
          <w:tab w:val="num" w:pos="2160"/>
        </w:tabs>
        <w:ind w:left="2160" w:hanging="360"/>
      </w:pPr>
      <w:rPr>
        <w:rFonts w:ascii="Symbol" w:hAnsi="Symbol" w:hint="default"/>
      </w:rPr>
    </w:lvl>
    <w:lvl w:ilvl="2" w:tplc="6DB4F7D6">
      <w:start w:val="2"/>
      <w:numFmt w:val="decimal"/>
      <w:lvlText w:val="%3)"/>
      <w:lvlJc w:val="left"/>
      <w:pPr>
        <w:tabs>
          <w:tab w:val="num" w:pos="3060"/>
        </w:tabs>
        <w:ind w:left="3060" w:hanging="360"/>
      </w:pPr>
      <w:rPr>
        <w:rFonts w:hint="default"/>
      </w:rPr>
    </w:lvl>
    <w:lvl w:ilvl="3" w:tplc="8DDA5AA0">
      <w:start w:val="1"/>
      <w:numFmt w:val="lowerLetter"/>
      <w:lvlText w:val="%4)"/>
      <w:lvlJc w:val="left"/>
      <w:pPr>
        <w:tabs>
          <w:tab w:val="num" w:pos="3600"/>
        </w:tabs>
        <w:ind w:left="3600" w:hanging="360"/>
      </w:pPr>
      <w:rPr>
        <w:rFonts w:ascii="Calibri" w:hAnsi="Calibri" w:hint="default"/>
        <w:sz w:val="18"/>
        <w:szCs w:val="18"/>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8"/>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8"/>
  </w:num>
  <w:num w:numId="55">
    <w:abstractNumId w:val="39"/>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1"/>
  </w:num>
  <w:num w:numId="95">
    <w:abstractNumId w:val="42"/>
  </w:num>
  <w:num w:numId="96">
    <w:abstractNumId w:val="56"/>
  </w:num>
  <w:num w:numId="97">
    <w:abstractNumId w:val="53"/>
  </w:num>
  <w:num w:numId="98">
    <w:abstractNumId w:val="47"/>
  </w:num>
  <w:num w:numId="99">
    <w:abstractNumId w:val="37"/>
  </w:num>
  <w:num w:numId="100">
    <w:abstractNumId w:val="3"/>
  </w:num>
  <w:num w:numId="101">
    <w:abstractNumId w:val="26"/>
  </w:num>
  <w:num w:numId="102">
    <w:abstractNumId w:val="50"/>
  </w:num>
  <w:num w:numId="103">
    <w:abstractNumId w:val="5"/>
  </w:num>
  <w:num w:numId="104">
    <w:abstractNumId w:val="54"/>
  </w:num>
  <w:num w:numId="1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8"/>
  </w:num>
  <w:num w:numId="107">
    <w:abstractNumId w:val="43"/>
  </w:num>
  <w:num w:numId="108">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A27"/>
    <w:rsid w:val="00040C3A"/>
    <w:rsid w:val="000716C5"/>
    <w:rsid w:val="00075E23"/>
    <w:rsid w:val="0009344A"/>
    <w:rsid w:val="000A392E"/>
    <w:rsid w:val="000A575F"/>
    <w:rsid w:val="000D10DB"/>
    <w:rsid w:val="000E5EB5"/>
    <w:rsid w:val="000F35ED"/>
    <w:rsid w:val="00100EE7"/>
    <w:rsid w:val="00107131"/>
    <w:rsid w:val="0010736F"/>
    <w:rsid w:val="00113F73"/>
    <w:rsid w:val="00121CC2"/>
    <w:rsid w:val="001222F8"/>
    <w:rsid w:val="00133EE5"/>
    <w:rsid w:val="00167A34"/>
    <w:rsid w:val="00193EDC"/>
    <w:rsid w:val="001A7870"/>
    <w:rsid w:val="001C1B41"/>
    <w:rsid w:val="001C5CB7"/>
    <w:rsid w:val="001D65EF"/>
    <w:rsid w:val="002077DE"/>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14078"/>
    <w:rsid w:val="0031535D"/>
    <w:rsid w:val="0033169F"/>
    <w:rsid w:val="00346C95"/>
    <w:rsid w:val="00356185"/>
    <w:rsid w:val="00360380"/>
    <w:rsid w:val="0037519E"/>
    <w:rsid w:val="00376B14"/>
    <w:rsid w:val="00386CF0"/>
    <w:rsid w:val="003972C0"/>
    <w:rsid w:val="003C676B"/>
    <w:rsid w:val="003D3BC2"/>
    <w:rsid w:val="003E6CA1"/>
    <w:rsid w:val="004165C2"/>
    <w:rsid w:val="00441ECB"/>
    <w:rsid w:val="00467B7E"/>
    <w:rsid w:val="00477592"/>
    <w:rsid w:val="00486F1C"/>
    <w:rsid w:val="0049419D"/>
    <w:rsid w:val="004C20D2"/>
    <w:rsid w:val="004C4B62"/>
    <w:rsid w:val="004C54C9"/>
    <w:rsid w:val="004D6025"/>
    <w:rsid w:val="004E2649"/>
    <w:rsid w:val="00501399"/>
    <w:rsid w:val="0050633D"/>
    <w:rsid w:val="00507BC4"/>
    <w:rsid w:val="005128E4"/>
    <w:rsid w:val="005133DB"/>
    <w:rsid w:val="00525560"/>
    <w:rsid w:val="00535909"/>
    <w:rsid w:val="00544C49"/>
    <w:rsid w:val="005516A1"/>
    <w:rsid w:val="0057402A"/>
    <w:rsid w:val="005771D0"/>
    <w:rsid w:val="0059191A"/>
    <w:rsid w:val="005921FF"/>
    <w:rsid w:val="005A596C"/>
    <w:rsid w:val="005A6D0E"/>
    <w:rsid w:val="005B52B0"/>
    <w:rsid w:val="005B6806"/>
    <w:rsid w:val="005C4225"/>
    <w:rsid w:val="005F0DAD"/>
    <w:rsid w:val="005F0F33"/>
    <w:rsid w:val="00600DEB"/>
    <w:rsid w:val="00614078"/>
    <w:rsid w:val="00627C9F"/>
    <w:rsid w:val="006311E9"/>
    <w:rsid w:val="00632354"/>
    <w:rsid w:val="00642810"/>
    <w:rsid w:val="0064625E"/>
    <w:rsid w:val="00652333"/>
    <w:rsid w:val="006557DF"/>
    <w:rsid w:val="006744C7"/>
    <w:rsid w:val="0068009E"/>
    <w:rsid w:val="006A17D2"/>
    <w:rsid w:val="006A1ACB"/>
    <w:rsid w:val="006A73E6"/>
    <w:rsid w:val="006B2D5C"/>
    <w:rsid w:val="006C4EB1"/>
    <w:rsid w:val="006E0166"/>
    <w:rsid w:val="006E4F22"/>
    <w:rsid w:val="006E7B34"/>
    <w:rsid w:val="0070697F"/>
    <w:rsid w:val="0072199C"/>
    <w:rsid w:val="007253B8"/>
    <w:rsid w:val="00731168"/>
    <w:rsid w:val="00733453"/>
    <w:rsid w:val="0073741F"/>
    <w:rsid w:val="0076643F"/>
    <w:rsid w:val="00777F63"/>
    <w:rsid w:val="007A5817"/>
    <w:rsid w:val="007B60E9"/>
    <w:rsid w:val="007B6CC3"/>
    <w:rsid w:val="007C3334"/>
    <w:rsid w:val="007D2B98"/>
    <w:rsid w:val="007E21BC"/>
    <w:rsid w:val="00803F1C"/>
    <w:rsid w:val="0080600E"/>
    <w:rsid w:val="00817612"/>
    <w:rsid w:val="008338A4"/>
    <w:rsid w:val="00837C45"/>
    <w:rsid w:val="00844730"/>
    <w:rsid w:val="008457C2"/>
    <w:rsid w:val="00857A82"/>
    <w:rsid w:val="00860B52"/>
    <w:rsid w:val="00872C01"/>
    <w:rsid w:val="00873836"/>
    <w:rsid w:val="00885737"/>
    <w:rsid w:val="00890650"/>
    <w:rsid w:val="00897E12"/>
    <w:rsid w:val="008A7E0F"/>
    <w:rsid w:val="008B12F5"/>
    <w:rsid w:val="008E3759"/>
    <w:rsid w:val="008F1912"/>
    <w:rsid w:val="0090270B"/>
    <w:rsid w:val="009041DC"/>
    <w:rsid w:val="00917B5A"/>
    <w:rsid w:val="00920A58"/>
    <w:rsid w:val="00920A8C"/>
    <w:rsid w:val="009310F1"/>
    <w:rsid w:val="00934A2C"/>
    <w:rsid w:val="0096706E"/>
    <w:rsid w:val="00975C4E"/>
    <w:rsid w:val="00980283"/>
    <w:rsid w:val="00981FBA"/>
    <w:rsid w:val="00990635"/>
    <w:rsid w:val="00997BC5"/>
    <w:rsid w:val="009A4F41"/>
    <w:rsid w:val="009B381B"/>
    <w:rsid w:val="009D1753"/>
    <w:rsid w:val="009D7611"/>
    <w:rsid w:val="009E0B61"/>
    <w:rsid w:val="009E53DE"/>
    <w:rsid w:val="00A328B3"/>
    <w:rsid w:val="00A4784D"/>
    <w:rsid w:val="00A50FCF"/>
    <w:rsid w:val="00A528D1"/>
    <w:rsid w:val="00A610CD"/>
    <w:rsid w:val="00AA09A2"/>
    <w:rsid w:val="00AA7996"/>
    <w:rsid w:val="00AC19CB"/>
    <w:rsid w:val="00AD2B99"/>
    <w:rsid w:val="00AE5488"/>
    <w:rsid w:val="00AE6F91"/>
    <w:rsid w:val="00AF5571"/>
    <w:rsid w:val="00B07341"/>
    <w:rsid w:val="00B30539"/>
    <w:rsid w:val="00B314DB"/>
    <w:rsid w:val="00B361F2"/>
    <w:rsid w:val="00B3718B"/>
    <w:rsid w:val="00B4632A"/>
    <w:rsid w:val="00B51441"/>
    <w:rsid w:val="00B530F1"/>
    <w:rsid w:val="00B568B8"/>
    <w:rsid w:val="00B71397"/>
    <w:rsid w:val="00BA276C"/>
    <w:rsid w:val="00BB306F"/>
    <w:rsid w:val="00BD4B89"/>
    <w:rsid w:val="00BF6FD8"/>
    <w:rsid w:val="00C03680"/>
    <w:rsid w:val="00C03742"/>
    <w:rsid w:val="00C054DF"/>
    <w:rsid w:val="00C21492"/>
    <w:rsid w:val="00C21762"/>
    <w:rsid w:val="00C24543"/>
    <w:rsid w:val="00C256A2"/>
    <w:rsid w:val="00C51515"/>
    <w:rsid w:val="00C5660B"/>
    <w:rsid w:val="00C66B72"/>
    <w:rsid w:val="00C9567A"/>
    <w:rsid w:val="00CB212D"/>
    <w:rsid w:val="00CB2295"/>
    <w:rsid w:val="00CB2660"/>
    <w:rsid w:val="00CC5E90"/>
    <w:rsid w:val="00CD046C"/>
    <w:rsid w:val="00CE076C"/>
    <w:rsid w:val="00CE5199"/>
    <w:rsid w:val="00CE66D5"/>
    <w:rsid w:val="00CF2395"/>
    <w:rsid w:val="00CF637A"/>
    <w:rsid w:val="00D059DE"/>
    <w:rsid w:val="00D13FCE"/>
    <w:rsid w:val="00D306D1"/>
    <w:rsid w:val="00D34786"/>
    <w:rsid w:val="00D37BFC"/>
    <w:rsid w:val="00D47A8E"/>
    <w:rsid w:val="00D52D14"/>
    <w:rsid w:val="00D712D3"/>
    <w:rsid w:val="00D71422"/>
    <w:rsid w:val="00D72DC6"/>
    <w:rsid w:val="00D7558D"/>
    <w:rsid w:val="00D81D92"/>
    <w:rsid w:val="00D93CFC"/>
    <w:rsid w:val="00DA7B5F"/>
    <w:rsid w:val="00DC11E7"/>
    <w:rsid w:val="00DC2F2C"/>
    <w:rsid w:val="00DC7023"/>
    <w:rsid w:val="00DC769A"/>
    <w:rsid w:val="00DD3D86"/>
    <w:rsid w:val="00DD4B0F"/>
    <w:rsid w:val="00E0340B"/>
    <w:rsid w:val="00E219C7"/>
    <w:rsid w:val="00E43157"/>
    <w:rsid w:val="00E461CE"/>
    <w:rsid w:val="00E708BE"/>
    <w:rsid w:val="00E720CA"/>
    <w:rsid w:val="00E84EB5"/>
    <w:rsid w:val="00E85662"/>
    <w:rsid w:val="00E8789F"/>
    <w:rsid w:val="00E97B71"/>
    <w:rsid w:val="00EA3D34"/>
    <w:rsid w:val="00EB454D"/>
    <w:rsid w:val="00ED76BE"/>
    <w:rsid w:val="00EF619B"/>
    <w:rsid w:val="00F00B55"/>
    <w:rsid w:val="00F02AD1"/>
    <w:rsid w:val="00F24231"/>
    <w:rsid w:val="00F253CC"/>
    <w:rsid w:val="00F34092"/>
    <w:rsid w:val="00F37106"/>
    <w:rsid w:val="00F519CF"/>
    <w:rsid w:val="00F56BA5"/>
    <w:rsid w:val="00F60E22"/>
    <w:rsid w:val="00F63CD2"/>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557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6557DF"/>
    <w:rPr>
      <w:rFonts w:asciiTheme="majorHAnsi" w:eastAsiaTheme="majorEastAsia" w:hAnsiTheme="majorHAnsi" w:cstheme="majorBidi"/>
      <w:b/>
      <w:bCs/>
      <w:color w:val="4F81BD"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557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6557DF"/>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1DEE-881F-4065-82F5-73B5A656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3347</Words>
  <Characters>19082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21</cp:revision>
  <cp:lastPrinted>2014-09-23T14:14:00Z</cp:lastPrinted>
  <dcterms:created xsi:type="dcterms:W3CDTF">2014-07-25T13:49:00Z</dcterms:created>
  <dcterms:modified xsi:type="dcterms:W3CDTF">2015-02-20T18:12:00Z</dcterms:modified>
</cp:coreProperties>
</file>