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2A" w:rsidRPr="002A4705" w:rsidRDefault="00324E2A" w:rsidP="00324E2A">
      <w:pPr>
        <w:jc w:val="both"/>
        <w:rPr>
          <w:rFonts w:cs="Univers"/>
          <w:b/>
          <w:bCs/>
          <w:szCs w:val="20"/>
          <w:lang w:val="es-ES_tradnl"/>
        </w:rPr>
      </w:pPr>
      <w:bookmarkStart w:id="0" w:name="_GoBack"/>
      <w:bookmarkEnd w:id="0"/>
      <w:r w:rsidRPr="002A4705">
        <w:rPr>
          <w:noProof/>
          <w:szCs w:val="20"/>
          <w:lang w:val="es-ES_tradnl" w:eastAsia="es-ES"/>
        </w:rPr>
        <w:pict>
          <v:rect id="Rectangle 1" o:spid="_x0000_s1026" style="position:absolute;left:0;text-align:left;margin-left:-32.75pt;margin-top:-34.6pt;width:121.5pt;height:716.2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w:r>
      <w:r w:rsidRPr="002A4705">
        <w:rPr>
          <w:noProof/>
          <w:szCs w:val="20"/>
          <w:lang w:val="es-ES_tradnl" w:eastAsia="es-ES"/>
        </w:rPr>
        <w:pict>
          <v:shapetype id="_x0000_t202" coordsize="21600,21600" o:spt="202" path="m,l,21600r21600,l21600,xe">
            <v:stroke joinstyle="miter"/>
            <v:path gradientshapeok="t" o:connecttype="rect"/>
          </v:shapetype>
          <v:shape id="Text Box 11" o:spid="_x0000_s1030" type="#_x0000_t202" style="position:absolute;left:0;text-align:left;margin-left:100.95pt;margin-top:-33.4pt;width:413.25pt;height:7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324E2A" w:rsidRDefault="00324E2A" w:rsidP="00324E2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style="width:207pt;height:39pt;visibility:visible">
                        <v:imagedata r:id="rId8" o:title=""/>
                      </v:shape>
                    </w:pict>
                  </w:r>
                  <w:r>
                    <w:tab/>
                    <w:t xml:space="preserve">                              </w:t>
                  </w:r>
                </w:p>
              </w:txbxContent>
            </v:textbox>
          </v:shape>
        </w:pict>
      </w:r>
    </w:p>
    <w:p w:rsidR="00324E2A" w:rsidRPr="002A4705" w:rsidRDefault="00324E2A" w:rsidP="00324E2A">
      <w:pPr>
        <w:tabs>
          <w:tab w:val="center" w:pos="5400"/>
        </w:tabs>
        <w:suppressAutoHyphens/>
        <w:jc w:val="both"/>
        <w:rPr>
          <w:szCs w:val="20"/>
          <w:lang w:val="es-ES_tradnl"/>
        </w:rPr>
      </w:pPr>
    </w:p>
    <w:p w:rsidR="00324E2A" w:rsidRPr="002A4705" w:rsidRDefault="00324E2A" w:rsidP="00324E2A">
      <w:pPr>
        <w:tabs>
          <w:tab w:val="center" w:pos="5400"/>
        </w:tabs>
        <w:suppressAutoHyphens/>
        <w:jc w:val="both"/>
        <w:rPr>
          <w:szCs w:val="20"/>
          <w:lang w:val="es-ES_tradnl"/>
        </w:rPr>
      </w:pPr>
    </w:p>
    <w:p w:rsidR="00324E2A" w:rsidRPr="002A4705" w:rsidRDefault="00324E2A" w:rsidP="00324E2A">
      <w:pPr>
        <w:tabs>
          <w:tab w:val="center" w:pos="5400"/>
        </w:tabs>
        <w:suppressAutoHyphens/>
        <w:rPr>
          <w:szCs w:val="20"/>
          <w:lang w:val="es-ES_tradnl"/>
        </w:rPr>
      </w:pPr>
    </w:p>
    <w:p w:rsidR="00324E2A" w:rsidRPr="002A4705" w:rsidRDefault="00324E2A" w:rsidP="00324E2A">
      <w:pPr>
        <w:tabs>
          <w:tab w:val="center" w:pos="5400"/>
        </w:tabs>
        <w:suppressAutoHyphens/>
        <w:rPr>
          <w:szCs w:val="20"/>
          <w:lang w:val="es-ES_tradnl"/>
        </w:rPr>
      </w:pPr>
    </w:p>
    <w:p w:rsidR="00324E2A" w:rsidRPr="002A4705" w:rsidRDefault="00324E2A" w:rsidP="00324E2A">
      <w:pPr>
        <w:tabs>
          <w:tab w:val="center" w:pos="5400"/>
        </w:tabs>
        <w:suppressAutoHyphens/>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r w:rsidRPr="002A4705">
        <w:rPr>
          <w:noProof/>
          <w:szCs w:val="20"/>
          <w:lang w:val="es-ES_tradnl" w:eastAsia="es-ES"/>
        </w:rPr>
        <w:pict>
          <v:shape id="Text Box 5" o:spid="_x0000_s1027" type="#_x0000_t202" style="position:absolute;left:0;text-align:left;margin-left:106.5pt;margin-top:8.45pt;width:349.7pt;height:171.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324E2A" w:rsidRPr="0085585E" w:rsidRDefault="00324E2A" w:rsidP="00324E2A">
                  <w:pPr>
                    <w:spacing w:line="276" w:lineRule="auto"/>
                    <w:rPr>
                      <w:rFonts w:cs="Arial"/>
                      <w:b/>
                      <w:bCs/>
                      <w:color w:val="0D0D0D"/>
                      <w:sz w:val="36"/>
                      <w:szCs w:val="22"/>
                      <w:lang w:val="es-ES_tradnl"/>
                    </w:rPr>
                  </w:pPr>
                  <w:r w:rsidRPr="0085585E">
                    <w:rPr>
                      <w:rFonts w:cs="Arial"/>
                      <w:b/>
                      <w:bCs/>
                      <w:color w:val="0D0D0D"/>
                      <w:sz w:val="36"/>
                      <w:szCs w:val="22"/>
                      <w:lang w:val="es-ES_tradnl"/>
                    </w:rPr>
                    <w:t xml:space="preserve">INFORME </w:t>
                  </w:r>
                  <w:r w:rsidRPr="0005546B">
                    <w:rPr>
                      <w:rFonts w:cs="Arial"/>
                      <w:b/>
                      <w:bCs/>
                      <w:color w:val="0D0D0D"/>
                      <w:sz w:val="36"/>
                      <w:szCs w:val="40"/>
                      <w:lang w:val="es-ES"/>
                    </w:rPr>
                    <w:t>No.</w:t>
                  </w:r>
                  <w:r w:rsidR="00786CF0">
                    <w:rPr>
                      <w:rFonts w:cs="Arial"/>
                      <w:b/>
                      <w:bCs/>
                      <w:color w:val="0D0D0D"/>
                      <w:sz w:val="36"/>
                      <w:szCs w:val="22"/>
                      <w:lang w:val="es-ES_tradnl"/>
                    </w:rPr>
                    <w:t xml:space="preserve"> 105</w:t>
                  </w:r>
                  <w:r w:rsidRPr="0085585E">
                    <w:rPr>
                      <w:rFonts w:cs="Arial"/>
                      <w:b/>
                      <w:bCs/>
                      <w:color w:val="0D0D0D"/>
                      <w:sz w:val="36"/>
                      <w:szCs w:val="22"/>
                      <w:lang w:val="es-ES_tradnl"/>
                    </w:rPr>
                    <w:t>/14</w:t>
                  </w:r>
                </w:p>
                <w:p w:rsidR="00324E2A" w:rsidRPr="0085585E" w:rsidRDefault="00324E2A" w:rsidP="00324E2A">
                  <w:pPr>
                    <w:spacing w:line="276" w:lineRule="auto"/>
                    <w:rPr>
                      <w:rFonts w:cs="Arial"/>
                      <w:b/>
                      <w:color w:val="0D0D0D"/>
                      <w:sz w:val="36"/>
                      <w:szCs w:val="22"/>
                      <w:lang w:val="es-ES_tradnl"/>
                    </w:rPr>
                  </w:pPr>
                  <w:r>
                    <w:rPr>
                      <w:rFonts w:cs="Arial"/>
                      <w:b/>
                      <w:color w:val="0D0D0D"/>
                      <w:sz w:val="36"/>
                      <w:szCs w:val="22"/>
                      <w:lang w:val="es-ES_tradnl"/>
                    </w:rPr>
                    <w:t>PETI</w:t>
                  </w:r>
                  <w:r w:rsidR="00811B56">
                    <w:rPr>
                      <w:rFonts w:cs="Arial"/>
                      <w:b/>
                      <w:color w:val="0D0D0D"/>
                      <w:sz w:val="36"/>
                      <w:szCs w:val="22"/>
                      <w:lang w:val="es-ES_tradnl"/>
                    </w:rPr>
                    <w:t>CIÓN 590-01</w:t>
                  </w:r>
                </w:p>
                <w:p w:rsidR="00324E2A" w:rsidRPr="00F770D6" w:rsidRDefault="00324E2A" w:rsidP="00324E2A">
                  <w:pPr>
                    <w:spacing w:line="276" w:lineRule="auto"/>
                    <w:rPr>
                      <w:rFonts w:cs="Arial"/>
                      <w:color w:val="0D0D0D"/>
                      <w:sz w:val="24"/>
                      <w:lang w:val="es-ES_tradnl"/>
                    </w:rPr>
                  </w:pPr>
                  <w:r w:rsidRPr="00A6276A">
                    <w:rPr>
                      <w:rFonts w:eastAsia="Arial Unicode MS" w:cs="Arial"/>
                      <w:color w:val="0D0D0D"/>
                      <w:sz w:val="24"/>
                      <w:szCs w:val="22"/>
                      <w:bdr w:val="nil"/>
                      <w:lang w:val="es-ES_tradnl"/>
                    </w:rPr>
                    <w:t>INFORME</w:t>
                  </w:r>
                  <w:r w:rsidRPr="00F770D6">
                    <w:rPr>
                      <w:rFonts w:cs="Arial"/>
                      <w:color w:val="0D0D0D"/>
                      <w:sz w:val="24"/>
                      <w:lang w:val="es-ES_tradnl"/>
                    </w:rPr>
                    <w:t xml:space="preserve"> DE </w:t>
                  </w:r>
                  <w:r w:rsidRPr="00A6276A">
                    <w:rPr>
                      <w:rFonts w:eastAsia="Arial Unicode MS" w:cs="Arial"/>
                      <w:color w:val="0D0D0D"/>
                      <w:sz w:val="24"/>
                      <w:szCs w:val="22"/>
                      <w:bdr w:val="nil"/>
                      <w:lang w:val="es-ES_tradnl"/>
                    </w:rPr>
                    <w:t>ARCHIVO</w:t>
                  </w:r>
                </w:p>
                <w:p w:rsidR="00856B9F" w:rsidRDefault="00856B9F" w:rsidP="00324E2A">
                  <w:pPr>
                    <w:spacing w:line="276" w:lineRule="auto"/>
                    <w:rPr>
                      <w:rFonts w:cs="Arial"/>
                      <w:color w:val="0D0D0D"/>
                      <w:szCs w:val="22"/>
                      <w:lang w:val="pt-BR"/>
                    </w:rPr>
                  </w:pPr>
                </w:p>
                <w:p w:rsidR="00811B56" w:rsidRPr="00F770D6" w:rsidRDefault="00811B56" w:rsidP="00324E2A">
                  <w:pPr>
                    <w:spacing w:line="276" w:lineRule="auto"/>
                    <w:rPr>
                      <w:rFonts w:cs="Arial"/>
                      <w:color w:val="0D0D0D"/>
                      <w:sz w:val="24"/>
                      <w:lang w:val="pt-BR"/>
                    </w:rPr>
                  </w:pPr>
                  <w:r w:rsidRPr="00A6276A">
                    <w:rPr>
                      <w:rFonts w:eastAsia="Arial Unicode MS" w:cs="Arial"/>
                      <w:color w:val="0D0D0D"/>
                      <w:sz w:val="24"/>
                      <w:szCs w:val="22"/>
                      <w:bdr w:val="nil"/>
                      <w:lang w:val="es-ES_tradnl"/>
                    </w:rPr>
                    <w:t>CATALINA</w:t>
                  </w:r>
                  <w:r w:rsidRPr="00F770D6">
                    <w:rPr>
                      <w:rFonts w:cs="Arial"/>
                      <w:color w:val="0D0D0D"/>
                      <w:sz w:val="24"/>
                      <w:lang w:val="pt-BR"/>
                    </w:rPr>
                    <w:t xml:space="preserve"> MARIA ADAMSON PERKINS</w:t>
                  </w:r>
                </w:p>
                <w:p w:rsidR="00324E2A" w:rsidRPr="00F770D6" w:rsidRDefault="00324E2A" w:rsidP="00324E2A">
                  <w:pPr>
                    <w:spacing w:line="276" w:lineRule="auto"/>
                    <w:rPr>
                      <w:rFonts w:cs="Arial"/>
                      <w:color w:val="0D0D0D"/>
                      <w:sz w:val="24"/>
                      <w:lang w:val="pt-BR"/>
                    </w:rPr>
                  </w:pPr>
                  <w:r w:rsidRPr="00F770D6">
                    <w:rPr>
                      <w:rFonts w:cs="Arial"/>
                      <w:color w:val="0D0D0D"/>
                      <w:sz w:val="24"/>
                      <w:lang w:val="pt-BR"/>
                    </w:rPr>
                    <w:t>ARGENTINA</w:t>
                  </w:r>
                </w:p>
                <w:p w:rsidR="00324E2A" w:rsidRPr="00811B56" w:rsidRDefault="00324E2A" w:rsidP="00324E2A">
                  <w:pPr>
                    <w:rPr>
                      <w:color w:val="0D0D0D"/>
                      <w:lang w:val="pt-BR"/>
                    </w:rPr>
                  </w:pPr>
                </w:p>
              </w:txbxContent>
            </v:textbox>
          </v:shape>
        </w:pict>
      </w:r>
      <w:r w:rsidRPr="002A4705">
        <w:rPr>
          <w:noProof/>
          <w:szCs w:val="20"/>
          <w:lang w:val="es-ES_tradnl" w:eastAsia="es-ES"/>
        </w:rPr>
        <w:pict>
          <v:shape id="Text Box 8" o:spid="_x0000_s1029" type="#_x0000_t202" style="position:absolute;left:0;text-align:left;margin-left:-27pt;margin-top:12.95pt;width:109.5pt;height:10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324E2A" w:rsidRPr="00786CF0" w:rsidRDefault="00324E2A" w:rsidP="00324E2A">
                  <w:pPr>
                    <w:spacing w:line="276" w:lineRule="auto"/>
                    <w:jc w:val="right"/>
                    <w:rPr>
                      <w:rFonts w:ascii="Calibri" w:hAnsi="Calibri"/>
                      <w:color w:val="FFFFFF"/>
                      <w:sz w:val="22"/>
                      <w:lang w:val="es-PE"/>
                    </w:rPr>
                  </w:pPr>
                  <w:r w:rsidRPr="00786CF0">
                    <w:rPr>
                      <w:rFonts w:ascii="Calibri" w:hAnsi="Calibri"/>
                      <w:color w:val="FFFFFF"/>
                      <w:sz w:val="22"/>
                      <w:lang w:val="es-PE"/>
                    </w:rPr>
                    <w:t>O</w:t>
                  </w:r>
                  <w:r w:rsidR="00072CD3" w:rsidRPr="00786CF0">
                    <w:rPr>
                      <w:rFonts w:ascii="Calibri" w:hAnsi="Calibri"/>
                      <w:color w:val="FFFFFF"/>
                      <w:sz w:val="22"/>
                      <w:lang w:val="es-PE"/>
                    </w:rPr>
                    <w:t>EA/Ser.</w:t>
                  </w:r>
                  <w:r w:rsidR="00786CF0">
                    <w:rPr>
                      <w:rFonts w:ascii="Calibri" w:hAnsi="Calibri"/>
                      <w:color w:val="FFFFFF"/>
                      <w:sz w:val="22"/>
                      <w:lang w:val="es-PE"/>
                    </w:rPr>
                    <w:t xml:space="preserve"> </w:t>
                  </w:r>
                  <w:r w:rsidR="00072CD3" w:rsidRPr="00786CF0">
                    <w:rPr>
                      <w:rFonts w:ascii="Calibri" w:hAnsi="Calibri"/>
                      <w:color w:val="FFFFFF"/>
                      <w:sz w:val="22"/>
                      <w:lang w:val="es-PE"/>
                    </w:rPr>
                    <w:t>L/V/II.153</w:t>
                  </w:r>
                </w:p>
                <w:p w:rsidR="00324E2A" w:rsidRPr="00786CF0" w:rsidRDefault="00786CF0" w:rsidP="00324E2A">
                  <w:pPr>
                    <w:spacing w:line="276" w:lineRule="auto"/>
                    <w:jc w:val="right"/>
                    <w:rPr>
                      <w:rFonts w:ascii="Calibri" w:hAnsi="Calibri"/>
                      <w:color w:val="FFFFFF"/>
                      <w:sz w:val="22"/>
                      <w:lang w:val="es-PE"/>
                    </w:rPr>
                  </w:pPr>
                  <w:r w:rsidRPr="00786CF0">
                    <w:rPr>
                      <w:rFonts w:ascii="Calibri" w:hAnsi="Calibri"/>
                      <w:color w:val="FFFFFF"/>
                      <w:sz w:val="22"/>
                      <w:lang w:val="es-PE"/>
                    </w:rPr>
                    <w:t>Doc. 2</w:t>
                  </w:r>
                  <w:r>
                    <w:rPr>
                      <w:rFonts w:ascii="Calibri" w:hAnsi="Calibri"/>
                      <w:color w:val="FFFFFF"/>
                      <w:sz w:val="22"/>
                      <w:lang w:val="es-PE"/>
                    </w:rPr>
                    <w:t>1</w:t>
                  </w:r>
                </w:p>
                <w:p w:rsidR="00324E2A" w:rsidRPr="00DB1D9B" w:rsidRDefault="00786CF0" w:rsidP="00324E2A">
                  <w:pPr>
                    <w:spacing w:line="276" w:lineRule="auto"/>
                    <w:jc w:val="right"/>
                    <w:rPr>
                      <w:rFonts w:ascii="Calibri" w:hAnsi="Calibri"/>
                      <w:color w:val="FFFFFF"/>
                      <w:sz w:val="22"/>
                      <w:lang w:val="es-ES"/>
                    </w:rPr>
                  </w:pPr>
                  <w:r>
                    <w:rPr>
                      <w:rFonts w:ascii="Calibri" w:hAnsi="Calibri"/>
                      <w:color w:val="FFFFFF"/>
                      <w:sz w:val="22"/>
                      <w:lang w:val="es-ES"/>
                    </w:rPr>
                    <w:t>7 noviembre</w:t>
                  </w:r>
                  <w:r w:rsidR="00324E2A" w:rsidRPr="00DB1D9B">
                    <w:rPr>
                      <w:rFonts w:ascii="Calibri" w:hAnsi="Calibri"/>
                      <w:color w:val="FFFFFF"/>
                      <w:sz w:val="22"/>
                      <w:lang w:val="es-ES"/>
                    </w:rPr>
                    <w:t xml:space="preserve"> </w:t>
                  </w:r>
                  <w:r w:rsidR="00377BC8">
                    <w:rPr>
                      <w:rFonts w:ascii="Calibri" w:hAnsi="Calibri"/>
                      <w:color w:val="FFFFFF"/>
                      <w:sz w:val="22"/>
                      <w:lang w:val="es-ES"/>
                    </w:rPr>
                    <w:t>2</w:t>
                  </w:r>
                  <w:r w:rsidR="00324E2A" w:rsidRPr="00DB1D9B">
                    <w:rPr>
                      <w:rFonts w:ascii="Calibri" w:hAnsi="Calibri"/>
                      <w:color w:val="FFFFFF"/>
                      <w:sz w:val="22"/>
                      <w:lang w:val="es-ES"/>
                    </w:rPr>
                    <w:t>014</w:t>
                  </w:r>
                </w:p>
                <w:p w:rsidR="00324E2A" w:rsidRPr="00DB1D9B" w:rsidRDefault="00324E2A" w:rsidP="00324E2A">
                  <w:pPr>
                    <w:spacing w:line="276" w:lineRule="auto"/>
                    <w:jc w:val="right"/>
                    <w:rPr>
                      <w:rFonts w:ascii="Calibri" w:hAnsi="Calibri"/>
                      <w:color w:val="FFFFFF"/>
                      <w:sz w:val="22"/>
                      <w:lang w:val="es-ES"/>
                    </w:rPr>
                  </w:pPr>
                  <w:r w:rsidRPr="00DB1D9B">
                    <w:rPr>
                      <w:rFonts w:ascii="Calibri" w:hAnsi="Calibri"/>
                      <w:color w:val="FFFFFF"/>
                      <w:sz w:val="22"/>
                      <w:lang w:val="es-ES"/>
                    </w:rPr>
                    <w:t>Original: español</w:t>
                  </w:r>
                </w:p>
              </w:txbxContent>
            </v:textbox>
          </v:shape>
        </w:pict>
      </w: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rFonts w:cs="Arial"/>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r w:rsidRPr="002A4705">
        <w:rPr>
          <w:noProof/>
          <w:szCs w:val="20"/>
          <w:lang w:val="es-ES_tradnl" w:eastAsia="es-ES"/>
        </w:rPr>
        <w:pict>
          <v:shape id="Text Box 7" o:spid="_x0000_s1028" type="#_x0000_t202" style="position:absolute;left:0;text-align:left;margin-left:105.65pt;margin-top:1.8pt;width:388.5pt;height:52.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24E2A" w:rsidRPr="0085585E" w:rsidRDefault="00324E2A" w:rsidP="00FE2E22">
                  <w:pPr>
                    <w:tabs>
                      <w:tab w:val="center" w:pos="5400"/>
                    </w:tabs>
                    <w:suppressAutoHyphens/>
                    <w:spacing w:before="60"/>
                    <w:jc w:val="both"/>
                    <w:rPr>
                      <w:rFonts w:cs="Univers"/>
                      <w:color w:val="0D0D0D"/>
                      <w:sz w:val="18"/>
                      <w:szCs w:val="20"/>
                      <w:lang w:val="es-ES_tradnl"/>
                    </w:rPr>
                  </w:pPr>
                  <w:r w:rsidRPr="0085585E">
                    <w:rPr>
                      <w:color w:val="0D0D0D"/>
                      <w:sz w:val="18"/>
                      <w:szCs w:val="20"/>
                      <w:lang w:val="es-ES"/>
                    </w:rPr>
                    <w:t>Aprobado por la Comisión en su sesión</w:t>
                  </w:r>
                  <w:r w:rsidR="00786CF0">
                    <w:rPr>
                      <w:color w:val="0D0D0D"/>
                      <w:sz w:val="18"/>
                      <w:szCs w:val="20"/>
                      <w:lang w:val="es-ES"/>
                    </w:rPr>
                    <w:t xml:space="preserve"> No. 2016 celebrada el 7 de noviembre</w:t>
                  </w:r>
                  <w:r w:rsidR="0023273B">
                    <w:rPr>
                      <w:color w:val="0D0D0D"/>
                      <w:sz w:val="18"/>
                      <w:szCs w:val="20"/>
                      <w:lang w:val="es-ES"/>
                    </w:rPr>
                    <w:t xml:space="preserve"> </w:t>
                  </w:r>
                  <w:r w:rsidRPr="0085585E">
                    <w:rPr>
                      <w:color w:val="0D0D0D"/>
                      <w:sz w:val="18"/>
                      <w:szCs w:val="20"/>
                      <w:lang w:val="es-ES"/>
                    </w:rPr>
                    <w:t>de 2014</w:t>
                  </w:r>
                  <w:r w:rsidRPr="0085585E">
                    <w:rPr>
                      <w:color w:val="0D0D0D"/>
                      <w:sz w:val="18"/>
                      <w:szCs w:val="20"/>
                      <w:lang w:val="es-ES"/>
                    </w:rPr>
                    <w:br/>
                  </w:r>
                  <w:r w:rsidRPr="0085585E">
                    <w:rPr>
                      <w:rFonts w:cs="Univers"/>
                      <w:color w:val="0D0D0D"/>
                      <w:sz w:val="18"/>
                      <w:szCs w:val="20"/>
                      <w:lang w:val="es-ES_tradnl"/>
                    </w:rPr>
                    <w:t>15</w:t>
                  </w:r>
                  <w:r w:rsidR="00072CD3">
                    <w:rPr>
                      <w:rFonts w:cs="Univers"/>
                      <w:color w:val="0D0D0D"/>
                      <w:sz w:val="18"/>
                      <w:szCs w:val="20"/>
                      <w:lang w:val="es-ES_tradnl"/>
                    </w:rPr>
                    <w:t>3</w:t>
                  </w:r>
                  <w:r w:rsidRPr="0085585E">
                    <w:rPr>
                      <w:rFonts w:cs="Univers"/>
                      <w:color w:val="0D0D0D"/>
                      <w:sz w:val="18"/>
                      <w:szCs w:val="20"/>
                      <w:lang w:val="es-ES_tradnl"/>
                    </w:rPr>
                    <w:t xml:space="preserve"> período ordinario de sesiones</w:t>
                  </w:r>
                </w:p>
                <w:p w:rsidR="00324E2A" w:rsidRPr="0085585E" w:rsidRDefault="00324E2A" w:rsidP="00FE2E22">
                  <w:pPr>
                    <w:tabs>
                      <w:tab w:val="center" w:pos="5400"/>
                    </w:tabs>
                    <w:suppressAutoHyphens/>
                    <w:spacing w:before="60"/>
                    <w:jc w:val="both"/>
                    <w:rPr>
                      <w:rFonts w:ascii="Calibri" w:hAnsi="Calibri"/>
                      <w:color w:val="FFFFFF"/>
                      <w:spacing w:val="-2"/>
                      <w:sz w:val="16"/>
                      <w:lang w:val="es-ES"/>
                    </w:rPr>
                  </w:pPr>
                </w:p>
              </w:txbxContent>
            </v:textbox>
          </v:shape>
        </w:pict>
      </w: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szCs w:val="20"/>
          <w:lang w:val="es-ES_tradnl"/>
        </w:rPr>
      </w:pPr>
      <w:r w:rsidRPr="002A4705">
        <w:rPr>
          <w:noProof/>
          <w:szCs w:val="20"/>
          <w:lang w:val="es-ES_tradnl" w:eastAsia="es-ES"/>
        </w:rPr>
        <w:pict>
          <v:shape id="Text Box 10" o:spid="_x0000_s1031" type="#_x0000_t202" style="position:absolute;left:0;text-align:left;margin-left:105pt;margin-top:.45pt;width:389.25pt;height:5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324E2A" w:rsidRPr="00DB1D9B" w:rsidRDefault="00324E2A" w:rsidP="00786CF0">
                  <w:pPr>
                    <w:spacing w:line="276" w:lineRule="auto"/>
                    <w:jc w:val="both"/>
                    <w:rPr>
                      <w:color w:val="595959"/>
                      <w:sz w:val="18"/>
                      <w:szCs w:val="18"/>
                      <w:lang w:val="es-ES"/>
                    </w:rPr>
                  </w:pPr>
                  <w:r w:rsidRPr="0085585E">
                    <w:rPr>
                      <w:b/>
                      <w:color w:val="595959"/>
                      <w:sz w:val="18"/>
                      <w:szCs w:val="18"/>
                      <w:lang w:val="pt-BR"/>
                    </w:rPr>
                    <w:t>Citar como:</w:t>
                  </w:r>
                  <w:r w:rsidRPr="0085585E">
                    <w:rPr>
                      <w:color w:val="595959"/>
                      <w:sz w:val="18"/>
                      <w:szCs w:val="18"/>
                      <w:lang w:val="pt-BR"/>
                    </w:rPr>
                    <w:t xml:space="preserve"> CIDH, Informe No. </w:t>
                  </w:r>
                  <w:r w:rsidR="00786CF0">
                    <w:rPr>
                      <w:color w:val="595959"/>
                      <w:sz w:val="18"/>
                      <w:szCs w:val="18"/>
                      <w:lang w:val="es-ES_tradnl"/>
                    </w:rPr>
                    <w:t>105/14</w:t>
                  </w:r>
                  <w:r>
                    <w:rPr>
                      <w:color w:val="595959"/>
                      <w:sz w:val="18"/>
                      <w:szCs w:val="18"/>
                      <w:lang w:val="es-ES_tradnl"/>
                    </w:rPr>
                    <w:t>,</w:t>
                  </w:r>
                  <w:r w:rsidR="00786CF0">
                    <w:rPr>
                      <w:color w:val="595959"/>
                      <w:sz w:val="18"/>
                      <w:szCs w:val="18"/>
                      <w:lang w:val="es-ES_tradnl"/>
                    </w:rPr>
                    <w:t xml:space="preserve"> </w:t>
                  </w:r>
                  <w:r>
                    <w:rPr>
                      <w:color w:val="595959"/>
                      <w:sz w:val="18"/>
                      <w:szCs w:val="18"/>
                      <w:lang w:val="es-ES_tradnl"/>
                    </w:rPr>
                    <w:t>Pe</w:t>
                  </w:r>
                  <w:r w:rsidR="00786CF0">
                    <w:rPr>
                      <w:color w:val="595959"/>
                      <w:sz w:val="18"/>
                      <w:szCs w:val="18"/>
                      <w:lang w:val="es-ES_tradnl"/>
                    </w:rPr>
                    <w:t xml:space="preserve">tición </w:t>
                  </w:r>
                  <w:r w:rsidR="00811B56">
                    <w:rPr>
                      <w:color w:val="595959"/>
                      <w:sz w:val="18"/>
                      <w:szCs w:val="18"/>
                      <w:lang w:val="es-ES_tradnl"/>
                    </w:rPr>
                    <w:t>590-01</w:t>
                  </w:r>
                  <w:r w:rsidRPr="0085585E">
                    <w:rPr>
                      <w:color w:val="595959"/>
                      <w:sz w:val="18"/>
                      <w:szCs w:val="18"/>
                      <w:lang w:val="es-ES_tradnl"/>
                    </w:rPr>
                    <w:t xml:space="preserve">. </w:t>
                  </w:r>
                  <w:r w:rsidR="00D53A94">
                    <w:rPr>
                      <w:color w:val="595959"/>
                      <w:sz w:val="18"/>
                      <w:szCs w:val="18"/>
                      <w:lang w:val="es-ES_tradnl"/>
                    </w:rPr>
                    <w:t>Archivo</w:t>
                  </w:r>
                  <w:r w:rsidR="0023273B">
                    <w:rPr>
                      <w:color w:val="595959"/>
                      <w:sz w:val="18"/>
                      <w:szCs w:val="18"/>
                      <w:lang w:val="es-ES_tradnl"/>
                    </w:rPr>
                    <w:t xml:space="preserve">, </w:t>
                  </w:r>
                  <w:r w:rsidR="00811B56">
                    <w:rPr>
                      <w:color w:val="595959"/>
                      <w:sz w:val="18"/>
                      <w:szCs w:val="18"/>
                      <w:lang w:val="es-ES_tradnl"/>
                    </w:rPr>
                    <w:t xml:space="preserve">Catalina </w:t>
                  </w:r>
                  <w:r w:rsidR="00EB6828">
                    <w:rPr>
                      <w:color w:val="595959"/>
                      <w:sz w:val="18"/>
                      <w:szCs w:val="18"/>
                      <w:lang w:val="es-ES_tradnl"/>
                    </w:rPr>
                    <w:t>Marí</w:t>
                  </w:r>
                  <w:r w:rsidR="00811B56">
                    <w:rPr>
                      <w:color w:val="595959"/>
                      <w:sz w:val="18"/>
                      <w:szCs w:val="18"/>
                      <w:lang w:val="es-ES_tradnl"/>
                    </w:rPr>
                    <w:t>a Adamson Perkins</w:t>
                  </w:r>
                  <w:r>
                    <w:rPr>
                      <w:color w:val="595959"/>
                      <w:sz w:val="18"/>
                      <w:szCs w:val="18"/>
                      <w:lang w:val="es-ES_tradnl"/>
                    </w:rPr>
                    <w:t>.</w:t>
                  </w:r>
                  <w:r w:rsidR="00D01443">
                    <w:rPr>
                      <w:color w:val="595959"/>
                      <w:sz w:val="18"/>
                      <w:szCs w:val="18"/>
                      <w:lang w:val="es-ES_tradnl"/>
                    </w:rPr>
                    <w:t xml:space="preserve"> </w:t>
                  </w:r>
                  <w:r>
                    <w:rPr>
                      <w:color w:val="595959"/>
                      <w:sz w:val="18"/>
                      <w:szCs w:val="18"/>
                      <w:lang w:val="es-ES_tradnl"/>
                    </w:rPr>
                    <w:t>Argentina</w:t>
                  </w:r>
                  <w:r w:rsidRPr="0085585E">
                    <w:rPr>
                      <w:color w:val="595959"/>
                      <w:sz w:val="18"/>
                      <w:szCs w:val="18"/>
                      <w:lang w:val="es-ES_tradnl"/>
                    </w:rPr>
                    <w:t xml:space="preserve">. </w:t>
                  </w:r>
                  <w:r w:rsidR="00786CF0">
                    <w:rPr>
                      <w:color w:val="595959"/>
                      <w:sz w:val="18"/>
                      <w:szCs w:val="18"/>
                      <w:lang w:val="es-ES_tradnl"/>
                    </w:rPr>
                    <w:t>7 de noviembre</w:t>
                  </w:r>
                  <w:r w:rsidR="00D01443">
                    <w:rPr>
                      <w:color w:val="595959"/>
                      <w:sz w:val="18"/>
                      <w:szCs w:val="18"/>
                      <w:lang w:val="es-ES_tradnl"/>
                    </w:rPr>
                    <w:t xml:space="preserve"> 2014</w:t>
                  </w:r>
                  <w:r w:rsidRPr="00DB1D9B">
                    <w:rPr>
                      <w:color w:val="595959"/>
                      <w:sz w:val="18"/>
                      <w:szCs w:val="18"/>
                      <w:lang w:val="es-ES"/>
                    </w:rPr>
                    <w:t>.</w:t>
                  </w:r>
                </w:p>
              </w:txbxContent>
            </v:textbox>
          </v:shape>
        </w:pict>
      </w:r>
    </w:p>
    <w:p w:rsidR="00324E2A" w:rsidRPr="002A4705" w:rsidRDefault="00324E2A" w:rsidP="00324E2A">
      <w:pPr>
        <w:tabs>
          <w:tab w:val="center" w:pos="5400"/>
        </w:tabs>
        <w:suppressAutoHyphens/>
        <w:jc w:val="center"/>
        <w:rPr>
          <w:szCs w:val="20"/>
          <w:lang w:val="es-ES_tradnl"/>
        </w:rPr>
      </w:pPr>
    </w:p>
    <w:p w:rsidR="00324E2A" w:rsidRPr="002A4705" w:rsidRDefault="00324E2A" w:rsidP="00324E2A">
      <w:pPr>
        <w:tabs>
          <w:tab w:val="center" w:pos="5400"/>
        </w:tabs>
        <w:suppressAutoHyphens/>
        <w:jc w:val="center"/>
        <w:rPr>
          <w:b/>
          <w:szCs w:val="20"/>
          <w:lang w:val="es-ES_tradnl"/>
        </w:rPr>
      </w:pPr>
      <w:r w:rsidRPr="002A4705">
        <w:rPr>
          <w:noProof/>
          <w:szCs w:val="20"/>
          <w:lang w:val="es-ES_tradnl" w:eastAsia="es-ES"/>
        </w:rPr>
        <w:pict>
          <v:shape id="Text Box 9" o:spid="_x0000_s1032" type="#_x0000_t202" style="position:absolute;left:0;text-align:left;margin-left:104.7pt;margin-top:50.3pt;width:322.55pt;height:4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stroked="f" strokeweight=".5pt">
            <v:textbox>
              <w:txbxContent>
                <w:p w:rsidR="00324E2A" w:rsidRPr="0085585E" w:rsidRDefault="00324E2A" w:rsidP="00324E2A">
                  <w:pPr>
                    <w:rPr>
                      <w:color w:val="FFFFFF"/>
                    </w:rPr>
                  </w:pPr>
                  <w:r w:rsidRPr="00CA5AC4">
                    <w:rPr>
                      <w:noProof/>
                      <w:color w:val="FFFFFF"/>
                    </w:rPr>
                    <w:pict>
                      <v:shape id="Picture 15" o:spid="_x0000_i1027" type="#_x0000_t75" style="width:104.25pt;height:27.75pt;visibility:visible">
                        <v:imagedata r:id="rId9" o:title=""/>
                      </v:shape>
                    </w:pict>
                  </w:r>
                </w:p>
              </w:txbxContent>
            </v:textbox>
          </v:shape>
        </w:pict>
      </w:r>
      <w:r w:rsidRPr="002A4705">
        <w:rPr>
          <w:noProof/>
          <w:szCs w:val="20"/>
          <w:lang w:val="es-ES_tradnl" w:eastAsia="es-ES"/>
        </w:rPr>
        <w:pict>
          <v:shape id="Text Box 4" o:spid="_x0000_s1033" type="#_x0000_t202" style="position:absolute;left:0;text-align:left;margin-left:-21.45pt;margin-top:72.05pt;width:93pt;height:2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324E2A" w:rsidRPr="0085585E" w:rsidRDefault="00324E2A" w:rsidP="00324E2A">
                  <w:pPr>
                    <w:jc w:val="center"/>
                    <w:rPr>
                      <w:rFonts w:ascii="Calibri" w:hAnsi="Calibri"/>
                      <w:b/>
                      <w:color w:val="FFFFFF"/>
                    </w:rPr>
                  </w:pPr>
                  <w:r w:rsidRPr="0085585E">
                    <w:rPr>
                      <w:rFonts w:ascii="Calibri" w:hAnsi="Calibri"/>
                      <w:b/>
                      <w:color w:val="FFFFFF"/>
                      <w:lang w:val="pt-BR"/>
                    </w:rPr>
                    <w:t>www.cidh.org</w:t>
                  </w:r>
                </w:p>
              </w:txbxContent>
            </v:textbox>
          </v:shape>
        </w:pict>
      </w:r>
    </w:p>
    <w:p w:rsidR="00324E2A" w:rsidRPr="002A4705" w:rsidRDefault="00324E2A" w:rsidP="00324E2A">
      <w:pPr>
        <w:tabs>
          <w:tab w:val="center" w:pos="5400"/>
        </w:tabs>
        <w:suppressAutoHyphens/>
        <w:jc w:val="center"/>
        <w:rPr>
          <w:b/>
          <w:szCs w:val="20"/>
          <w:lang w:val="es-ES_tradnl"/>
        </w:rPr>
        <w:sectPr w:rsidR="00324E2A" w:rsidRPr="002A4705" w:rsidSect="00BC1DB2">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rtlGutter/>
          <w:docGrid w:linePitch="326"/>
        </w:sectPr>
      </w:pPr>
    </w:p>
    <w:p w:rsidR="00811B56" w:rsidRPr="005B5059" w:rsidRDefault="00786CF0" w:rsidP="005B5059">
      <w:pPr>
        <w:jc w:val="center"/>
        <w:rPr>
          <w:b/>
          <w:bCs/>
          <w:sz w:val="18"/>
          <w:szCs w:val="18"/>
          <w:lang w:val="es-ES" w:eastAsia="es-ES"/>
        </w:rPr>
      </w:pPr>
      <w:r w:rsidRPr="005B5059">
        <w:rPr>
          <w:b/>
          <w:bCs/>
          <w:sz w:val="18"/>
          <w:szCs w:val="18"/>
          <w:lang w:val="es-ES" w:eastAsia="es-ES"/>
        </w:rPr>
        <w:lastRenderedPageBreak/>
        <w:t>INFORME No. 105</w:t>
      </w:r>
      <w:r w:rsidR="00377BC8" w:rsidRPr="005B5059">
        <w:rPr>
          <w:b/>
          <w:bCs/>
          <w:sz w:val="18"/>
          <w:szCs w:val="18"/>
          <w:lang w:val="es-ES" w:eastAsia="es-ES"/>
        </w:rPr>
        <w:t>/14</w:t>
      </w:r>
      <w:r w:rsidR="00811B56" w:rsidRPr="005B5059">
        <w:rPr>
          <w:b/>
          <w:bCs/>
          <w:sz w:val="18"/>
          <w:szCs w:val="18"/>
          <w:lang w:val="es-ES" w:eastAsia="es-ES"/>
        </w:rPr>
        <w:t xml:space="preserve"> </w:t>
      </w:r>
    </w:p>
    <w:p w:rsidR="00811B56" w:rsidRPr="005B5059" w:rsidRDefault="00811B56" w:rsidP="005B5059">
      <w:pPr>
        <w:jc w:val="center"/>
        <w:rPr>
          <w:sz w:val="18"/>
          <w:szCs w:val="18"/>
          <w:lang w:val="es-ES" w:eastAsia="es-ES"/>
        </w:rPr>
      </w:pPr>
      <w:r w:rsidRPr="005B5059">
        <w:rPr>
          <w:bCs/>
          <w:sz w:val="18"/>
          <w:szCs w:val="18"/>
          <w:lang w:val="es-ES" w:eastAsia="es-ES"/>
        </w:rPr>
        <w:t>P</w:t>
      </w:r>
      <w:r w:rsidR="00377BC8" w:rsidRPr="005B5059">
        <w:rPr>
          <w:sz w:val="18"/>
          <w:szCs w:val="18"/>
          <w:lang w:val="es-ES" w:eastAsia="es-ES"/>
        </w:rPr>
        <w:t xml:space="preserve">ETICIÓN </w:t>
      </w:r>
      <w:r w:rsidR="005B5059">
        <w:rPr>
          <w:sz w:val="18"/>
          <w:szCs w:val="18"/>
          <w:lang w:val="es-ES" w:eastAsia="es-ES"/>
        </w:rPr>
        <w:t>590-</w:t>
      </w:r>
      <w:r w:rsidRPr="005B5059">
        <w:rPr>
          <w:sz w:val="18"/>
          <w:szCs w:val="18"/>
          <w:lang w:val="es-ES" w:eastAsia="es-ES"/>
        </w:rPr>
        <w:t>01</w:t>
      </w:r>
    </w:p>
    <w:p w:rsidR="00811B56" w:rsidRPr="005B5059" w:rsidRDefault="00377BC8" w:rsidP="005B5059">
      <w:pPr>
        <w:jc w:val="center"/>
        <w:rPr>
          <w:sz w:val="18"/>
          <w:szCs w:val="18"/>
          <w:lang w:val="es-ES" w:eastAsia="es-ES"/>
        </w:rPr>
      </w:pPr>
      <w:r w:rsidRPr="005B5059">
        <w:rPr>
          <w:sz w:val="18"/>
          <w:szCs w:val="18"/>
          <w:lang w:val="es-ES" w:eastAsia="es-ES"/>
        </w:rPr>
        <w:t>DECISIÓN DE ARCHIVO</w:t>
      </w:r>
    </w:p>
    <w:p w:rsidR="00811B56" w:rsidRPr="005B5059" w:rsidRDefault="00377BC8" w:rsidP="005B5059">
      <w:pPr>
        <w:jc w:val="center"/>
        <w:rPr>
          <w:sz w:val="18"/>
          <w:szCs w:val="18"/>
          <w:lang w:val="es-ES" w:eastAsia="es-ES"/>
        </w:rPr>
      </w:pPr>
      <w:r w:rsidRPr="005B5059">
        <w:rPr>
          <w:sz w:val="18"/>
          <w:szCs w:val="18"/>
          <w:lang w:val="es-ES" w:eastAsia="es-ES"/>
        </w:rPr>
        <w:t>ARGENTINA</w:t>
      </w:r>
    </w:p>
    <w:p w:rsidR="00811B56" w:rsidRDefault="005B5059" w:rsidP="005B5059">
      <w:pPr>
        <w:jc w:val="center"/>
        <w:rPr>
          <w:sz w:val="18"/>
          <w:szCs w:val="18"/>
          <w:lang w:val="es-ES" w:eastAsia="es-ES"/>
        </w:rPr>
      </w:pPr>
      <w:r w:rsidRPr="005B5059">
        <w:rPr>
          <w:sz w:val="18"/>
          <w:szCs w:val="18"/>
          <w:lang w:val="es-ES" w:eastAsia="es-ES"/>
        </w:rPr>
        <w:t>7 DE NOVIEMBRE DE 2014</w:t>
      </w:r>
    </w:p>
    <w:p w:rsidR="005B5059" w:rsidRPr="005B5059" w:rsidRDefault="005B5059" w:rsidP="005B5059">
      <w:pPr>
        <w:jc w:val="center"/>
        <w:rPr>
          <w:b/>
          <w:sz w:val="18"/>
          <w:szCs w:val="18"/>
          <w:lang w:val="es-ES" w:eastAsia="es-ES"/>
        </w:rPr>
      </w:pPr>
    </w:p>
    <w:p w:rsidR="005B5059" w:rsidRDefault="005B5059" w:rsidP="005B5059">
      <w:pPr>
        <w:ind w:left="3948" w:hanging="3948"/>
        <w:jc w:val="both"/>
        <w:rPr>
          <w:b/>
          <w:caps/>
          <w:szCs w:val="20"/>
          <w:lang w:val="es-ES" w:eastAsia="es-ES"/>
        </w:rPr>
      </w:pPr>
    </w:p>
    <w:p w:rsidR="00811B56" w:rsidRPr="002A4705" w:rsidRDefault="00811B56" w:rsidP="005B5059">
      <w:pPr>
        <w:ind w:left="3948" w:hanging="3948"/>
        <w:jc w:val="both"/>
        <w:rPr>
          <w:szCs w:val="20"/>
          <w:lang w:val="es-ES" w:eastAsia="es-ES"/>
        </w:rPr>
      </w:pPr>
      <w:r w:rsidRPr="002A4705">
        <w:rPr>
          <w:b/>
          <w:caps/>
          <w:szCs w:val="20"/>
          <w:lang w:val="es-ES" w:eastAsia="es-ES"/>
        </w:rPr>
        <w:t>Presunta víctima:</w:t>
      </w:r>
      <w:r w:rsidRPr="002A4705">
        <w:rPr>
          <w:caps/>
          <w:szCs w:val="20"/>
          <w:lang w:val="es-ES" w:eastAsia="es-ES"/>
        </w:rPr>
        <w:t xml:space="preserve"> </w:t>
      </w:r>
      <w:r w:rsidRPr="002A4705">
        <w:rPr>
          <w:szCs w:val="20"/>
          <w:lang w:val="es-ES" w:eastAsia="es-ES"/>
        </w:rPr>
        <w:tab/>
      </w:r>
      <w:r w:rsidR="00EB0DE3" w:rsidRPr="002A4705">
        <w:rPr>
          <w:szCs w:val="20"/>
          <w:lang w:val="es-ES" w:eastAsia="es-ES"/>
        </w:rPr>
        <w:t>Catalina Marí</w:t>
      </w:r>
      <w:r w:rsidRPr="002A4705">
        <w:rPr>
          <w:szCs w:val="20"/>
          <w:lang w:val="es-ES" w:eastAsia="es-ES"/>
        </w:rPr>
        <w:t>a Adamson Perkins</w:t>
      </w:r>
    </w:p>
    <w:p w:rsidR="00811B56" w:rsidRPr="002A4705" w:rsidRDefault="00811B56" w:rsidP="005B5059">
      <w:pPr>
        <w:ind w:left="3948" w:hanging="3948"/>
        <w:jc w:val="both"/>
        <w:rPr>
          <w:szCs w:val="20"/>
          <w:lang w:val="es-ES" w:eastAsia="es-ES"/>
        </w:rPr>
      </w:pPr>
    </w:p>
    <w:p w:rsidR="00811B56" w:rsidRPr="002A4705" w:rsidRDefault="00811B56" w:rsidP="005B5059">
      <w:pPr>
        <w:ind w:left="3948" w:hanging="3948"/>
        <w:jc w:val="both"/>
        <w:rPr>
          <w:szCs w:val="20"/>
          <w:lang w:val="es-ES" w:eastAsia="es-ES"/>
        </w:rPr>
      </w:pPr>
      <w:r w:rsidRPr="002A4705">
        <w:rPr>
          <w:b/>
          <w:caps/>
          <w:szCs w:val="20"/>
          <w:lang w:val="es-ES" w:eastAsia="es-ES"/>
        </w:rPr>
        <w:t>Peticionario:</w:t>
      </w:r>
      <w:r w:rsidRPr="002A4705">
        <w:rPr>
          <w:szCs w:val="20"/>
          <w:lang w:val="es-ES" w:eastAsia="es-ES"/>
        </w:rPr>
        <w:tab/>
        <w:t>María Elizabeth Banbury Perkins</w:t>
      </w:r>
    </w:p>
    <w:p w:rsidR="00811B56" w:rsidRPr="002A4705" w:rsidRDefault="00811B56" w:rsidP="005B5059">
      <w:pPr>
        <w:ind w:left="3948" w:hanging="3948"/>
        <w:jc w:val="both"/>
        <w:rPr>
          <w:szCs w:val="20"/>
          <w:lang w:val="es-ES" w:eastAsia="es-ES"/>
        </w:rPr>
      </w:pPr>
    </w:p>
    <w:p w:rsidR="00811B56" w:rsidRPr="002A4705" w:rsidRDefault="00811B56" w:rsidP="005B5059">
      <w:pPr>
        <w:ind w:left="3948" w:hanging="3948"/>
        <w:jc w:val="both"/>
        <w:rPr>
          <w:szCs w:val="20"/>
          <w:lang w:val="es-ES" w:eastAsia="es-ES"/>
        </w:rPr>
      </w:pPr>
      <w:r w:rsidRPr="002A4705">
        <w:rPr>
          <w:b/>
          <w:caps/>
          <w:szCs w:val="20"/>
          <w:lang w:val="es-ES" w:eastAsia="es-ES"/>
        </w:rPr>
        <w:t>Violaciones alegadas:</w:t>
      </w:r>
      <w:r w:rsidRPr="002A4705">
        <w:rPr>
          <w:caps/>
          <w:szCs w:val="20"/>
          <w:lang w:val="es-ES" w:eastAsia="es-ES"/>
        </w:rPr>
        <w:t xml:space="preserve"> </w:t>
      </w:r>
      <w:r w:rsidRPr="002A4705">
        <w:rPr>
          <w:caps/>
          <w:szCs w:val="20"/>
          <w:lang w:val="es-ES" w:eastAsia="es-ES"/>
        </w:rPr>
        <w:tab/>
      </w:r>
      <w:r w:rsidRPr="002A4705">
        <w:rPr>
          <w:szCs w:val="20"/>
          <w:lang w:val="es-ES" w:eastAsia="es-ES"/>
        </w:rPr>
        <w:t>Artículo 25 de la Convención Americana sobre Derechos Humanos y artículo 18 de la Declaración Americana de los De</w:t>
      </w:r>
      <w:r w:rsidR="002A4705">
        <w:rPr>
          <w:szCs w:val="20"/>
          <w:lang w:val="es-ES" w:eastAsia="es-ES"/>
        </w:rPr>
        <w:t>rechos y Deberes del H</w:t>
      </w:r>
      <w:r w:rsidRPr="002A4705">
        <w:rPr>
          <w:szCs w:val="20"/>
          <w:lang w:val="es-ES" w:eastAsia="es-ES"/>
        </w:rPr>
        <w:t>ombre.</w:t>
      </w:r>
    </w:p>
    <w:p w:rsidR="00811B56" w:rsidRPr="002A4705" w:rsidRDefault="00811B56" w:rsidP="005B5059">
      <w:pPr>
        <w:ind w:left="3948" w:hanging="3948"/>
        <w:jc w:val="both"/>
        <w:rPr>
          <w:b/>
          <w:szCs w:val="20"/>
          <w:lang w:val="es-ES" w:eastAsia="es-ES"/>
        </w:rPr>
      </w:pPr>
    </w:p>
    <w:p w:rsidR="00811B56" w:rsidRPr="002A4705" w:rsidRDefault="00811B56" w:rsidP="005B5059">
      <w:pPr>
        <w:ind w:left="3948" w:hanging="3948"/>
        <w:jc w:val="both"/>
        <w:rPr>
          <w:szCs w:val="20"/>
          <w:lang w:val="es-ES" w:eastAsia="es-ES"/>
        </w:rPr>
      </w:pPr>
      <w:r w:rsidRPr="002A4705">
        <w:rPr>
          <w:b/>
          <w:caps/>
          <w:szCs w:val="20"/>
          <w:lang w:val="es-ES" w:eastAsia="es-ES"/>
        </w:rPr>
        <w:t>Fecha de inicio del trámite:</w:t>
      </w:r>
      <w:r w:rsidRPr="002A4705">
        <w:rPr>
          <w:b/>
          <w:caps/>
          <w:szCs w:val="20"/>
          <w:lang w:val="es-ES" w:eastAsia="es-ES"/>
        </w:rPr>
        <w:tab/>
      </w:r>
      <w:r w:rsidRPr="002A4705">
        <w:rPr>
          <w:szCs w:val="20"/>
          <w:lang w:val="es-ES" w:eastAsia="es-ES"/>
        </w:rPr>
        <w:t>27 de agosto de 2001</w:t>
      </w:r>
    </w:p>
    <w:p w:rsidR="00811B56" w:rsidRPr="002A4705" w:rsidRDefault="00811B56" w:rsidP="005B5059">
      <w:pPr>
        <w:ind w:left="708" w:hanging="3948"/>
        <w:rPr>
          <w:b/>
          <w:szCs w:val="20"/>
          <w:lang w:val="es-ES" w:eastAsia="es-ES"/>
        </w:rPr>
      </w:pPr>
    </w:p>
    <w:p w:rsidR="00811B56" w:rsidRPr="002A4705" w:rsidRDefault="00811B56" w:rsidP="005B5059">
      <w:pPr>
        <w:numPr>
          <w:ilvl w:val="0"/>
          <w:numId w:val="14"/>
        </w:numPr>
        <w:ind w:left="0" w:firstLine="720"/>
        <w:jc w:val="both"/>
        <w:rPr>
          <w:b/>
          <w:szCs w:val="20"/>
          <w:lang w:val="es-ES" w:eastAsia="es-ES"/>
        </w:rPr>
      </w:pPr>
      <w:r w:rsidRPr="002A4705">
        <w:rPr>
          <w:b/>
          <w:szCs w:val="20"/>
          <w:lang w:val="es-ES" w:eastAsia="es-ES"/>
        </w:rPr>
        <w:t>POSICIÓN DE LAS PARTES</w:t>
      </w:r>
    </w:p>
    <w:p w:rsidR="00811B56" w:rsidRPr="002A4705" w:rsidRDefault="00811B56" w:rsidP="005B5059">
      <w:pPr>
        <w:ind w:firstLine="720"/>
        <w:jc w:val="both"/>
        <w:rPr>
          <w:b/>
          <w:szCs w:val="20"/>
          <w:lang w:val="es-ES" w:eastAsia="es-ES"/>
        </w:rPr>
      </w:pPr>
    </w:p>
    <w:p w:rsidR="00811B56" w:rsidRPr="002A4705" w:rsidRDefault="00AA30AF" w:rsidP="005B5059">
      <w:pPr>
        <w:numPr>
          <w:ilvl w:val="0"/>
          <w:numId w:val="13"/>
        </w:numPr>
        <w:ind w:left="0" w:firstLine="720"/>
        <w:jc w:val="both"/>
        <w:rPr>
          <w:b/>
          <w:szCs w:val="20"/>
          <w:lang w:val="es-ES" w:eastAsia="es-ES"/>
        </w:rPr>
      </w:pPr>
      <w:r w:rsidRPr="002A4705">
        <w:rPr>
          <w:b/>
          <w:szCs w:val="20"/>
          <w:lang w:val="es-ES" w:eastAsia="es-ES"/>
        </w:rPr>
        <w:t>Posición del peticionario</w:t>
      </w:r>
    </w:p>
    <w:p w:rsidR="00811B56" w:rsidRPr="002A4705" w:rsidRDefault="00811B56" w:rsidP="005B5059">
      <w:pPr>
        <w:ind w:left="1068" w:firstLine="720"/>
        <w:jc w:val="both"/>
        <w:rPr>
          <w:b/>
          <w:szCs w:val="20"/>
          <w:lang w:val="es-ES" w:eastAsia="es-ES"/>
        </w:rPr>
      </w:pPr>
    </w:p>
    <w:p w:rsidR="00811B56" w:rsidRPr="002A4705" w:rsidRDefault="00811B56" w:rsidP="005B5059">
      <w:pPr>
        <w:numPr>
          <w:ilvl w:val="0"/>
          <w:numId w:val="9"/>
        </w:numPr>
        <w:tabs>
          <w:tab w:val="clear" w:pos="540"/>
        </w:tabs>
        <w:ind w:left="0"/>
        <w:jc w:val="both"/>
        <w:rPr>
          <w:rFonts w:cs="Tahoma"/>
          <w:szCs w:val="20"/>
          <w:lang w:val="es-ES" w:eastAsia="es-ES"/>
        </w:rPr>
      </w:pPr>
      <w:r w:rsidRPr="002A4705">
        <w:rPr>
          <w:szCs w:val="20"/>
          <w:lang w:val="es-ES"/>
        </w:rPr>
        <w:t xml:space="preserve">El </w:t>
      </w:r>
      <w:r w:rsidR="0004326A" w:rsidRPr="002A4705">
        <w:rPr>
          <w:szCs w:val="20"/>
          <w:lang w:val="es-ES"/>
        </w:rPr>
        <w:t>27 de julio</w:t>
      </w:r>
      <w:r w:rsidRPr="002A4705">
        <w:rPr>
          <w:szCs w:val="20"/>
          <w:lang w:val="es-ES"/>
        </w:rPr>
        <w:t xml:space="preserve"> de 2001 fue presentada ante la Oficina de la Organización de Estados Americanos </w:t>
      </w:r>
      <w:r w:rsidRPr="002A4705">
        <w:rPr>
          <w:rFonts w:cs="Tahoma"/>
          <w:szCs w:val="20"/>
          <w:lang w:val="es-ES" w:eastAsia="es-ES"/>
        </w:rPr>
        <w:t>una petición por María Elizabeth Banbury Perkins</w:t>
      </w:r>
      <w:r w:rsidRPr="002A4705">
        <w:rPr>
          <w:szCs w:val="20"/>
          <w:lang w:val="es-ES"/>
        </w:rPr>
        <w:t xml:space="preserve">, la cual fue recibida en </w:t>
      </w:r>
      <w:r w:rsidRPr="002A4705">
        <w:rPr>
          <w:rFonts w:cs="Tahoma"/>
          <w:szCs w:val="20"/>
          <w:lang w:val="es-ES" w:eastAsia="es-ES"/>
        </w:rPr>
        <w:t xml:space="preserve">la Comisión Interamericana de Derechos Humanos (en adelante “la Comisión” o “CIDH”) el 8 de agosto de 2001.  La peticionaria alegó la responsabilidad del Estado argentino (en adelante el Estado) por </w:t>
      </w:r>
      <w:r w:rsidR="00852A7F" w:rsidRPr="002A4705">
        <w:rPr>
          <w:rFonts w:cs="Tahoma"/>
          <w:szCs w:val="20"/>
          <w:lang w:val="es-ES" w:eastAsia="es-ES"/>
        </w:rPr>
        <w:t>violaciones al derecho al debido proceso</w:t>
      </w:r>
      <w:r w:rsidRPr="002A4705">
        <w:rPr>
          <w:rFonts w:cs="Tahoma"/>
          <w:szCs w:val="20"/>
          <w:lang w:val="es-ES" w:eastAsia="es-ES"/>
        </w:rPr>
        <w:t xml:space="preserve"> en </w:t>
      </w:r>
      <w:r w:rsidR="00852A7F" w:rsidRPr="002A4705">
        <w:rPr>
          <w:rFonts w:cs="Tahoma"/>
          <w:szCs w:val="20"/>
          <w:lang w:val="es-ES" w:eastAsia="es-ES"/>
        </w:rPr>
        <w:t>un proceso civil interpuesto para proteger los intereses</w:t>
      </w:r>
      <w:r w:rsidRPr="002A4705">
        <w:rPr>
          <w:rFonts w:cs="Tahoma"/>
          <w:szCs w:val="20"/>
          <w:lang w:val="es-ES" w:eastAsia="es-ES"/>
        </w:rPr>
        <w:t xml:space="preserve"> de Catalina María Adamson Perkins, su hija.</w:t>
      </w:r>
    </w:p>
    <w:p w:rsidR="00811B56" w:rsidRPr="002A4705" w:rsidRDefault="00811B56" w:rsidP="005B5059">
      <w:pPr>
        <w:ind w:firstLine="720"/>
        <w:jc w:val="both"/>
        <w:rPr>
          <w:rFonts w:cs="Tahoma"/>
          <w:szCs w:val="20"/>
          <w:lang w:val="es-ES" w:eastAsia="es-ES"/>
        </w:rPr>
      </w:pPr>
    </w:p>
    <w:p w:rsidR="00811B56" w:rsidRPr="002A4705" w:rsidRDefault="00811B56" w:rsidP="005B5059">
      <w:pPr>
        <w:numPr>
          <w:ilvl w:val="0"/>
          <w:numId w:val="9"/>
        </w:numPr>
        <w:tabs>
          <w:tab w:val="clear" w:pos="540"/>
        </w:tabs>
        <w:ind w:left="0"/>
        <w:jc w:val="both"/>
        <w:rPr>
          <w:rFonts w:cs="Tahoma"/>
          <w:szCs w:val="20"/>
          <w:lang w:val="es-ES" w:eastAsia="es-ES"/>
        </w:rPr>
      </w:pPr>
      <w:r w:rsidRPr="002A4705">
        <w:rPr>
          <w:rFonts w:cs="Tahoma"/>
          <w:szCs w:val="20"/>
          <w:lang w:val="es-ES" w:eastAsia="es-ES"/>
        </w:rPr>
        <w:t>La peticionaria alegó que sus derechos habrían sido vulnerados al serle desfavorables los fallos judiciales de la demanda civil de da</w:t>
      </w:r>
      <w:r w:rsidRPr="002A4705">
        <w:rPr>
          <w:rFonts w:cs="Tahoma"/>
          <w:b/>
          <w:bCs/>
          <w:iCs/>
          <w:szCs w:val="20"/>
          <w:lang w:val="es-ES" w:eastAsia="es-ES"/>
        </w:rPr>
        <w:t>ñ</w:t>
      </w:r>
      <w:r w:rsidRPr="002A4705">
        <w:rPr>
          <w:rFonts w:cs="Tahoma"/>
          <w:szCs w:val="20"/>
          <w:lang w:val="es-ES" w:eastAsia="es-ES"/>
        </w:rPr>
        <w:t>os y perjuicios por responsabilidad contractual que ella interpuso para una indemnización por la parálisis cerebral que su hija sufrió durante su nacimiento en la maternidad Suizo Argentina S.A.</w:t>
      </w:r>
    </w:p>
    <w:p w:rsidR="00811B56" w:rsidRPr="002A4705" w:rsidRDefault="00811B56" w:rsidP="005B5059">
      <w:pPr>
        <w:ind w:firstLine="720"/>
        <w:jc w:val="both"/>
        <w:rPr>
          <w:rFonts w:cs="Tahoma"/>
          <w:szCs w:val="20"/>
          <w:lang w:val="es-ES" w:eastAsia="es-ES"/>
        </w:rPr>
      </w:pPr>
    </w:p>
    <w:p w:rsidR="00811B56" w:rsidRPr="002A4705" w:rsidRDefault="00811B56" w:rsidP="005B5059">
      <w:pPr>
        <w:numPr>
          <w:ilvl w:val="0"/>
          <w:numId w:val="9"/>
        </w:numPr>
        <w:tabs>
          <w:tab w:val="clear" w:pos="540"/>
        </w:tabs>
        <w:ind w:left="0"/>
        <w:jc w:val="both"/>
        <w:rPr>
          <w:rFonts w:cs="Tahoma"/>
          <w:szCs w:val="20"/>
          <w:lang w:val="es-ES" w:eastAsia="es-ES"/>
        </w:rPr>
      </w:pPr>
      <w:r w:rsidRPr="002A4705">
        <w:rPr>
          <w:rFonts w:cs="Tahoma"/>
          <w:szCs w:val="20"/>
          <w:lang w:val="es-ES" w:eastAsia="es-ES"/>
        </w:rPr>
        <w:t>La peticionaria alegó que el 6 de abril de 1991</w:t>
      </w:r>
      <w:r w:rsidR="00780E5C" w:rsidRPr="002A4705">
        <w:rPr>
          <w:rFonts w:cs="Tahoma"/>
          <w:szCs w:val="20"/>
          <w:lang w:val="es-ES" w:eastAsia="es-ES"/>
        </w:rPr>
        <w:t>,</w:t>
      </w:r>
      <w:r w:rsidRPr="002A4705">
        <w:rPr>
          <w:rFonts w:cs="Tahoma"/>
          <w:szCs w:val="20"/>
          <w:lang w:val="es-ES" w:eastAsia="es-ES"/>
        </w:rPr>
        <w:t xml:space="preserve"> la presunta víctima sufrió apoxia (falta de oxigenación) horas o minutos previos al parto lo cual le ocasionó daño cerebral irreversible.  Alega atención tardía y mala praxis médica al momento del nacimiento.  En consecuencia, la peticionaria demandó a Medicus S.A., la Maternidad Suizo Argentina y a la partera Ana María Donnarumma.</w:t>
      </w:r>
    </w:p>
    <w:p w:rsidR="00811B56" w:rsidRPr="002A4705" w:rsidRDefault="00811B56" w:rsidP="005B5059">
      <w:pPr>
        <w:ind w:firstLine="720"/>
        <w:jc w:val="both"/>
        <w:rPr>
          <w:rFonts w:cs="Tahoma"/>
          <w:szCs w:val="20"/>
          <w:lang w:val="es-ES" w:eastAsia="es-ES"/>
        </w:rPr>
      </w:pPr>
    </w:p>
    <w:p w:rsidR="00811B56" w:rsidRPr="002A4705" w:rsidRDefault="00811B56" w:rsidP="005B5059">
      <w:pPr>
        <w:numPr>
          <w:ilvl w:val="0"/>
          <w:numId w:val="9"/>
        </w:numPr>
        <w:tabs>
          <w:tab w:val="clear" w:pos="540"/>
        </w:tabs>
        <w:ind w:left="0"/>
        <w:jc w:val="both"/>
        <w:rPr>
          <w:rFonts w:cs="Tahoma"/>
          <w:szCs w:val="20"/>
          <w:lang w:val="es-ES" w:eastAsia="es-ES"/>
        </w:rPr>
      </w:pPr>
      <w:r w:rsidRPr="002A4705">
        <w:rPr>
          <w:rFonts w:cs="Tahoma"/>
          <w:szCs w:val="20"/>
          <w:lang w:val="es-ES" w:eastAsia="es-ES"/>
        </w:rPr>
        <w:t>Indica que el Juzgado Nacional de Primera Instancia en lo Civil No. 40 de Capital Federal negó la indemnización, dado la imposibilidad de determinar el momento en que se produjo el daño cerebral y su causa.  La peticionaria considera que en el proceso de daños y perjuicios por responsabilidad contractual se cometieron violaciones a las garantías judiciales.  Alega la omisión de pruebas que demostraban la responsabilidad de la maternidad y los médicos, como por ejemplo el dictamen de los peritos propuesto</w:t>
      </w:r>
      <w:r w:rsidR="00780E5C" w:rsidRPr="002A4705">
        <w:rPr>
          <w:rFonts w:cs="Tahoma"/>
          <w:szCs w:val="20"/>
          <w:lang w:val="es-ES" w:eastAsia="es-ES"/>
        </w:rPr>
        <w:t>s</w:t>
      </w:r>
      <w:r w:rsidRPr="002A4705">
        <w:rPr>
          <w:rFonts w:cs="Tahoma"/>
          <w:szCs w:val="20"/>
          <w:lang w:val="es-ES" w:eastAsia="es-ES"/>
        </w:rPr>
        <w:t xml:space="preserve"> por la demandante y que se admitió material probatorio adulterado, como la historia clínica modificada con posterioridad al parto.</w:t>
      </w:r>
    </w:p>
    <w:p w:rsidR="00811B56" w:rsidRPr="002A4705" w:rsidRDefault="00811B56" w:rsidP="005B5059">
      <w:pPr>
        <w:ind w:firstLine="720"/>
        <w:rPr>
          <w:rFonts w:cs="Tahoma"/>
          <w:szCs w:val="20"/>
          <w:lang w:val="es-ES" w:eastAsia="es-ES"/>
        </w:rPr>
      </w:pPr>
    </w:p>
    <w:p w:rsidR="00811B56" w:rsidRPr="002A4705" w:rsidRDefault="00811B56" w:rsidP="005B5059">
      <w:pPr>
        <w:numPr>
          <w:ilvl w:val="0"/>
          <w:numId w:val="9"/>
        </w:numPr>
        <w:tabs>
          <w:tab w:val="clear" w:pos="540"/>
        </w:tabs>
        <w:ind w:left="0"/>
        <w:jc w:val="both"/>
        <w:rPr>
          <w:rFonts w:cs="Tahoma"/>
          <w:szCs w:val="20"/>
          <w:lang w:val="es-ES" w:eastAsia="es-ES"/>
        </w:rPr>
      </w:pPr>
      <w:r w:rsidRPr="002A4705">
        <w:rPr>
          <w:rFonts w:cs="Tahoma"/>
          <w:szCs w:val="20"/>
          <w:lang w:val="es-ES" w:eastAsia="es-ES"/>
        </w:rPr>
        <w:t xml:space="preserve">Contra dicha sentencia la peticionaria indica que interpuso un recurso de apelación mediante el cual la Cámara de Apelaciones en lo Civil confirmó la sentencia anterior.  </w:t>
      </w:r>
    </w:p>
    <w:p w:rsidR="00811B56" w:rsidRPr="002A4705" w:rsidRDefault="00811B56" w:rsidP="005B5059">
      <w:pPr>
        <w:ind w:firstLine="720"/>
        <w:jc w:val="both"/>
        <w:rPr>
          <w:rFonts w:cs="Tahoma"/>
          <w:szCs w:val="20"/>
          <w:lang w:val="es-ES" w:eastAsia="es-ES"/>
        </w:rPr>
      </w:pPr>
    </w:p>
    <w:p w:rsidR="00811B56" w:rsidRPr="002A4705" w:rsidRDefault="00811B56" w:rsidP="005B5059">
      <w:pPr>
        <w:numPr>
          <w:ilvl w:val="0"/>
          <w:numId w:val="9"/>
        </w:numPr>
        <w:tabs>
          <w:tab w:val="clear" w:pos="540"/>
        </w:tabs>
        <w:ind w:left="0"/>
        <w:jc w:val="both"/>
        <w:rPr>
          <w:rFonts w:cs="Tahoma"/>
          <w:szCs w:val="20"/>
          <w:lang w:val="es-ES" w:eastAsia="es-ES"/>
        </w:rPr>
      </w:pPr>
      <w:r w:rsidRPr="002A4705">
        <w:rPr>
          <w:rFonts w:cs="Tahoma"/>
          <w:szCs w:val="20"/>
          <w:lang w:val="es-ES" w:eastAsia="es-ES"/>
        </w:rPr>
        <w:t>La peticionaria habría interpuesto un recurso extraordinario federal, el cual habría sido denegado por la Cámara de Apelaciones en lo Civil.  Finalmente</w:t>
      </w:r>
      <w:r w:rsidR="00780E5C" w:rsidRPr="002A4705">
        <w:rPr>
          <w:rFonts w:cs="Tahoma"/>
          <w:szCs w:val="20"/>
          <w:lang w:val="es-ES" w:eastAsia="es-ES"/>
        </w:rPr>
        <w:t>,</w:t>
      </w:r>
      <w:r w:rsidRPr="002A4705">
        <w:rPr>
          <w:rFonts w:cs="Tahoma"/>
          <w:szCs w:val="20"/>
          <w:lang w:val="es-ES" w:eastAsia="es-ES"/>
        </w:rPr>
        <w:t xml:space="preserve"> interpuso un recurso de queja que fue denegado por la Corte Suprema de Justicia de la Nación (en adelante “la CSJN”).  Alega que con dicha sentencia, notificada el 8 de febrero de 2001, se agotaron los recursos internos. </w:t>
      </w:r>
    </w:p>
    <w:p w:rsidR="00811B56" w:rsidRPr="002A4705" w:rsidRDefault="00811B56" w:rsidP="005B5059">
      <w:pPr>
        <w:ind w:firstLine="720"/>
        <w:jc w:val="both"/>
        <w:rPr>
          <w:rFonts w:cs="Tahoma"/>
          <w:szCs w:val="20"/>
          <w:lang w:val="es-ES" w:eastAsia="es-ES"/>
        </w:rPr>
      </w:pPr>
    </w:p>
    <w:p w:rsidR="00811B56" w:rsidRPr="002A4705" w:rsidRDefault="005B5059" w:rsidP="005B5059">
      <w:pPr>
        <w:numPr>
          <w:ilvl w:val="0"/>
          <w:numId w:val="13"/>
        </w:numPr>
        <w:ind w:left="0" w:firstLine="720"/>
        <w:jc w:val="both"/>
        <w:rPr>
          <w:b/>
          <w:szCs w:val="20"/>
          <w:lang w:val="es-ES" w:eastAsia="es-ES"/>
        </w:rPr>
      </w:pPr>
      <w:r>
        <w:rPr>
          <w:b/>
          <w:szCs w:val="20"/>
          <w:lang w:val="es-ES" w:eastAsia="es-ES"/>
        </w:rPr>
        <w:br w:type="page"/>
      </w:r>
      <w:r w:rsidR="00811B56" w:rsidRPr="002A4705">
        <w:rPr>
          <w:b/>
          <w:szCs w:val="20"/>
          <w:lang w:val="es-ES" w:eastAsia="es-ES"/>
        </w:rPr>
        <w:lastRenderedPageBreak/>
        <w:t>Posición del Estado</w:t>
      </w:r>
    </w:p>
    <w:p w:rsidR="00811B56" w:rsidRPr="002A4705" w:rsidRDefault="00811B56" w:rsidP="005B5059">
      <w:pPr>
        <w:ind w:firstLine="720"/>
        <w:jc w:val="both"/>
        <w:rPr>
          <w:szCs w:val="20"/>
          <w:lang w:val="es-ES" w:eastAsia="es-ES"/>
        </w:rPr>
      </w:pPr>
    </w:p>
    <w:p w:rsidR="00811B56" w:rsidRPr="002A4705" w:rsidRDefault="00811B56" w:rsidP="005B5059">
      <w:pPr>
        <w:numPr>
          <w:ilvl w:val="0"/>
          <w:numId w:val="9"/>
        </w:numPr>
        <w:tabs>
          <w:tab w:val="clear" w:pos="540"/>
        </w:tabs>
        <w:ind w:left="0"/>
        <w:jc w:val="both"/>
        <w:rPr>
          <w:szCs w:val="20"/>
          <w:lang w:val="es-ES" w:eastAsia="es-ES"/>
        </w:rPr>
      </w:pPr>
      <w:r w:rsidRPr="002A4705">
        <w:rPr>
          <w:szCs w:val="20"/>
          <w:lang w:val="es-ES" w:eastAsia="es-ES"/>
        </w:rPr>
        <w:t>El Estado consideró que la petición es inadmisible por haberse presentado fuera del plazo establecido y por la falta de exposición de hechos que caractericen la violación de un derecho garantizado por la Convención Americana sobre Derechos Humanos (en adelante “la Convención Americana”).</w:t>
      </w:r>
    </w:p>
    <w:p w:rsidR="00811B56" w:rsidRPr="002A4705" w:rsidRDefault="00811B56" w:rsidP="005B5059">
      <w:pPr>
        <w:ind w:firstLine="720"/>
        <w:jc w:val="both"/>
        <w:rPr>
          <w:szCs w:val="20"/>
          <w:lang w:val="es-ES" w:eastAsia="es-ES"/>
        </w:rPr>
      </w:pPr>
    </w:p>
    <w:p w:rsidR="00811B56" w:rsidRPr="002A4705" w:rsidRDefault="00811B56" w:rsidP="005B5059">
      <w:pPr>
        <w:numPr>
          <w:ilvl w:val="0"/>
          <w:numId w:val="14"/>
        </w:numPr>
        <w:ind w:left="0" w:firstLine="720"/>
        <w:jc w:val="both"/>
        <w:rPr>
          <w:b/>
          <w:szCs w:val="20"/>
          <w:lang w:val="es-ES" w:eastAsia="es-ES"/>
        </w:rPr>
      </w:pPr>
      <w:r w:rsidRPr="002A4705">
        <w:rPr>
          <w:b/>
          <w:szCs w:val="20"/>
          <w:lang w:val="es-ES" w:eastAsia="es-ES"/>
        </w:rPr>
        <w:t>TRÁMITE ANTE LA CIDH</w:t>
      </w:r>
    </w:p>
    <w:p w:rsidR="00811B56" w:rsidRPr="002A4705" w:rsidRDefault="00811B56" w:rsidP="005B5059">
      <w:pPr>
        <w:ind w:firstLine="720"/>
        <w:jc w:val="both"/>
        <w:rPr>
          <w:szCs w:val="20"/>
          <w:lang w:val="es-ES" w:eastAsia="es-ES"/>
        </w:rPr>
      </w:pPr>
    </w:p>
    <w:p w:rsidR="00780E5C" w:rsidRPr="002A4705" w:rsidRDefault="00811B56" w:rsidP="005B5059">
      <w:pPr>
        <w:numPr>
          <w:ilvl w:val="0"/>
          <w:numId w:val="9"/>
        </w:numPr>
        <w:tabs>
          <w:tab w:val="clear" w:pos="540"/>
        </w:tabs>
        <w:ind w:left="0"/>
        <w:jc w:val="both"/>
        <w:rPr>
          <w:szCs w:val="20"/>
          <w:lang w:val="es-ES"/>
        </w:rPr>
      </w:pPr>
      <w:r w:rsidRPr="002A4705">
        <w:rPr>
          <w:szCs w:val="20"/>
          <w:lang w:val="es-ES"/>
        </w:rPr>
        <w:t>El 10 de octubre de 2003</w:t>
      </w:r>
      <w:r w:rsidR="00780E5C" w:rsidRPr="002A4705">
        <w:rPr>
          <w:szCs w:val="20"/>
          <w:lang w:val="es-ES"/>
        </w:rPr>
        <w:t>,</w:t>
      </w:r>
      <w:r w:rsidRPr="002A4705">
        <w:rPr>
          <w:szCs w:val="20"/>
          <w:lang w:val="es-ES"/>
        </w:rPr>
        <w:t xml:space="preserve"> la CIDH remitió la petición al Estado para sus observaciones.  El Estado presentó su respuesta el 29 de abril de 2004, la cual  fue remitida a la peticionaria para sus observaciones el 21 de junio de 2004.  La respuesta de la peticionaria fue recibida el 20 de agosto de 2004 la cual fue trasladada al Estado para sus observaciones el 8 de noviembre de 2004.  </w:t>
      </w:r>
    </w:p>
    <w:p w:rsidR="00780E5C" w:rsidRPr="002A4705" w:rsidRDefault="00780E5C" w:rsidP="005B5059">
      <w:pPr>
        <w:ind w:firstLine="720"/>
        <w:jc w:val="both"/>
        <w:rPr>
          <w:szCs w:val="20"/>
          <w:lang w:val="es-ES"/>
        </w:rPr>
      </w:pPr>
    </w:p>
    <w:p w:rsidR="00811B56" w:rsidRPr="002A4705" w:rsidRDefault="00811B56" w:rsidP="005B5059">
      <w:pPr>
        <w:numPr>
          <w:ilvl w:val="0"/>
          <w:numId w:val="9"/>
        </w:numPr>
        <w:tabs>
          <w:tab w:val="clear" w:pos="540"/>
        </w:tabs>
        <w:ind w:left="0"/>
        <w:jc w:val="both"/>
        <w:rPr>
          <w:szCs w:val="20"/>
          <w:lang w:val="es-ES"/>
        </w:rPr>
      </w:pPr>
      <w:r w:rsidRPr="002A4705">
        <w:rPr>
          <w:szCs w:val="20"/>
          <w:lang w:val="es-ES"/>
        </w:rPr>
        <w:t>El 5 de julio de 2005</w:t>
      </w:r>
      <w:r w:rsidR="002F1CBD" w:rsidRPr="002A4705">
        <w:rPr>
          <w:szCs w:val="20"/>
          <w:lang w:val="es-ES"/>
        </w:rPr>
        <w:t>,</w:t>
      </w:r>
      <w:r w:rsidRPr="002A4705">
        <w:rPr>
          <w:szCs w:val="20"/>
          <w:lang w:val="es-ES"/>
        </w:rPr>
        <w:t xml:space="preserve"> el Estado presentó su respuesta, la cual fue trasladada a la peticionaria el 8 de agosto de 2006.  El 20 de noviembre de 2013</w:t>
      </w:r>
      <w:r w:rsidR="002F1CBD" w:rsidRPr="002A4705">
        <w:rPr>
          <w:szCs w:val="20"/>
          <w:lang w:val="es-ES"/>
        </w:rPr>
        <w:t>,</w:t>
      </w:r>
      <w:r w:rsidRPr="002A4705">
        <w:rPr>
          <w:szCs w:val="20"/>
          <w:lang w:val="es-ES"/>
        </w:rPr>
        <w:t xml:space="preserve"> la CIDH reiteró su solicitud de información a la peticionaria indicando que de no recibirse dicha información en el plazo de un mes</w:t>
      </w:r>
      <w:r w:rsidR="002F1CBD" w:rsidRPr="002A4705">
        <w:rPr>
          <w:szCs w:val="20"/>
          <w:lang w:val="es-ES"/>
        </w:rPr>
        <w:t>,</w:t>
      </w:r>
      <w:r w:rsidRPr="002A4705">
        <w:rPr>
          <w:szCs w:val="20"/>
          <w:lang w:val="es-ES"/>
        </w:rPr>
        <w:t xml:space="preserve"> ésta podría archivar la petición. </w:t>
      </w:r>
    </w:p>
    <w:p w:rsidR="00811B56" w:rsidRPr="002A4705" w:rsidRDefault="00811B56" w:rsidP="005B5059">
      <w:pPr>
        <w:ind w:firstLine="720"/>
        <w:jc w:val="both"/>
        <w:rPr>
          <w:rFonts w:cs="Tahoma"/>
          <w:szCs w:val="20"/>
          <w:lang w:val="es-ES" w:eastAsia="es-ES"/>
        </w:rPr>
      </w:pPr>
    </w:p>
    <w:p w:rsidR="00811B56" w:rsidRPr="00FE2E22" w:rsidRDefault="00811B56" w:rsidP="005B5059">
      <w:pPr>
        <w:numPr>
          <w:ilvl w:val="0"/>
          <w:numId w:val="14"/>
        </w:numPr>
        <w:ind w:left="0" w:firstLine="720"/>
        <w:jc w:val="both"/>
        <w:rPr>
          <w:b/>
          <w:szCs w:val="20"/>
          <w:lang w:val="es-ES" w:eastAsia="es-ES"/>
        </w:rPr>
      </w:pPr>
      <w:r w:rsidRPr="00FE2E22">
        <w:rPr>
          <w:b/>
          <w:szCs w:val="20"/>
          <w:lang w:val="es-ES" w:eastAsia="es-ES"/>
        </w:rPr>
        <w:t>FUNDAMENTOS PARA LA DECISIÓN DE ARCHIVO</w:t>
      </w:r>
    </w:p>
    <w:p w:rsidR="00811B56" w:rsidRPr="00FE2E22" w:rsidRDefault="00811B56" w:rsidP="005B5059">
      <w:pPr>
        <w:ind w:firstLine="720"/>
        <w:jc w:val="both"/>
        <w:rPr>
          <w:szCs w:val="20"/>
          <w:lang w:val="es-ES" w:eastAsia="es-ES"/>
        </w:rPr>
      </w:pPr>
    </w:p>
    <w:p w:rsidR="00811B56" w:rsidRPr="00FE2E22" w:rsidRDefault="00811B56" w:rsidP="005B5059">
      <w:pPr>
        <w:numPr>
          <w:ilvl w:val="0"/>
          <w:numId w:val="9"/>
        </w:numPr>
        <w:tabs>
          <w:tab w:val="clear" w:pos="540"/>
        </w:tabs>
        <w:ind w:left="0"/>
        <w:jc w:val="both"/>
        <w:rPr>
          <w:rFonts w:cs="Arial"/>
          <w:szCs w:val="20"/>
          <w:lang w:val="es-ES" w:eastAsia="es-ES"/>
        </w:rPr>
      </w:pPr>
      <w:r w:rsidRPr="00FE2E22">
        <w:rPr>
          <w:szCs w:val="20"/>
          <w:lang w:val="es-ES" w:eastAsia="es-ES"/>
        </w:rPr>
        <w:t>Tanto el artículo 48 inciso b) de la Convención Americana como el artículo 42 del Reglamento de la Comisión establecen que, dentro del proceso de trámite de una petición, recibidas las informaciones o transcurrido el plazo fijado sin que sean recibidas, la CIDH verificará si existen o subsisten los motivos de la petición o comunicación y en caso de no existir o subsistir dichos motivos, ordenará el archivo del expediente</w:t>
      </w:r>
      <w:r w:rsidRPr="00FE2E22">
        <w:rPr>
          <w:rFonts w:cs="Arial"/>
          <w:szCs w:val="20"/>
          <w:lang w:val="es-ES" w:eastAsia="es-ES"/>
        </w:rPr>
        <w:t>.</w:t>
      </w:r>
    </w:p>
    <w:p w:rsidR="00811B56" w:rsidRPr="00FE2E22" w:rsidRDefault="00811B56" w:rsidP="005B5059">
      <w:pPr>
        <w:ind w:firstLine="720"/>
        <w:jc w:val="both"/>
        <w:rPr>
          <w:rFonts w:cs="Arial"/>
          <w:szCs w:val="20"/>
          <w:lang w:val="es-ES" w:eastAsia="es-ES"/>
        </w:rPr>
      </w:pPr>
    </w:p>
    <w:p w:rsidR="00786CF0" w:rsidRPr="00FE2E22" w:rsidRDefault="00811B56" w:rsidP="005B5059">
      <w:pPr>
        <w:numPr>
          <w:ilvl w:val="0"/>
          <w:numId w:val="9"/>
        </w:numPr>
        <w:tabs>
          <w:tab w:val="clear" w:pos="540"/>
        </w:tabs>
        <w:ind w:left="0"/>
        <w:jc w:val="both"/>
        <w:rPr>
          <w:rFonts w:cs="Arial"/>
          <w:szCs w:val="20"/>
          <w:lang w:val="es-ES" w:eastAsia="es-ES"/>
        </w:rPr>
      </w:pPr>
      <w:r w:rsidRPr="00FE2E22">
        <w:rPr>
          <w:rFonts w:cs="Arial"/>
          <w:szCs w:val="20"/>
          <w:lang w:val="es-PE" w:eastAsia="es-ES"/>
        </w:rPr>
        <w:t>A la fecha de aprobación del presente informe, la peticio</w:t>
      </w:r>
      <w:r w:rsidR="00FE2E22" w:rsidRPr="00FE2E22">
        <w:rPr>
          <w:rFonts w:cs="Arial"/>
          <w:szCs w:val="20"/>
          <w:lang w:val="es-PE" w:eastAsia="es-ES"/>
        </w:rPr>
        <w:t xml:space="preserve">naria no había respondido a las </w:t>
      </w:r>
      <w:r w:rsidRPr="00FE2E22">
        <w:rPr>
          <w:rFonts w:cs="Arial"/>
          <w:szCs w:val="20"/>
          <w:lang w:val="es-PE" w:eastAsia="es-ES"/>
        </w:rPr>
        <w:t>solicitudes de información de la CIDH d</w:t>
      </w:r>
      <w:r w:rsidRPr="00FE2E22">
        <w:rPr>
          <w:rFonts w:cs="Arial"/>
          <w:szCs w:val="20"/>
          <w:lang w:val="es-ES" w:eastAsia="es-ES"/>
        </w:rPr>
        <w:t>e</w:t>
      </w:r>
      <w:r w:rsidRPr="00FE2E22">
        <w:rPr>
          <w:szCs w:val="20"/>
          <w:lang w:val="es-MX" w:eastAsia="es-ES"/>
        </w:rPr>
        <w:t xml:space="preserve"> 8 de agosto de 2006 y 20 de noviembre de 2013</w:t>
      </w:r>
      <w:r w:rsidRPr="00FE2E22">
        <w:rPr>
          <w:rFonts w:cs="Arial"/>
          <w:szCs w:val="20"/>
          <w:lang w:val="es-ES" w:eastAsia="es-ES"/>
        </w:rPr>
        <w:t>.</w:t>
      </w:r>
      <w:r w:rsidRPr="00FE2E22">
        <w:rPr>
          <w:rFonts w:cs="Arial"/>
          <w:szCs w:val="20"/>
          <w:lang w:val="es-PE" w:eastAsia="es-ES"/>
        </w:rPr>
        <w:t xml:space="preserve">  </w:t>
      </w:r>
      <w:r w:rsidRPr="00FE2E22">
        <w:rPr>
          <w:szCs w:val="20"/>
          <w:lang w:val="es-ES" w:eastAsia="es-ES"/>
        </w:rPr>
        <w:t>Realizado el análisis correspondiente, la Comisión considera que no cuenta con la información necesaria para alcanzar una decisión sobre la petición, a pesar de los esfuerzos para obtener dicha información</w:t>
      </w:r>
      <w:r w:rsidR="002F1CBD" w:rsidRPr="00FE2E22">
        <w:rPr>
          <w:szCs w:val="20"/>
          <w:lang w:val="es-ES" w:eastAsia="es-ES"/>
        </w:rPr>
        <w:t>,</w:t>
      </w:r>
      <w:r w:rsidRPr="00FE2E22">
        <w:rPr>
          <w:szCs w:val="20"/>
          <w:lang w:val="es-ES" w:eastAsia="es-ES"/>
        </w:rPr>
        <w:t xml:space="preserve"> y que la injustificada inactividad procesal de la peticionaria constituye un indicio serio de desinterés en la tramitación de la petición, por lo que de conformidad al artículo 48 inciso b) de la Convención así como el artículo 42 del Reglamento de la CIDH, decide archivar la presente petición</w:t>
      </w:r>
      <w:r w:rsidRPr="00FE2E22">
        <w:rPr>
          <w:rFonts w:cs="Arial"/>
          <w:szCs w:val="20"/>
          <w:lang w:val="es-ES" w:eastAsia="es-ES"/>
        </w:rPr>
        <w:t>.</w:t>
      </w:r>
    </w:p>
    <w:p w:rsidR="00786CF0" w:rsidRPr="00FE2E22" w:rsidRDefault="00786CF0" w:rsidP="005B5059">
      <w:pPr>
        <w:jc w:val="both"/>
        <w:rPr>
          <w:rFonts w:cs="Arial"/>
          <w:noProof/>
          <w:spacing w:val="-2"/>
          <w:szCs w:val="20"/>
          <w:lang w:val="es-ES"/>
        </w:rPr>
      </w:pPr>
    </w:p>
    <w:p w:rsidR="00786CF0" w:rsidRPr="00FE2E22" w:rsidRDefault="00786CF0" w:rsidP="005B5059">
      <w:pPr>
        <w:ind w:firstLine="720"/>
        <w:jc w:val="both"/>
        <w:rPr>
          <w:rFonts w:cs="Arial"/>
          <w:szCs w:val="20"/>
          <w:lang w:val="es-ES" w:eastAsia="es-ES"/>
        </w:rPr>
      </w:pPr>
      <w:r w:rsidRPr="00FE2E22">
        <w:rPr>
          <w:rFonts w:cs="Arial"/>
          <w:noProof/>
          <w:spacing w:val="-2"/>
          <w:szCs w:val="20"/>
          <w:lang w:val="es-CL"/>
        </w:rPr>
        <w:t xml:space="preserve">Dado y firmado en la ciudad de Washington, D.C., a los </w:t>
      </w:r>
      <w:r w:rsidR="00FE2E22" w:rsidRPr="00FE2E22">
        <w:rPr>
          <w:rFonts w:cs="Arial"/>
          <w:noProof/>
          <w:spacing w:val="-2"/>
          <w:szCs w:val="20"/>
          <w:lang w:val="es-CL"/>
        </w:rPr>
        <w:t>7</w:t>
      </w:r>
      <w:r w:rsidRPr="00FE2E22">
        <w:rPr>
          <w:rFonts w:cs="Arial"/>
          <w:noProof/>
          <w:spacing w:val="-2"/>
          <w:szCs w:val="20"/>
          <w:lang w:val="es-CL"/>
        </w:rPr>
        <w:t xml:space="preserve"> días del mes de </w:t>
      </w:r>
      <w:r w:rsidR="00FE2E22" w:rsidRPr="00FE2E22">
        <w:rPr>
          <w:rFonts w:cs="Arial"/>
          <w:noProof/>
          <w:spacing w:val="-2"/>
          <w:szCs w:val="20"/>
          <w:lang w:val="es-CL"/>
        </w:rPr>
        <w:t>noviembre</w:t>
      </w:r>
      <w:r w:rsidRPr="00FE2E22">
        <w:rPr>
          <w:rFonts w:cs="Arial"/>
          <w:noProof/>
          <w:spacing w:val="-2"/>
          <w:szCs w:val="20"/>
          <w:lang w:val="es-CL"/>
        </w:rPr>
        <w:t xml:space="preserve"> de 2014.  (Firmado): Tracy Robinson, Presidenta;</w:t>
      </w:r>
      <w:r w:rsidR="00FE2E22" w:rsidRPr="00FE2E22">
        <w:rPr>
          <w:rFonts w:cs="Arial"/>
          <w:noProof/>
          <w:spacing w:val="-2"/>
          <w:szCs w:val="20"/>
          <w:lang w:val="es-CL"/>
        </w:rPr>
        <w:t xml:space="preserve"> </w:t>
      </w:r>
      <w:r w:rsidRPr="00FE2E22">
        <w:rPr>
          <w:rFonts w:cs="Arial"/>
          <w:noProof/>
          <w:spacing w:val="-2"/>
          <w:szCs w:val="20"/>
          <w:lang w:val="es-CL"/>
        </w:rPr>
        <w:t>Rose-Marie Belle Antoine, Primera Vicepresidenta; Felipe González, Segundo Vicepresidente; Rosa María Ortiz, Paulo Vannuchi y James L. Cavallaro, Miembros de la Comisión.</w:t>
      </w:r>
    </w:p>
    <w:p w:rsidR="00786CF0" w:rsidRPr="00FE2E22" w:rsidRDefault="00786CF0" w:rsidP="005B5059">
      <w:pPr>
        <w:ind w:firstLine="540"/>
        <w:jc w:val="both"/>
        <w:rPr>
          <w:rFonts w:cs="Arial"/>
          <w:szCs w:val="20"/>
          <w:lang w:val="es-ES" w:eastAsia="es-ES"/>
        </w:rPr>
      </w:pPr>
    </w:p>
    <w:sectPr w:rsidR="00786CF0" w:rsidRPr="00FE2E22" w:rsidSect="00BC1DB2">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6A" w:rsidRDefault="00A6276A">
      <w:r>
        <w:separator/>
      </w:r>
    </w:p>
  </w:endnote>
  <w:endnote w:type="continuationSeparator" w:id="0">
    <w:p w:rsidR="00A6276A" w:rsidRDefault="00A6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2" w:rsidRPr="00934A2C" w:rsidRDefault="00BC1DB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97DDD">
      <w:rPr>
        <w:noProof/>
        <w:sz w:val="16"/>
        <w:szCs w:val="22"/>
      </w:rPr>
      <w:t>2</w:t>
    </w:r>
    <w:r w:rsidRPr="00934A2C">
      <w:rPr>
        <w:sz w:val="16"/>
        <w:szCs w:val="22"/>
      </w:rPr>
      <w:fldChar w:fldCharType="end"/>
    </w:r>
  </w:p>
  <w:p w:rsidR="00BC1DB2" w:rsidRDefault="00BC1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2" w:rsidRPr="00934A2C" w:rsidRDefault="00BC1DB2">
    <w:pPr>
      <w:pStyle w:val="Footer"/>
      <w:jc w:val="center"/>
      <w:rPr>
        <w:sz w:val="16"/>
        <w:szCs w:val="22"/>
      </w:rPr>
    </w:pPr>
  </w:p>
  <w:p w:rsidR="00BC1DB2" w:rsidRDefault="00BC1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6A" w:rsidRDefault="00A6276A">
      <w:r>
        <w:separator/>
      </w:r>
    </w:p>
  </w:footnote>
  <w:footnote w:type="continuationSeparator" w:id="0">
    <w:p w:rsidR="00A6276A" w:rsidRDefault="00A6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2" w:rsidRDefault="00BC1DB2" w:rsidP="00BC1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1DB2" w:rsidRDefault="00BC1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2" w:rsidRDefault="00BC1DB2" w:rsidP="00BC1DB2">
    <w:pPr>
      <w:pStyle w:val="Header"/>
      <w:tabs>
        <w:tab w:val="clear" w:pos="4320"/>
        <w:tab w:val="clear" w:pos="8640"/>
      </w:tabs>
      <w:jc w:val="center"/>
      <w:rPr>
        <w:sz w:val="22"/>
        <w:szCs w:val="22"/>
      </w:rPr>
    </w:pPr>
    <w:r w:rsidRPr="00CA5AC4">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153.75pt;height:8.25pt;visibility:visible">
          <v:imagedata r:id="rId1" o:title=""/>
        </v:shape>
      </w:pict>
    </w:r>
  </w:p>
  <w:p w:rsidR="00BC1DB2" w:rsidRPr="00EC7D62" w:rsidRDefault="00BC1DB2" w:rsidP="00BC1DB2">
    <w:pPr>
      <w:pStyle w:val="Header"/>
      <w:tabs>
        <w:tab w:val="clear" w:pos="4320"/>
        <w:tab w:val="clear" w:pos="8640"/>
      </w:tabs>
      <w:jc w:val="center"/>
      <w:rPr>
        <w:sz w:val="22"/>
        <w:szCs w:val="22"/>
      </w:rPr>
    </w:pPr>
    <w:r w:rsidRPr="00CA5AC4">
      <w:rPr>
        <w:sz w:val="22"/>
        <w:szCs w:val="22"/>
      </w:rPr>
      <w:pict>
        <v:rect id="_x0000_i1025" style="width:0;height:1.5pt" o:hralign="center" o:hrstd="t" o:hr="t" fillcolor="#a0a0a0" stroked="f">
          <v:imagedata r:id="rId2" o:titl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B2A"/>
    <w:multiLevelType w:val="hybridMultilevel"/>
    <w:tmpl w:val="69A45662"/>
    <w:lvl w:ilvl="0" w:tplc="310853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84263"/>
    <w:multiLevelType w:val="hybridMultilevel"/>
    <w:tmpl w:val="0B7E4CDA"/>
    <w:lvl w:ilvl="0" w:tplc="0C0A0013">
      <w:start w:val="1"/>
      <w:numFmt w:val="upperRoman"/>
      <w:lvlText w:val="%1."/>
      <w:lvlJc w:val="right"/>
      <w:pPr>
        <w:tabs>
          <w:tab w:val="num" w:pos="1248"/>
        </w:tabs>
        <w:ind w:left="1248" w:hanging="180"/>
      </w:pPr>
    </w:lvl>
    <w:lvl w:ilvl="1" w:tplc="0C0A0015">
      <w:start w:val="1"/>
      <w:numFmt w:val="upp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A6B60BF"/>
    <w:multiLevelType w:val="hybridMultilevel"/>
    <w:tmpl w:val="8A4CF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006FC"/>
    <w:multiLevelType w:val="hybridMultilevel"/>
    <w:tmpl w:val="5838D004"/>
    <w:lvl w:ilvl="0" w:tplc="D5D4C836">
      <w:start w:val="1"/>
      <w:numFmt w:val="decimal"/>
      <w:lvlText w:val="%1."/>
      <w:lvlJc w:val="left"/>
      <w:pPr>
        <w:tabs>
          <w:tab w:val="num" w:pos="720"/>
        </w:tabs>
        <w:ind w:left="720" w:hanging="360"/>
      </w:pPr>
      <w:rPr>
        <w:b/>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B877D21"/>
    <w:multiLevelType w:val="multilevel"/>
    <w:tmpl w:val="CB8669EE"/>
    <w:lvl w:ilvl="0">
      <w:start w:val="1"/>
      <w:numFmt w:val="upperLetter"/>
      <w:lvlText w:val="%1."/>
      <w:lvlJc w:val="left"/>
      <w:pPr>
        <w:tabs>
          <w:tab w:val="num" w:pos="540"/>
        </w:tabs>
        <w:ind w:left="540" w:hanging="360"/>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nsid w:val="444975CB"/>
    <w:multiLevelType w:val="multilevel"/>
    <w:tmpl w:val="0C0A0027"/>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nsid w:val="59902175"/>
    <w:multiLevelType w:val="hybridMultilevel"/>
    <w:tmpl w:val="432C58DA"/>
    <w:lvl w:ilvl="0" w:tplc="000C35F2">
      <w:start w:val="1"/>
      <w:numFmt w:val="decimal"/>
      <w:lvlText w:val="%1."/>
      <w:lvlJc w:val="left"/>
      <w:pPr>
        <w:tabs>
          <w:tab w:val="num" w:pos="540"/>
        </w:tabs>
        <w:ind w:left="-180" w:firstLine="720"/>
      </w:pPr>
      <w:rPr>
        <w:rFonts w:hint="default"/>
        <w:b w:val="0"/>
        <w:color w:val="000000"/>
        <w:sz w:val="20"/>
        <w:szCs w:val="2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BFE6718"/>
    <w:multiLevelType w:val="hybridMultilevel"/>
    <w:tmpl w:val="431C03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3336DB0"/>
    <w:multiLevelType w:val="hybridMultilevel"/>
    <w:tmpl w:val="B7BADAE0"/>
    <w:lvl w:ilvl="0" w:tplc="387C71D0">
      <w:start w:val="2"/>
      <w:numFmt w:val="upperLetter"/>
      <w:lvlText w:val="%1."/>
      <w:lvlJc w:val="left"/>
      <w:pPr>
        <w:tabs>
          <w:tab w:val="num" w:pos="1410"/>
        </w:tabs>
        <w:ind w:left="1410" w:hanging="69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63480A74"/>
    <w:multiLevelType w:val="hybridMultilevel"/>
    <w:tmpl w:val="664E4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725ED"/>
    <w:multiLevelType w:val="hybridMultilevel"/>
    <w:tmpl w:val="8BB088C0"/>
    <w:lvl w:ilvl="0" w:tplc="181EA784">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71D2344"/>
    <w:multiLevelType w:val="hybridMultilevel"/>
    <w:tmpl w:val="EE12BF82"/>
    <w:lvl w:ilvl="0" w:tplc="BD26FE8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730CEF2E">
      <w:start w:val="2"/>
      <w:numFmt w:val="upperLetter"/>
      <w:lvlText w:val="%3."/>
      <w:lvlJc w:val="left"/>
      <w:pPr>
        <w:tabs>
          <w:tab w:val="num" w:pos="2670"/>
        </w:tabs>
        <w:ind w:left="2670" w:hanging="690"/>
      </w:pPr>
      <w:rPr>
        <w:rFonts w:hint="default"/>
        <w:lang w:val="es-E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6178E8"/>
    <w:multiLevelType w:val="hybridMultilevel"/>
    <w:tmpl w:val="1D5A7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B0F18"/>
    <w:multiLevelType w:val="hybridMultilevel"/>
    <w:tmpl w:val="0660F402"/>
    <w:lvl w:ilvl="0" w:tplc="D0F866B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4"/>
  </w:num>
  <w:num w:numId="3">
    <w:abstractNumId w:val="7"/>
  </w:num>
  <w:num w:numId="4">
    <w:abstractNumId w:val="11"/>
  </w:num>
  <w:num w:numId="5">
    <w:abstractNumId w:val="3"/>
  </w:num>
  <w:num w:numId="6">
    <w:abstractNumId w:val="1"/>
  </w:num>
  <w:num w:numId="7">
    <w:abstractNumId w:val="2"/>
  </w:num>
  <w:num w:numId="8">
    <w:abstractNumId w:val="12"/>
  </w:num>
  <w:num w:numId="9">
    <w:abstractNumId w:val="6"/>
  </w:num>
  <w:num w:numId="10">
    <w:abstractNumId w:val="8"/>
  </w:num>
  <w:num w:numId="11">
    <w:abstractNumId w:val="0"/>
  </w:num>
  <w:num w:numId="12">
    <w:abstractNumId w:val="9"/>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E2A"/>
    <w:rsid w:val="00024714"/>
    <w:rsid w:val="0004326A"/>
    <w:rsid w:val="00061B54"/>
    <w:rsid w:val="00072CD3"/>
    <w:rsid w:val="000A2321"/>
    <w:rsid w:val="000D6422"/>
    <w:rsid w:val="000F1174"/>
    <w:rsid w:val="00111239"/>
    <w:rsid w:val="001119F8"/>
    <w:rsid w:val="00133059"/>
    <w:rsid w:val="00136B8F"/>
    <w:rsid w:val="001607AB"/>
    <w:rsid w:val="00164010"/>
    <w:rsid w:val="00177D61"/>
    <w:rsid w:val="00193348"/>
    <w:rsid w:val="001A4141"/>
    <w:rsid w:val="001A5541"/>
    <w:rsid w:val="001B2E67"/>
    <w:rsid w:val="00206F35"/>
    <w:rsid w:val="0023273B"/>
    <w:rsid w:val="00241F81"/>
    <w:rsid w:val="00243161"/>
    <w:rsid w:val="00272C18"/>
    <w:rsid w:val="00297796"/>
    <w:rsid w:val="002A4705"/>
    <w:rsid w:val="002C1ADB"/>
    <w:rsid w:val="002F1CBD"/>
    <w:rsid w:val="00324E2A"/>
    <w:rsid w:val="003740B8"/>
    <w:rsid w:val="00377BC8"/>
    <w:rsid w:val="003A79A1"/>
    <w:rsid w:val="004124BA"/>
    <w:rsid w:val="00414A45"/>
    <w:rsid w:val="00434B93"/>
    <w:rsid w:val="00441E6E"/>
    <w:rsid w:val="00455F25"/>
    <w:rsid w:val="0049572E"/>
    <w:rsid w:val="004D6124"/>
    <w:rsid w:val="004D7140"/>
    <w:rsid w:val="004E5DAC"/>
    <w:rsid w:val="00546251"/>
    <w:rsid w:val="005477B1"/>
    <w:rsid w:val="005B5059"/>
    <w:rsid w:val="005C607B"/>
    <w:rsid w:val="005F2761"/>
    <w:rsid w:val="005F2C81"/>
    <w:rsid w:val="0060199D"/>
    <w:rsid w:val="00604C19"/>
    <w:rsid w:val="00612755"/>
    <w:rsid w:val="00671DC5"/>
    <w:rsid w:val="00684EB8"/>
    <w:rsid w:val="00690997"/>
    <w:rsid w:val="00697DDD"/>
    <w:rsid w:val="006A6B33"/>
    <w:rsid w:val="006D5DC2"/>
    <w:rsid w:val="006F07B8"/>
    <w:rsid w:val="006F4E4A"/>
    <w:rsid w:val="0071329C"/>
    <w:rsid w:val="0073470A"/>
    <w:rsid w:val="00780E5C"/>
    <w:rsid w:val="00786CF0"/>
    <w:rsid w:val="00791F8A"/>
    <w:rsid w:val="00811B56"/>
    <w:rsid w:val="008150AD"/>
    <w:rsid w:val="00824444"/>
    <w:rsid w:val="00846DBF"/>
    <w:rsid w:val="00852A7F"/>
    <w:rsid w:val="00856B9F"/>
    <w:rsid w:val="00872FF8"/>
    <w:rsid w:val="00873445"/>
    <w:rsid w:val="008F7B08"/>
    <w:rsid w:val="00932408"/>
    <w:rsid w:val="00934F02"/>
    <w:rsid w:val="0095741F"/>
    <w:rsid w:val="00962D54"/>
    <w:rsid w:val="009708C0"/>
    <w:rsid w:val="009D38C1"/>
    <w:rsid w:val="009E7230"/>
    <w:rsid w:val="00A050E9"/>
    <w:rsid w:val="00A21F5E"/>
    <w:rsid w:val="00A345AB"/>
    <w:rsid w:val="00A52BF9"/>
    <w:rsid w:val="00A6276A"/>
    <w:rsid w:val="00A7152E"/>
    <w:rsid w:val="00AA30AF"/>
    <w:rsid w:val="00AF3074"/>
    <w:rsid w:val="00B5051E"/>
    <w:rsid w:val="00B519E7"/>
    <w:rsid w:val="00B71BE3"/>
    <w:rsid w:val="00B91E22"/>
    <w:rsid w:val="00B9511C"/>
    <w:rsid w:val="00BB4424"/>
    <w:rsid w:val="00BC1DB2"/>
    <w:rsid w:val="00BF0206"/>
    <w:rsid w:val="00C16EA2"/>
    <w:rsid w:val="00C3659C"/>
    <w:rsid w:val="00C44463"/>
    <w:rsid w:val="00CB42F5"/>
    <w:rsid w:val="00CD294D"/>
    <w:rsid w:val="00CD4803"/>
    <w:rsid w:val="00CD60BF"/>
    <w:rsid w:val="00CF7CC2"/>
    <w:rsid w:val="00D01443"/>
    <w:rsid w:val="00D33918"/>
    <w:rsid w:val="00D53A94"/>
    <w:rsid w:val="00DC3F6D"/>
    <w:rsid w:val="00DC6554"/>
    <w:rsid w:val="00DF7913"/>
    <w:rsid w:val="00E04CBA"/>
    <w:rsid w:val="00E33478"/>
    <w:rsid w:val="00EB0DE3"/>
    <w:rsid w:val="00EB6828"/>
    <w:rsid w:val="00EF7A16"/>
    <w:rsid w:val="00EF7BF9"/>
    <w:rsid w:val="00F17290"/>
    <w:rsid w:val="00F45453"/>
    <w:rsid w:val="00F770D6"/>
    <w:rsid w:val="00FE2E22"/>
    <w:rsid w:val="00FE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059"/>
    <w:rPr>
      <w:rFonts w:ascii="Cambria" w:hAnsi="Cambria"/>
      <w:szCs w:val="24"/>
    </w:rPr>
  </w:style>
  <w:style w:type="paragraph" w:styleId="Heading1">
    <w:name w:val="heading 1"/>
    <w:basedOn w:val="Normal"/>
    <w:next w:val="Normal"/>
    <w:link w:val="Heading1Char"/>
    <w:qFormat/>
    <w:rsid w:val="00136B8F"/>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semiHidden/>
    <w:unhideWhenUsed/>
    <w:qFormat/>
    <w:rsid w:val="00136B8F"/>
    <w:pPr>
      <w:keepNext/>
      <w:spacing w:before="240" w:after="60"/>
      <w:outlineLvl w:val="1"/>
    </w:pPr>
    <w:rPr>
      <w:b/>
      <w:bCs/>
      <w:i/>
      <w:i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324E2A"/>
    <w:pPr>
      <w:tabs>
        <w:tab w:val="center" w:pos="4513"/>
        <w:tab w:val="right" w:pos="9026"/>
      </w:tabs>
    </w:pPr>
    <w:rPr>
      <w:rFonts w:cs="Cambria"/>
      <w:color w:val="000000"/>
      <w:u w:color="000000"/>
      <w:lang w:eastAsia="es-ES"/>
    </w:rPr>
  </w:style>
  <w:style w:type="character" w:customStyle="1" w:styleId="FooterChar">
    <w:name w:val="Footer Char"/>
    <w:link w:val="Footer"/>
    <w:locked/>
    <w:rsid w:val="00324E2A"/>
    <w:rPr>
      <w:rFonts w:ascii="Cambria" w:hAnsi="Cambria" w:cs="Cambria"/>
      <w:color w:val="000000"/>
      <w:sz w:val="24"/>
      <w:szCs w:val="24"/>
      <w:u w:color="000000"/>
      <w:lang w:val="en-US" w:eastAsia="es-ES" w:bidi="ar-SA"/>
    </w:rPr>
  </w:style>
  <w:style w:type="paragraph" w:styleId="Header">
    <w:name w:val="header"/>
    <w:aliases w:val="encabezado"/>
    <w:basedOn w:val="Normal"/>
    <w:link w:val="HeaderChar"/>
    <w:rsid w:val="00324E2A"/>
    <w:pPr>
      <w:widowControl w:val="0"/>
      <w:tabs>
        <w:tab w:val="center" w:pos="4320"/>
        <w:tab w:val="right" w:pos="8640"/>
      </w:tabs>
      <w:snapToGrid w:val="0"/>
    </w:pPr>
    <w:rPr>
      <w:rFonts w:ascii="Univers" w:eastAsia="Arial Unicode MS" w:hAnsi="Univers" w:cs="Univers"/>
    </w:rPr>
  </w:style>
  <w:style w:type="character" w:customStyle="1" w:styleId="HeaderChar">
    <w:name w:val="Header Char"/>
    <w:aliases w:val="encabezado Char"/>
    <w:link w:val="Header"/>
    <w:locked/>
    <w:rsid w:val="00324E2A"/>
    <w:rPr>
      <w:rFonts w:ascii="Univers" w:eastAsia="Arial Unicode MS" w:hAnsi="Univers" w:cs="Univers"/>
      <w:sz w:val="24"/>
      <w:szCs w:val="24"/>
      <w:lang w:val="en-US" w:eastAsia="en-US" w:bidi="ar-SA"/>
    </w:rPr>
  </w:style>
  <w:style w:type="character" w:styleId="PageNumber">
    <w:name w:val="page number"/>
    <w:rsid w:val="00324E2A"/>
    <w:rPr>
      <w:rFonts w:cs="Times New Roman"/>
    </w:rPr>
  </w:style>
  <w:style w:type="paragraph" w:customStyle="1" w:styleId="ecxmsonormal">
    <w:name w:val="ecxmsonormal"/>
    <w:basedOn w:val="Normal"/>
    <w:rsid w:val="00324E2A"/>
    <w:rPr>
      <w:lang w:val="es-ES" w:eastAsia="es-ES"/>
    </w:rPr>
  </w:style>
  <w:style w:type="paragraph" w:styleId="NormalWeb">
    <w:name w:val="Normal (Web)"/>
    <w:basedOn w:val="Normal"/>
    <w:rsid w:val="00324E2A"/>
    <w:pPr>
      <w:spacing w:before="100" w:beforeAutospacing="1" w:after="100" w:afterAutospacing="1"/>
    </w:pPr>
    <w:rPr>
      <w:lang w:val="es-ES" w:eastAsia="es-ES"/>
    </w:rPr>
  </w:style>
  <w:style w:type="paragraph" w:styleId="DocumentMap">
    <w:name w:val="Document Map"/>
    <w:basedOn w:val="Normal"/>
    <w:semiHidden/>
    <w:rsid w:val="00441E6E"/>
    <w:pPr>
      <w:shd w:val="clear" w:color="auto" w:fill="000080"/>
    </w:pPr>
    <w:rPr>
      <w:rFonts w:ascii="Tahoma" w:hAnsi="Tahoma" w:cs="Tahoma"/>
      <w:szCs w:val="20"/>
    </w:rPr>
  </w:style>
  <w:style w:type="paragraph" w:styleId="ListParagraph">
    <w:name w:val="List Paragraph"/>
    <w:basedOn w:val="Normal"/>
    <w:uiPriority w:val="34"/>
    <w:qFormat/>
    <w:rsid w:val="003740B8"/>
    <w:pPr>
      <w:ind w:left="720"/>
    </w:pPr>
  </w:style>
  <w:style w:type="paragraph" w:styleId="BalloonText">
    <w:name w:val="Balloon Text"/>
    <w:basedOn w:val="Normal"/>
    <w:link w:val="BalloonTextChar"/>
    <w:rsid w:val="004124BA"/>
    <w:rPr>
      <w:rFonts w:ascii="Tahoma" w:hAnsi="Tahoma"/>
      <w:sz w:val="16"/>
      <w:szCs w:val="16"/>
      <w:lang w:val="x-none" w:eastAsia="x-none"/>
    </w:rPr>
  </w:style>
  <w:style w:type="character" w:customStyle="1" w:styleId="BalloonTextChar">
    <w:name w:val="Balloon Text Char"/>
    <w:link w:val="BalloonText"/>
    <w:rsid w:val="004124BA"/>
    <w:rPr>
      <w:rFonts w:ascii="Tahoma" w:hAnsi="Tahoma" w:cs="Tahoma"/>
      <w:sz w:val="16"/>
      <w:szCs w:val="16"/>
    </w:rPr>
  </w:style>
  <w:style w:type="paragraph" w:styleId="TOC1">
    <w:name w:val="toc 1"/>
    <w:basedOn w:val="Normal"/>
    <w:next w:val="Normal"/>
    <w:autoRedefine/>
    <w:uiPriority w:val="39"/>
    <w:rsid w:val="00136B8F"/>
  </w:style>
  <w:style w:type="character" w:styleId="Hyperlink">
    <w:name w:val="Hyperlink"/>
    <w:uiPriority w:val="99"/>
    <w:unhideWhenUsed/>
    <w:rsid w:val="00136B8F"/>
    <w:rPr>
      <w:color w:val="0000FF"/>
      <w:u w:val="single"/>
    </w:rPr>
  </w:style>
  <w:style w:type="character" w:customStyle="1" w:styleId="Heading1Char">
    <w:name w:val="Heading 1 Char"/>
    <w:link w:val="Heading1"/>
    <w:rsid w:val="00136B8F"/>
    <w:rPr>
      <w:rFonts w:ascii="Cambria" w:eastAsia="Times New Roman" w:hAnsi="Cambria" w:cs="Times New Roman"/>
      <w:b/>
      <w:bCs/>
      <w:kern w:val="32"/>
      <w:sz w:val="32"/>
      <w:szCs w:val="32"/>
    </w:rPr>
  </w:style>
  <w:style w:type="paragraph" w:customStyle="1" w:styleId="StyleHeading1LatinCambria10ptBlackLeft05">
    <w:name w:val="Style Heading 1 + (Latin) Cambria 10 pt Black Left:  0.5&quot;"/>
    <w:basedOn w:val="Heading2"/>
    <w:rsid w:val="00136B8F"/>
    <w:pPr>
      <w:ind w:left="720"/>
    </w:pPr>
    <w:rPr>
      <w:color w:val="000000"/>
      <w:sz w:val="20"/>
      <w:szCs w:val="20"/>
    </w:rPr>
  </w:style>
  <w:style w:type="paragraph" w:customStyle="1" w:styleId="StyleCambria10ptBoldBlackTopNoborderBottomNobo">
    <w:name w:val="Style Cambria 10 pt Bold Black Top: (No border) Bottom: (No bo..."/>
    <w:basedOn w:val="Heading2"/>
    <w:rsid w:val="004E5DAC"/>
    <w:rPr>
      <w:b w:val="0"/>
      <w:bCs w:val="0"/>
      <w:color w:val="000000"/>
      <w:sz w:val="20"/>
      <w:szCs w:val="20"/>
    </w:rPr>
  </w:style>
  <w:style w:type="character" w:customStyle="1" w:styleId="Heading2Char">
    <w:name w:val="Heading 2 Char"/>
    <w:link w:val="Heading2"/>
    <w:semiHidden/>
    <w:rsid w:val="00136B8F"/>
    <w:rPr>
      <w:rFonts w:ascii="Cambria" w:eastAsia="Times New Roman" w:hAnsi="Cambria" w:cs="Times New Roman"/>
      <w:b/>
      <w:bCs/>
      <w:i/>
      <w:iCs/>
      <w:sz w:val="28"/>
      <w:szCs w:val="28"/>
    </w:rPr>
  </w:style>
  <w:style w:type="paragraph" w:styleId="TOC2">
    <w:name w:val="toc 2"/>
    <w:basedOn w:val="Normal"/>
    <w:next w:val="Normal"/>
    <w:autoRedefine/>
    <w:uiPriority w:val="39"/>
    <w:rsid w:val="002C1ADB"/>
    <w:pPr>
      <w:ind w:left="240"/>
    </w:pPr>
  </w:style>
  <w:style w:type="paragraph" w:styleId="FootnoteText">
    <w:name w:val="footnote text"/>
    <w:basedOn w:val="Normal"/>
    <w:link w:val="FootnoteTextChar"/>
    <w:rsid w:val="00072CD3"/>
    <w:rPr>
      <w:szCs w:val="20"/>
    </w:rPr>
  </w:style>
  <w:style w:type="character" w:customStyle="1" w:styleId="FootnoteTextChar">
    <w:name w:val="Footnote Text Char"/>
    <w:basedOn w:val="DefaultParagraphFont"/>
    <w:link w:val="FootnoteText"/>
    <w:rsid w:val="00072CD3"/>
  </w:style>
  <w:style w:type="character" w:styleId="FootnoteReference">
    <w:name w:val="footnote reference"/>
    <w:rsid w:val="00072C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3E4F1-0E6C-4F1E-BA27-BFF1BB9D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4551</Characters>
  <Application>Microsoft Office Word</Application>
  <DocSecurity>0</DocSecurity>
  <Lines>146</Lines>
  <Paragraphs>31</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Leon</dc:creator>
  <cp:lastModifiedBy>%OAS%</cp:lastModifiedBy>
  <cp:revision>2</cp:revision>
  <cp:lastPrinted>2014-10-24T15:12:00Z</cp:lastPrinted>
  <dcterms:created xsi:type="dcterms:W3CDTF">2015-03-02T14:45:00Z</dcterms:created>
  <dcterms:modified xsi:type="dcterms:W3CDTF">2015-03-02T14:45:00Z</dcterms:modified>
</cp:coreProperties>
</file>