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AEF71" w14:textId="77777777" w:rsidR="00EE2E44" w:rsidRPr="00554BC1" w:rsidRDefault="00235324" w:rsidP="00D770DF">
      <w:pPr>
        <w:spacing w:after="0" w:line="240" w:lineRule="auto"/>
        <w:jc w:val="center"/>
        <w:rPr>
          <w:rFonts w:ascii="Cambria" w:hAnsi="Cambria"/>
          <w:b/>
          <w:color w:val="000000"/>
          <w:sz w:val="20"/>
          <w:szCs w:val="20"/>
          <w:lang w:val="es-ES"/>
        </w:rPr>
      </w:pPr>
      <w:r w:rsidRPr="00554BC1">
        <w:rPr>
          <w:rFonts w:ascii="Cambria" w:hAnsi="Cambria"/>
          <w:b/>
          <w:sz w:val="20"/>
          <w:szCs w:val="20"/>
          <w:lang w:val="es-ES"/>
        </w:rPr>
        <w:t xml:space="preserve">FICHA DE SEGUIMENTO DEL INFORME </w:t>
      </w:r>
      <w:r w:rsidR="00D770DF" w:rsidRPr="00554BC1">
        <w:rPr>
          <w:rFonts w:ascii="Cambria" w:hAnsi="Cambria"/>
          <w:b/>
          <w:sz w:val="20"/>
          <w:szCs w:val="20"/>
          <w:lang w:val="es-ES"/>
        </w:rPr>
        <w:t xml:space="preserve">Nº </w:t>
      </w:r>
      <w:r w:rsidR="00EE2E44" w:rsidRPr="00554BC1">
        <w:rPr>
          <w:rFonts w:ascii="Cambria" w:hAnsi="Cambria"/>
          <w:b/>
          <w:color w:val="000000"/>
          <w:sz w:val="20"/>
          <w:szCs w:val="20"/>
          <w:lang w:val="es-ES"/>
        </w:rPr>
        <w:t>124/06</w:t>
      </w:r>
    </w:p>
    <w:p w14:paraId="013268CC" w14:textId="3EB224D0" w:rsidR="00D770DF" w:rsidRPr="00554BC1" w:rsidRDefault="00235324" w:rsidP="00D770DF">
      <w:pPr>
        <w:spacing w:after="0" w:line="240" w:lineRule="auto"/>
        <w:jc w:val="center"/>
        <w:rPr>
          <w:rFonts w:ascii="Cambria" w:hAnsi="Cambria"/>
          <w:b/>
          <w:sz w:val="20"/>
          <w:szCs w:val="20"/>
          <w:lang w:val="es-ES"/>
        </w:rPr>
      </w:pPr>
      <w:r w:rsidRPr="00554BC1">
        <w:rPr>
          <w:rFonts w:ascii="Cambria" w:hAnsi="Cambria"/>
          <w:b/>
          <w:sz w:val="20"/>
          <w:szCs w:val="20"/>
          <w:lang w:val="es-ES"/>
        </w:rPr>
        <w:t xml:space="preserve">CASO </w:t>
      </w:r>
      <w:r w:rsidR="00EE2E44" w:rsidRPr="00554BC1">
        <w:rPr>
          <w:rFonts w:ascii="Cambria" w:hAnsi="Cambria"/>
          <w:b/>
          <w:color w:val="000000"/>
          <w:sz w:val="20"/>
          <w:szCs w:val="20"/>
          <w:lang w:val="es-ES"/>
        </w:rPr>
        <w:t>11.500</w:t>
      </w:r>
    </w:p>
    <w:p w14:paraId="05EB1D2D" w14:textId="37ECE395" w:rsidR="00D770DF" w:rsidRPr="00554BC1" w:rsidRDefault="00D770DF" w:rsidP="00D770DF">
      <w:pPr>
        <w:spacing w:after="0" w:line="240" w:lineRule="auto"/>
        <w:jc w:val="center"/>
        <w:rPr>
          <w:rFonts w:ascii="Cambria" w:hAnsi="Cambria"/>
          <w:b/>
          <w:sz w:val="20"/>
          <w:szCs w:val="20"/>
          <w:lang w:val="es-ES"/>
        </w:rPr>
      </w:pPr>
      <w:r w:rsidRPr="00554BC1">
        <w:rPr>
          <w:rFonts w:ascii="Cambria" w:hAnsi="Cambria"/>
          <w:b/>
          <w:sz w:val="20"/>
          <w:szCs w:val="20"/>
          <w:lang w:val="es-ES"/>
        </w:rPr>
        <w:t xml:space="preserve"> </w:t>
      </w:r>
      <w:r w:rsidR="00E32FE9" w:rsidRPr="00554BC1">
        <w:rPr>
          <w:rFonts w:ascii="Cambria" w:hAnsi="Cambria"/>
          <w:b/>
          <w:color w:val="000000"/>
          <w:sz w:val="20"/>
          <w:szCs w:val="20"/>
          <w:lang w:val="es-ES"/>
        </w:rPr>
        <w:t>TOMÁS EDUARDO CIRIO</w:t>
      </w:r>
    </w:p>
    <w:p w14:paraId="27CAEA44" w14:textId="77777777" w:rsidR="00D770DF" w:rsidRPr="00554BC1" w:rsidRDefault="00D770DF" w:rsidP="00D770DF">
      <w:pPr>
        <w:spacing w:after="0" w:line="240" w:lineRule="auto"/>
        <w:jc w:val="center"/>
        <w:rPr>
          <w:rFonts w:ascii="Cambria" w:hAnsi="Cambria"/>
          <w:b/>
          <w:sz w:val="20"/>
          <w:szCs w:val="20"/>
          <w:lang w:val="es-ES"/>
        </w:rPr>
      </w:pPr>
      <w:r w:rsidRPr="00554BC1">
        <w:rPr>
          <w:rFonts w:ascii="Cambria" w:hAnsi="Cambria"/>
          <w:b/>
          <w:sz w:val="20"/>
          <w:szCs w:val="20"/>
          <w:lang w:val="es-ES"/>
        </w:rPr>
        <w:t xml:space="preserve"> (Uruguay)</w:t>
      </w:r>
    </w:p>
    <w:p w14:paraId="2E8A0A67" w14:textId="77777777" w:rsidR="00D770DF" w:rsidRPr="00554BC1" w:rsidRDefault="00D770DF" w:rsidP="00D770DF">
      <w:pPr>
        <w:spacing w:after="0" w:line="240" w:lineRule="auto"/>
        <w:jc w:val="center"/>
        <w:rPr>
          <w:rFonts w:ascii="Cambria" w:hAnsi="Cambria"/>
          <w:sz w:val="20"/>
          <w:szCs w:val="20"/>
          <w:lang w:val="es-ES"/>
        </w:rPr>
      </w:pPr>
    </w:p>
    <w:p w14:paraId="00BDE7DA" w14:textId="77777777" w:rsidR="00D770DF" w:rsidRPr="00554BC1" w:rsidRDefault="00D770DF" w:rsidP="00235324">
      <w:pPr>
        <w:numPr>
          <w:ilvl w:val="0"/>
          <w:numId w:val="1"/>
        </w:numPr>
        <w:spacing w:after="0" w:line="240" w:lineRule="auto"/>
        <w:ind w:left="1440"/>
        <w:rPr>
          <w:rFonts w:ascii="Cambria" w:hAnsi="Cambria" w:cs="Calibri Light"/>
          <w:b/>
          <w:sz w:val="20"/>
          <w:szCs w:val="20"/>
          <w:lang w:val="es-ES"/>
        </w:rPr>
      </w:pPr>
      <w:r w:rsidRPr="00554BC1">
        <w:rPr>
          <w:rFonts w:ascii="Cambria" w:hAnsi="Cambria" w:cs="Calibri Light"/>
          <w:b/>
          <w:sz w:val="20"/>
          <w:szCs w:val="20"/>
          <w:lang w:val="es-ES"/>
        </w:rPr>
        <w:t xml:space="preserve">Resumen del caso </w:t>
      </w:r>
    </w:p>
    <w:p w14:paraId="10744A89" w14:textId="77777777" w:rsidR="00D770DF" w:rsidRPr="00554BC1" w:rsidRDefault="00D770DF" w:rsidP="00D770DF">
      <w:pPr>
        <w:spacing w:after="0" w:line="240" w:lineRule="auto"/>
        <w:ind w:left="1080"/>
        <w:rPr>
          <w:rFonts w:ascii="Cambria" w:hAnsi="Cambria" w:cs="Calibri Light"/>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76"/>
      </w:tblGrid>
      <w:tr w:rsidR="00D770DF" w:rsidRPr="007E1999" w14:paraId="1B9A9D08" w14:textId="77777777" w:rsidTr="003B703C">
        <w:trPr>
          <w:jc w:val="center"/>
        </w:trPr>
        <w:tc>
          <w:tcPr>
            <w:tcW w:w="9576" w:type="dxa"/>
            <w:shd w:val="clear" w:color="auto" w:fill="F2F2F2"/>
          </w:tcPr>
          <w:p w14:paraId="585C2BAB" w14:textId="6BE5B608" w:rsidR="00D770DF" w:rsidRPr="00554BC1" w:rsidRDefault="00D770DF" w:rsidP="00235324">
            <w:pPr>
              <w:spacing w:before="120" w:after="0" w:line="240" w:lineRule="auto"/>
              <w:jc w:val="both"/>
              <w:rPr>
                <w:rFonts w:ascii="Cambria" w:hAnsi="Cambria"/>
                <w:b/>
                <w:sz w:val="20"/>
                <w:szCs w:val="20"/>
                <w:lang w:val="es-ES"/>
              </w:rPr>
            </w:pPr>
            <w:r w:rsidRPr="00554BC1">
              <w:rPr>
                <w:rFonts w:ascii="Cambria" w:hAnsi="Cambria"/>
                <w:b/>
                <w:sz w:val="20"/>
                <w:szCs w:val="20"/>
                <w:lang w:val="es-ES"/>
              </w:rPr>
              <w:t xml:space="preserve">Víctima (s): </w:t>
            </w:r>
            <w:r w:rsidR="00857226" w:rsidRPr="00554BC1">
              <w:rPr>
                <w:rFonts w:ascii="Cambria" w:hAnsi="Cambria"/>
                <w:color w:val="000000"/>
                <w:sz w:val="20"/>
                <w:szCs w:val="20"/>
                <w:lang w:val="es-ES"/>
              </w:rPr>
              <w:t>Tomás Eduardo Cirio</w:t>
            </w:r>
          </w:p>
          <w:p w14:paraId="63042E2A" w14:textId="63BB2C9B" w:rsidR="00D770DF" w:rsidRPr="00554BC1" w:rsidRDefault="00FC6D1C" w:rsidP="008F5E62">
            <w:pPr>
              <w:spacing w:after="0" w:line="240" w:lineRule="auto"/>
              <w:jc w:val="both"/>
              <w:rPr>
                <w:rFonts w:ascii="Cambria" w:hAnsi="Cambria"/>
                <w:b/>
                <w:sz w:val="20"/>
                <w:szCs w:val="20"/>
                <w:lang w:val="es-ES"/>
              </w:rPr>
            </w:pPr>
            <w:r w:rsidRPr="00554BC1">
              <w:rPr>
                <w:rFonts w:ascii="Cambria" w:hAnsi="Cambria"/>
                <w:b/>
                <w:sz w:val="20"/>
                <w:szCs w:val="20"/>
                <w:lang w:val="es-ES"/>
              </w:rPr>
              <w:t>Peticionario</w:t>
            </w:r>
            <w:r w:rsidR="00D770DF" w:rsidRPr="00554BC1">
              <w:rPr>
                <w:rFonts w:ascii="Cambria" w:hAnsi="Cambria"/>
                <w:b/>
                <w:sz w:val="20"/>
                <w:szCs w:val="20"/>
                <w:lang w:val="es-ES"/>
              </w:rPr>
              <w:t xml:space="preserve"> (s):</w:t>
            </w:r>
            <w:r w:rsidR="00D770DF" w:rsidRPr="00554BC1">
              <w:rPr>
                <w:rFonts w:ascii="Cambria" w:hAnsi="Cambria"/>
                <w:sz w:val="20"/>
                <w:szCs w:val="20"/>
                <w:lang w:val="es-ES"/>
              </w:rPr>
              <w:t xml:space="preserve"> </w:t>
            </w:r>
            <w:r w:rsidR="00857226" w:rsidRPr="00554BC1">
              <w:rPr>
                <w:rFonts w:ascii="Cambria" w:hAnsi="Cambria"/>
                <w:color w:val="000000"/>
                <w:sz w:val="20"/>
                <w:szCs w:val="20"/>
                <w:lang w:val="es-ES"/>
              </w:rPr>
              <w:t>Tomás Eduardo Cirio</w:t>
            </w:r>
          </w:p>
          <w:p w14:paraId="326BE271" w14:textId="77777777" w:rsidR="00D770DF" w:rsidRPr="00554BC1" w:rsidRDefault="00D770DF" w:rsidP="008F5E62">
            <w:pPr>
              <w:spacing w:after="0" w:line="240" w:lineRule="auto"/>
              <w:jc w:val="both"/>
              <w:rPr>
                <w:rFonts w:ascii="Cambria" w:hAnsi="Cambria"/>
                <w:sz w:val="20"/>
                <w:szCs w:val="20"/>
                <w:lang w:val="es-ES"/>
              </w:rPr>
            </w:pPr>
            <w:r w:rsidRPr="00554BC1">
              <w:rPr>
                <w:rFonts w:ascii="Cambria" w:hAnsi="Cambria"/>
                <w:b/>
                <w:sz w:val="20"/>
                <w:szCs w:val="20"/>
                <w:lang w:val="es-ES"/>
              </w:rPr>
              <w:t xml:space="preserve">Estado: </w:t>
            </w:r>
            <w:r w:rsidRPr="00554BC1">
              <w:rPr>
                <w:rFonts w:ascii="Cambria" w:hAnsi="Cambria"/>
                <w:sz w:val="20"/>
                <w:szCs w:val="20"/>
                <w:lang w:val="es-ES"/>
              </w:rPr>
              <w:t xml:space="preserve">Uruguay </w:t>
            </w:r>
          </w:p>
          <w:p w14:paraId="6FDAD314" w14:textId="60C94A03" w:rsidR="00D770DF" w:rsidRPr="00554BC1" w:rsidRDefault="00782CAA" w:rsidP="008F5E62">
            <w:pPr>
              <w:spacing w:after="0" w:line="240" w:lineRule="auto"/>
              <w:jc w:val="both"/>
              <w:rPr>
                <w:rFonts w:ascii="Cambria" w:hAnsi="Cambria"/>
                <w:sz w:val="20"/>
                <w:szCs w:val="20"/>
                <w:lang w:val="es-ES"/>
              </w:rPr>
            </w:pPr>
            <w:r w:rsidRPr="00554BC1">
              <w:rPr>
                <w:rFonts w:ascii="Cambria" w:hAnsi="Cambria"/>
                <w:b/>
                <w:sz w:val="20"/>
                <w:szCs w:val="20"/>
                <w:lang w:val="es-ES"/>
              </w:rPr>
              <w:t>Informe de Fondo Nº</w:t>
            </w:r>
            <w:r w:rsidR="000D3773" w:rsidRPr="00554BC1">
              <w:rPr>
                <w:rFonts w:ascii="Cambria" w:hAnsi="Cambria"/>
                <w:b/>
                <w:sz w:val="20"/>
                <w:szCs w:val="20"/>
                <w:lang w:val="es-ES"/>
              </w:rPr>
              <w:t>:</w:t>
            </w:r>
            <w:r w:rsidR="00EE2E44" w:rsidRPr="00554BC1">
              <w:rPr>
                <w:rFonts w:ascii="Cambria" w:hAnsi="Cambria"/>
                <w:b/>
                <w:sz w:val="20"/>
                <w:szCs w:val="20"/>
                <w:lang w:val="es-ES"/>
              </w:rPr>
              <w:t xml:space="preserve"> </w:t>
            </w:r>
            <w:hyperlink r:id="rId8" w:history="1">
              <w:r w:rsidR="00EE2E44" w:rsidRPr="00554BC1">
                <w:rPr>
                  <w:rStyle w:val="Hyperlink"/>
                  <w:rFonts w:ascii="Cambria" w:hAnsi="Cambria"/>
                  <w:color w:val="auto"/>
                  <w:sz w:val="20"/>
                  <w:szCs w:val="20"/>
                  <w:lang w:val="es-ES"/>
                </w:rPr>
                <w:t>124/06</w:t>
              </w:r>
            </w:hyperlink>
            <w:r w:rsidR="00D770DF" w:rsidRPr="00554BC1">
              <w:rPr>
                <w:rFonts w:ascii="Cambria" w:hAnsi="Cambria"/>
                <w:sz w:val="20"/>
                <w:szCs w:val="20"/>
                <w:lang w:val="es-ES"/>
              </w:rPr>
              <w:t xml:space="preserve">, publicado el </w:t>
            </w:r>
            <w:r w:rsidR="00EE2E44" w:rsidRPr="00554BC1">
              <w:rPr>
                <w:rFonts w:ascii="Cambria" w:hAnsi="Cambria"/>
                <w:sz w:val="20"/>
                <w:szCs w:val="20"/>
                <w:lang w:val="es-ES"/>
              </w:rPr>
              <w:t xml:space="preserve">27 de octubre de 2006 </w:t>
            </w:r>
          </w:p>
          <w:p w14:paraId="38E091CA" w14:textId="162015D5" w:rsidR="00D770DF" w:rsidRPr="00554BC1" w:rsidRDefault="00782CAA" w:rsidP="008F5E62">
            <w:pPr>
              <w:spacing w:after="0" w:line="240" w:lineRule="auto"/>
              <w:jc w:val="both"/>
              <w:rPr>
                <w:rFonts w:ascii="Cambria" w:hAnsi="Cambria"/>
                <w:sz w:val="20"/>
                <w:szCs w:val="20"/>
                <w:lang w:val="es-ES"/>
              </w:rPr>
            </w:pPr>
            <w:r w:rsidRPr="00554BC1">
              <w:rPr>
                <w:rFonts w:ascii="Cambria" w:hAnsi="Cambria"/>
                <w:b/>
                <w:sz w:val="20"/>
                <w:szCs w:val="20"/>
                <w:lang w:val="es-ES"/>
              </w:rPr>
              <w:t>Informe de Admisibilidad Nº</w:t>
            </w:r>
            <w:r w:rsidR="000D3773" w:rsidRPr="00554BC1">
              <w:rPr>
                <w:rFonts w:ascii="Cambria" w:hAnsi="Cambria"/>
                <w:b/>
                <w:sz w:val="20"/>
                <w:szCs w:val="20"/>
                <w:lang w:val="es-ES"/>
              </w:rPr>
              <w:t>:</w:t>
            </w:r>
            <w:r w:rsidR="00C74E75" w:rsidRPr="00554BC1">
              <w:rPr>
                <w:rFonts w:ascii="Cambria" w:hAnsi="Cambria"/>
                <w:b/>
                <w:sz w:val="20"/>
                <w:szCs w:val="20"/>
                <w:lang w:val="es-ES"/>
              </w:rPr>
              <w:t xml:space="preserve"> </w:t>
            </w:r>
            <w:hyperlink r:id="rId9" w:history="1">
              <w:r w:rsidR="00C74E75" w:rsidRPr="00554BC1">
                <w:rPr>
                  <w:rStyle w:val="Hyperlink"/>
                  <w:rFonts w:ascii="Cambria" w:hAnsi="Cambria"/>
                  <w:color w:val="auto"/>
                  <w:sz w:val="20"/>
                  <w:szCs w:val="20"/>
                  <w:lang w:val="es-ES"/>
                </w:rPr>
                <w:t>119/01</w:t>
              </w:r>
            </w:hyperlink>
            <w:r w:rsidR="00D770DF" w:rsidRPr="00554BC1">
              <w:rPr>
                <w:rFonts w:ascii="Cambria" w:hAnsi="Cambria"/>
                <w:sz w:val="20"/>
                <w:szCs w:val="20"/>
                <w:lang w:val="es-ES"/>
              </w:rPr>
              <w:t xml:space="preserve">, </w:t>
            </w:r>
            <w:r w:rsidR="00C74E75" w:rsidRPr="00554BC1">
              <w:rPr>
                <w:rFonts w:ascii="Cambria" w:hAnsi="Cambria"/>
                <w:sz w:val="20"/>
                <w:szCs w:val="20"/>
                <w:lang w:val="es-ES"/>
              </w:rPr>
              <w:t xml:space="preserve">adoptado el 16 de octubre de 2001 </w:t>
            </w:r>
          </w:p>
          <w:p w14:paraId="1A45BF09" w14:textId="213992EF" w:rsidR="008F5E62" w:rsidRPr="00554BC1" w:rsidRDefault="00D770DF" w:rsidP="008F5E62">
            <w:pPr>
              <w:spacing w:after="120" w:line="240" w:lineRule="auto"/>
              <w:jc w:val="both"/>
              <w:rPr>
                <w:rFonts w:ascii="Cambria" w:hAnsi="Cambria"/>
                <w:sz w:val="20"/>
                <w:szCs w:val="20"/>
                <w:lang w:val="es-ES"/>
              </w:rPr>
            </w:pPr>
            <w:r w:rsidRPr="00554BC1">
              <w:rPr>
                <w:rFonts w:ascii="Cambria" w:hAnsi="Cambria"/>
                <w:b/>
                <w:sz w:val="20"/>
                <w:szCs w:val="20"/>
                <w:lang w:val="es-ES"/>
              </w:rPr>
              <w:t>Temas:</w:t>
            </w:r>
            <w:r w:rsidRPr="00554BC1">
              <w:rPr>
                <w:rFonts w:ascii="Cambria" w:hAnsi="Cambria"/>
                <w:sz w:val="20"/>
                <w:szCs w:val="20"/>
                <w:lang w:val="es-ES"/>
              </w:rPr>
              <w:t xml:space="preserve"> </w:t>
            </w:r>
            <w:r w:rsidR="00006C18" w:rsidRPr="00554BC1">
              <w:rPr>
                <w:rFonts w:ascii="Cambria" w:hAnsi="Cambria"/>
                <w:sz w:val="20"/>
                <w:szCs w:val="20"/>
                <w:lang w:val="es-ES"/>
              </w:rPr>
              <w:t xml:space="preserve">Adoptar disposiciones de derecho interno / </w:t>
            </w:r>
            <w:r w:rsidR="00065B6B" w:rsidRPr="00554BC1">
              <w:rPr>
                <w:rFonts w:ascii="Cambria" w:hAnsi="Cambria"/>
                <w:sz w:val="20"/>
                <w:szCs w:val="20"/>
                <w:lang w:val="es-ES"/>
              </w:rPr>
              <w:t xml:space="preserve">Debido proceso legal / </w:t>
            </w:r>
            <w:r w:rsidR="00035748" w:rsidRPr="00554BC1">
              <w:rPr>
                <w:rFonts w:ascii="Cambria" w:hAnsi="Cambria"/>
                <w:sz w:val="20"/>
                <w:szCs w:val="20"/>
                <w:lang w:val="es-ES"/>
              </w:rPr>
              <w:t xml:space="preserve">Garantías judiciales y protección judicial / Igualdad ante la ley / Libertad de expresión / </w:t>
            </w:r>
            <w:r w:rsidR="00006C18" w:rsidRPr="00554BC1">
              <w:rPr>
                <w:rFonts w:ascii="Cambria" w:hAnsi="Cambria"/>
                <w:sz w:val="20"/>
                <w:szCs w:val="20"/>
                <w:lang w:val="es-ES"/>
              </w:rPr>
              <w:t xml:space="preserve">Obligación de respetar los derechos / </w:t>
            </w:r>
            <w:r w:rsidR="00035748" w:rsidRPr="00554BC1">
              <w:rPr>
                <w:rFonts w:ascii="Cambria" w:hAnsi="Cambria"/>
                <w:sz w:val="20"/>
                <w:szCs w:val="20"/>
                <w:lang w:val="es-ES"/>
              </w:rPr>
              <w:t>Protección de la honra y de la dignidad / Ser escuchado</w:t>
            </w:r>
          </w:p>
          <w:p w14:paraId="2330183B" w14:textId="325A8DCA" w:rsidR="00906003" w:rsidRPr="00554BC1" w:rsidRDefault="00D770DF" w:rsidP="000D3773">
            <w:pPr>
              <w:spacing w:after="120" w:line="240" w:lineRule="auto"/>
              <w:jc w:val="both"/>
              <w:rPr>
                <w:rFonts w:ascii="Cambria" w:hAnsi="Cambria"/>
                <w:sz w:val="20"/>
                <w:szCs w:val="20"/>
                <w:lang w:val="es-ES"/>
              </w:rPr>
            </w:pPr>
            <w:r w:rsidRPr="00554BC1">
              <w:rPr>
                <w:rFonts w:ascii="Cambria" w:hAnsi="Cambria"/>
                <w:b/>
                <w:sz w:val="20"/>
                <w:szCs w:val="20"/>
                <w:lang w:val="es-ES"/>
              </w:rPr>
              <w:t>Hechos:</w:t>
            </w:r>
            <w:r w:rsidR="00E2059E" w:rsidRPr="00554BC1">
              <w:rPr>
                <w:rFonts w:ascii="Cambria" w:hAnsi="Cambria"/>
                <w:sz w:val="20"/>
                <w:szCs w:val="20"/>
                <w:lang w:val="es-ES"/>
              </w:rPr>
              <w:t xml:space="preserve"> </w:t>
            </w:r>
            <w:r w:rsidR="00FF1D21" w:rsidRPr="00554BC1">
              <w:rPr>
                <w:rFonts w:ascii="Cambria" w:hAnsi="Cambria"/>
                <w:sz w:val="20"/>
                <w:szCs w:val="20"/>
                <w:lang w:val="es-ES"/>
              </w:rPr>
              <w:t xml:space="preserve">Este caso se refiere a sanciones sufridas por el señor </w:t>
            </w:r>
            <w:r w:rsidR="00E75752" w:rsidRPr="00554BC1">
              <w:rPr>
                <w:rFonts w:ascii="Cambria" w:hAnsi="Cambria"/>
                <w:sz w:val="20"/>
                <w:szCs w:val="20"/>
                <w:lang w:val="es-ES"/>
              </w:rPr>
              <w:t>Tomás</w:t>
            </w:r>
            <w:r w:rsidR="00FF1D21" w:rsidRPr="00554BC1">
              <w:rPr>
                <w:rFonts w:ascii="Cambria" w:hAnsi="Cambria"/>
                <w:sz w:val="20"/>
                <w:szCs w:val="20"/>
                <w:lang w:val="es-ES"/>
              </w:rPr>
              <w:t xml:space="preserve"> Eduardo Cirio, oficial retirado de las fuerzas armadas, en represalia por </w:t>
            </w:r>
            <w:r w:rsidR="001F14E6" w:rsidRPr="00554BC1">
              <w:rPr>
                <w:rFonts w:ascii="Cambria" w:hAnsi="Cambria"/>
                <w:sz w:val="20"/>
                <w:szCs w:val="20"/>
                <w:lang w:val="es-ES"/>
              </w:rPr>
              <w:t>su renuncia</w:t>
            </w:r>
            <w:r w:rsidR="00906003" w:rsidRPr="00554BC1">
              <w:rPr>
                <w:rFonts w:ascii="Cambria" w:hAnsi="Cambria"/>
                <w:sz w:val="20"/>
                <w:szCs w:val="20"/>
                <w:lang w:val="es-ES"/>
              </w:rPr>
              <w:t xml:space="preserve"> al Centro </w:t>
            </w:r>
            <w:r w:rsidR="00431E7D" w:rsidRPr="00554BC1">
              <w:rPr>
                <w:rFonts w:ascii="Cambria" w:hAnsi="Cambria"/>
                <w:sz w:val="20"/>
                <w:szCs w:val="20"/>
                <w:lang w:val="es-ES"/>
              </w:rPr>
              <w:t xml:space="preserve">Militar </w:t>
            </w:r>
            <w:r w:rsidR="00906003" w:rsidRPr="00554BC1">
              <w:rPr>
                <w:rFonts w:ascii="Cambria" w:hAnsi="Cambria"/>
                <w:sz w:val="20"/>
                <w:szCs w:val="20"/>
                <w:lang w:val="es-ES"/>
              </w:rPr>
              <w:t>por medio de una carta, el 4 de julio de 1972, en donde hacía acusaciones generales sobre la</w:t>
            </w:r>
            <w:r w:rsidR="009377DF" w:rsidRPr="00554BC1">
              <w:rPr>
                <w:rFonts w:ascii="Cambria" w:hAnsi="Cambria"/>
                <w:sz w:val="20"/>
                <w:szCs w:val="20"/>
                <w:lang w:val="es-ES"/>
              </w:rPr>
              <w:t>s</w:t>
            </w:r>
            <w:r w:rsidR="00906003" w:rsidRPr="00554BC1">
              <w:rPr>
                <w:rFonts w:ascii="Cambria" w:hAnsi="Cambria"/>
                <w:sz w:val="20"/>
                <w:szCs w:val="20"/>
                <w:lang w:val="es-ES"/>
              </w:rPr>
              <w:t xml:space="preserve"> violaci</w:t>
            </w:r>
            <w:r w:rsidR="009377DF" w:rsidRPr="00554BC1">
              <w:rPr>
                <w:rFonts w:ascii="Cambria" w:hAnsi="Cambria"/>
                <w:sz w:val="20"/>
                <w:szCs w:val="20"/>
                <w:lang w:val="es-ES"/>
              </w:rPr>
              <w:t xml:space="preserve">ones </w:t>
            </w:r>
            <w:r w:rsidR="00F259EE" w:rsidRPr="00554BC1">
              <w:rPr>
                <w:rFonts w:ascii="Cambria" w:hAnsi="Cambria"/>
                <w:sz w:val="20"/>
                <w:szCs w:val="20"/>
                <w:lang w:val="es-ES"/>
              </w:rPr>
              <w:t>d</w:t>
            </w:r>
            <w:r w:rsidR="00906003" w:rsidRPr="00554BC1">
              <w:rPr>
                <w:rFonts w:ascii="Cambria" w:hAnsi="Cambria"/>
                <w:sz w:val="20"/>
                <w:szCs w:val="20"/>
                <w:lang w:val="es-ES"/>
              </w:rPr>
              <w:t>e derechos humanos en el marco de la lucha antisubversiva por parte de las Fuerzas Armadas en el Uruguay.</w:t>
            </w:r>
          </w:p>
          <w:p w14:paraId="70C226C2" w14:textId="77777777" w:rsidR="00D770DF" w:rsidRPr="00554BC1" w:rsidRDefault="00D770DF" w:rsidP="00AF290A">
            <w:pPr>
              <w:spacing w:after="120" w:line="240" w:lineRule="auto"/>
              <w:jc w:val="both"/>
              <w:rPr>
                <w:rFonts w:ascii="Cambria" w:hAnsi="Cambria"/>
                <w:sz w:val="20"/>
                <w:szCs w:val="20"/>
                <w:lang w:val="es-ES"/>
              </w:rPr>
            </w:pPr>
            <w:r w:rsidRPr="00554BC1">
              <w:rPr>
                <w:rFonts w:ascii="Cambria" w:hAnsi="Cambria"/>
                <w:b/>
                <w:sz w:val="20"/>
                <w:szCs w:val="20"/>
                <w:lang w:val="es-ES"/>
              </w:rPr>
              <w:t>Derechos violados:</w:t>
            </w:r>
            <w:r w:rsidRPr="00554BC1">
              <w:rPr>
                <w:rFonts w:ascii="Cambria" w:hAnsi="Cambria"/>
                <w:sz w:val="20"/>
                <w:szCs w:val="20"/>
                <w:lang w:val="es-ES"/>
              </w:rPr>
              <w:t xml:space="preserve"> </w:t>
            </w:r>
            <w:r w:rsidR="002B28F0" w:rsidRPr="00554BC1">
              <w:rPr>
                <w:rFonts w:ascii="Cambria" w:hAnsi="Cambria"/>
                <w:sz w:val="20"/>
                <w:szCs w:val="20"/>
                <w:lang w:val="es-ES"/>
              </w:rPr>
              <w:t>La Comisión concluyó que: a) El Estado uruguayo ha dejado de cumplir con su obligación de respetar y garantizar el derecho a ser oído por un tribunal competente, independiente e imparcial, establecido con anterioridad por la ley (artículo XXVI Declaración Americana) y la protección judicial (artículo 25 Convención Americana), la libertad de expresión (artículo IV Declaración Americana), su derecho a la dignidad y a la honra (artículo 5 de la Declaración y 11 de la Convención), derecho a igualdad ante la ley (artículo 24 de la Convención) y derecho a indemnización (artículo 10 de la Convención Americana); y b) Que en virtud de las violaciones mencionadas, el Estado uruguayo ha incumplido con su obligación de respetar y garantizar los derechos humanos y garantías impuesta por el artículo 1(1) de la Convención Americana y de adoptar disposiciones de derecho interno impuesta por el artículo 2.</w:t>
            </w:r>
            <w:r w:rsidR="00434699" w:rsidRPr="00554BC1">
              <w:rPr>
                <w:rFonts w:ascii="Cambria" w:hAnsi="Cambria"/>
                <w:sz w:val="20"/>
                <w:szCs w:val="20"/>
                <w:lang w:val="es-ES"/>
              </w:rPr>
              <w:t xml:space="preserve"> Habiendo concluido que se </w:t>
            </w:r>
            <w:r w:rsidR="00AF290A" w:rsidRPr="00554BC1">
              <w:rPr>
                <w:rFonts w:ascii="Cambria" w:hAnsi="Cambria"/>
                <w:sz w:val="20"/>
                <w:szCs w:val="20"/>
                <w:lang w:val="es-ES"/>
              </w:rPr>
              <w:t xml:space="preserve">violó </w:t>
            </w:r>
            <w:r w:rsidR="00434699" w:rsidRPr="00554BC1">
              <w:rPr>
                <w:rFonts w:ascii="Cambria" w:hAnsi="Cambria"/>
                <w:sz w:val="20"/>
                <w:szCs w:val="20"/>
                <w:lang w:val="es-ES"/>
              </w:rPr>
              <w:t xml:space="preserve">estas disposiciones de la Convención </w:t>
            </w:r>
            <w:r w:rsidR="00A4391D" w:rsidRPr="00554BC1">
              <w:rPr>
                <w:rFonts w:ascii="Cambria" w:hAnsi="Cambria"/>
                <w:sz w:val="20"/>
                <w:szCs w:val="20"/>
                <w:lang w:val="es-ES"/>
              </w:rPr>
              <w:t>Americana, la Comisión consideró</w:t>
            </w:r>
            <w:r w:rsidR="00434699" w:rsidRPr="00554BC1">
              <w:rPr>
                <w:rFonts w:ascii="Cambria" w:hAnsi="Cambria"/>
                <w:sz w:val="20"/>
                <w:szCs w:val="20"/>
                <w:lang w:val="es-ES"/>
              </w:rPr>
              <w:t xml:space="preserve"> que el peticionario no </w:t>
            </w:r>
            <w:r w:rsidR="00A4391D" w:rsidRPr="00554BC1">
              <w:rPr>
                <w:rFonts w:ascii="Cambria" w:hAnsi="Cambria"/>
                <w:sz w:val="20"/>
                <w:szCs w:val="20"/>
                <w:lang w:val="es-ES"/>
              </w:rPr>
              <w:t xml:space="preserve">sustentó </w:t>
            </w:r>
            <w:r w:rsidR="00434699" w:rsidRPr="00554BC1">
              <w:rPr>
                <w:rFonts w:ascii="Cambria" w:hAnsi="Cambria"/>
                <w:sz w:val="20"/>
                <w:szCs w:val="20"/>
                <w:lang w:val="es-ES"/>
              </w:rPr>
              <w:t>sus alegaciones con respecto a las alegadas violaciones del artículo 9 de la Convención Americana en el presente caso.</w:t>
            </w:r>
          </w:p>
          <w:p w14:paraId="29862DDF" w14:textId="0D8E9EC4" w:rsidR="00AF290A" w:rsidRPr="00554BC1" w:rsidRDefault="00AF290A" w:rsidP="007E1999">
            <w:pPr>
              <w:spacing w:after="0" w:line="240" w:lineRule="auto"/>
              <w:jc w:val="both"/>
              <w:rPr>
                <w:rFonts w:ascii="Cambria" w:hAnsi="Cambria"/>
                <w:sz w:val="20"/>
                <w:szCs w:val="20"/>
                <w:lang w:val="es-ES"/>
              </w:rPr>
            </w:pPr>
            <w:r w:rsidRPr="00554BC1">
              <w:rPr>
                <w:rFonts w:ascii="Cambria" w:hAnsi="Cambria"/>
                <w:b/>
                <w:sz w:val="20"/>
                <w:szCs w:val="20"/>
                <w:lang w:val="es-ES"/>
              </w:rPr>
              <w:t>Estado de cumplimiento del caso:</w:t>
            </w:r>
            <w:r w:rsidRPr="00554BC1">
              <w:rPr>
                <w:rFonts w:ascii="Cambria" w:hAnsi="Cambria"/>
                <w:sz w:val="20"/>
                <w:szCs w:val="20"/>
                <w:lang w:val="es-ES"/>
              </w:rPr>
              <w:t xml:space="preserve"> Cumplimiento total (</w:t>
            </w:r>
            <w:hyperlink r:id="rId10" w:history="1">
              <w:r w:rsidRPr="00554BC1">
                <w:rPr>
                  <w:rStyle w:val="Hyperlink"/>
                  <w:rFonts w:ascii="Cambria" w:hAnsi="Cambria"/>
                  <w:color w:val="auto"/>
                  <w:sz w:val="20"/>
                  <w:szCs w:val="20"/>
                  <w:lang w:val="es-ES"/>
                </w:rPr>
                <w:t>Informe Anual 2010</w:t>
              </w:r>
            </w:hyperlink>
            <w:r w:rsidRPr="00554BC1">
              <w:rPr>
                <w:rFonts w:ascii="Cambria" w:hAnsi="Cambria"/>
                <w:sz w:val="20"/>
                <w:szCs w:val="20"/>
                <w:lang w:val="es-ES"/>
              </w:rPr>
              <w:t>)</w:t>
            </w:r>
          </w:p>
        </w:tc>
      </w:tr>
    </w:tbl>
    <w:p w14:paraId="1586F2CB" w14:textId="77777777" w:rsidR="00D770DF" w:rsidRPr="00554BC1" w:rsidRDefault="00D770DF" w:rsidP="00D770DF">
      <w:pPr>
        <w:spacing w:after="0" w:line="240" w:lineRule="auto"/>
        <w:ind w:left="180"/>
        <w:rPr>
          <w:rFonts w:ascii="Cambria" w:hAnsi="Cambria"/>
          <w:sz w:val="20"/>
          <w:szCs w:val="20"/>
          <w:lang w:val="es-ES"/>
        </w:rPr>
      </w:pPr>
    </w:p>
    <w:p w14:paraId="751D1E63" w14:textId="77777777" w:rsidR="00D770DF" w:rsidRPr="00554BC1" w:rsidRDefault="00235324" w:rsidP="00235324">
      <w:pPr>
        <w:numPr>
          <w:ilvl w:val="0"/>
          <w:numId w:val="1"/>
        </w:numPr>
        <w:spacing w:after="0" w:line="240" w:lineRule="auto"/>
        <w:ind w:left="1440"/>
        <w:jc w:val="both"/>
        <w:rPr>
          <w:rFonts w:ascii="Cambria" w:hAnsi="Cambria" w:cs="Calibri Light"/>
          <w:b/>
          <w:sz w:val="20"/>
          <w:szCs w:val="20"/>
          <w:lang w:val="es-ES"/>
        </w:rPr>
      </w:pPr>
      <w:r w:rsidRPr="00554BC1">
        <w:rPr>
          <w:rFonts w:ascii="Cambria" w:hAnsi="Cambria" w:cs="Calibri Light"/>
          <w:b/>
          <w:sz w:val="20"/>
          <w:szCs w:val="20"/>
          <w:lang w:val="es-ES"/>
        </w:rPr>
        <w:t xml:space="preserve">Recomendaciones </w:t>
      </w:r>
    </w:p>
    <w:p w14:paraId="7923ACD7" w14:textId="77777777" w:rsidR="00D770DF" w:rsidRPr="00554BC1" w:rsidRDefault="00D770DF" w:rsidP="00D770DF">
      <w:pPr>
        <w:spacing w:after="0" w:line="240" w:lineRule="auto"/>
        <w:ind w:left="1080"/>
        <w:jc w:val="both"/>
        <w:rPr>
          <w:rFonts w:ascii="Cambria" w:hAnsi="Cambria" w:cs="Calibri Light"/>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3"/>
        <w:gridCol w:w="1377"/>
      </w:tblGrid>
      <w:tr w:rsidR="00D770DF" w:rsidRPr="00554BC1" w14:paraId="7D48EDAD" w14:textId="77777777" w:rsidTr="007B18C0">
        <w:tc>
          <w:tcPr>
            <w:tcW w:w="8163" w:type="dxa"/>
            <w:shd w:val="clear" w:color="auto" w:fill="auto"/>
            <w:vAlign w:val="center"/>
          </w:tcPr>
          <w:p w14:paraId="68AAB9DA" w14:textId="77777777" w:rsidR="00D770DF" w:rsidRPr="00554BC1" w:rsidRDefault="00D770DF" w:rsidP="00383BC7">
            <w:pPr>
              <w:spacing w:after="0" w:line="240" w:lineRule="auto"/>
              <w:jc w:val="center"/>
              <w:rPr>
                <w:rFonts w:ascii="Cambria" w:hAnsi="Cambria" w:cs="Calibri Light"/>
                <w:b/>
                <w:sz w:val="18"/>
                <w:szCs w:val="18"/>
                <w:lang w:val="es-ES"/>
              </w:rPr>
            </w:pPr>
            <w:r w:rsidRPr="00554BC1">
              <w:rPr>
                <w:rFonts w:ascii="Cambria" w:hAnsi="Cambria" w:cs="Calibri Light"/>
                <w:b/>
                <w:sz w:val="18"/>
                <w:szCs w:val="18"/>
                <w:lang w:val="es-ES"/>
              </w:rPr>
              <w:t>Recomendaciones</w:t>
            </w:r>
          </w:p>
        </w:tc>
        <w:tc>
          <w:tcPr>
            <w:tcW w:w="1377" w:type="dxa"/>
            <w:shd w:val="clear" w:color="auto" w:fill="auto"/>
            <w:vAlign w:val="center"/>
          </w:tcPr>
          <w:p w14:paraId="78A8C2DF" w14:textId="0C4FA865" w:rsidR="00D770DF" w:rsidRPr="00554BC1" w:rsidRDefault="00D770DF" w:rsidP="002E2386">
            <w:pPr>
              <w:spacing w:after="0" w:line="240" w:lineRule="auto"/>
              <w:jc w:val="center"/>
              <w:rPr>
                <w:rFonts w:ascii="Cambria" w:hAnsi="Cambria" w:cs="Calibri Light"/>
                <w:b/>
                <w:sz w:val="18"/>
                <w:szCs w:val="18"/>
                <w:lang w:val="es-ES"/>
              </w:rPr>
            </w:pPr>
            <w:r w:rsidRPr="00554BC1">
              <w:rPr>
                <w:rFonts w:ascii="Cambria" w:hAnsi="Cambria" w:cs="Calibri Light"/>
                <w:b/>
                <w:sz w:val="18"/>
                <w:szCs w:val="18"/>
                <w:lang w:val="es-ES"/>
              </w:rPr>
              <w:t xml:space="preserve">Estado de cumplimiento </w:t>
            </w:r>
          </w:p>
        </w:tc>
      </w:tr>
      <w:tr w:rsidR="00D770DF" w:rsidRPr="00554BC1" w14:paraId="30B3F489" w14:textId="77777777" w:rsidTr="007B18C0">
        <w:tc>
          <w:tcPr>
            <w:tcW w:w="8163" w:type="dxa"/>
            <w:shd w:val="clear" w:color="auto" w:fill="auto"/>
          </w:tcPr>
          <w:p w14:paraId="71D31209" w14:textId="514BB60E" w:rsidR="00D770DF" w:rsidRPr="00554BC1" w:rsidRDefault="001A7B3B" w:rsidP="00726711">
            <w:pPr>
              <w:spacing w:after="0" w:line="240" w:lineRule="auto"/>
              <w:jc w:val="both"/>
              <w:rPr>
                <w:rFonts w:ascii="Cambria" w:eastAsia="MS Mincho" w:hAnsi="Cambria"/>
                <w:sz w:val="18"/>
                <w:szCs w:val="18"/>
                <w:lang w:val="es-ES"/>
              </w:rPr>
            </w:pPr>
            <w:r w:rsidRPr="00554BC1">
              <w:rPr>
                <w:rFonts w:ascii="Cambria" w:eastAsia="MS Mincho" w:hAnsi="Cambria"/>
                <w:sz w:val="18"/>
                <w:szCs w:val="18"/>
                <w:lang w:val="es-ES"/>
              </w:rPr>
              <w:t>1. Anular de forma inmediata, y dejar sin efecto retroactivamente, las Resoluciones N</w:t>
            </w:r>
            <w:r w:rsidR="00726711" w:rsidRPr="00554BC1">
              <w:rPr>
                <w:rFonts w:ascii="Cambria" w:eastAsia="MS Mincho" w:hAnsi="Cambria"/>
                <w:sz w:val="18"/>
                <w:szCs w:val="18"/>
                <w:lang w:val="es-ES"/>
              </w:rPr>
              <w:t>º</w:t>
            </w:r>
            <w:r w:rsidRPr="00554BC1">
              <w:rPr>
                <w:rFonts w:ascii="Cambria" w:eastAsia="MS Mincho" w:hAnsi="Cambria"/>
                <w:sz w:val="18"/>
                <w:szCs w:val="18"/>
                <w:lang w:val="es-ES"/>
              </w:rPr>
              <w:t xml:space="preserve"> 46.202 y 46.204 del Poder Ejecutivo de 2 de enero de 1973, la Resolución N</w:t>
            </w:r>
            <w:r w:rsidR="00726711" w:rsidRPr="00554BC1">
              <w:rPr>
                <w:rFonts w:ascii="Cambria" w:eastAsia="MS Mincho" w:hAnsi="Cambria"/>
                <w:sz w:val="18"/>
                <w:szCs w:val="18"/>
                <w:lang w:val="es-ES"/>
              </w:rPr>
              <w:t>º</w:t>
            </w:r>
            <w:r w:rsidRPr="00554BC1">
              <w:rPr>
                <w:rFonts w:ascii="Cambria" w:eastAsia="MS Mincho" w:hAnsi="Cambria"/>
                <w:sz w:val="18"/>
                <w:szCs w:val="18"/>
                <w:lang w:val="es-ES"/>
              </w:rPr>
              <w:t xml:space="preserve"> 6.540 del Ministerio de Defensa de 20 de diciembre de 1973, y el fallo del Tribunal General de Honor que le perjudicara; restituyendo todos los derechos, beneficios, honores y demás prerrogativas como miembro retirado del servicio de las Fuerzas Armadas del Uruguay, que le hubiesen correspondido.</w:t>
            </w:r>
          </w:p>
        </w:tc>
        <w:tc>
          <w:tcPr>
            <w:tcW w:w="1377" w:type="dxa"/>
            <w:shd w:val="clear" w:color="auto" w:fill="auto"/>
            <w:vAlign w:val="center"/>
          </w:tcPr>
          <w:p w14:paraId="4967DDC7" w14:textId="7E929DAA" w:rsidR="00D770DF" w:rsidRPr="00554BC1" w:rsidRDefault="007B254E" w:rsidP="00AF290A">
            <w:pPr>
              <w:spacing w:after="0" w:line="240" w:lineRule="auto"/>
              <w:jc w:val="center"/>
              <w:rPr>
                <w:rFonts w:ascii="Cambria" w:hAnsi="Cambria" w:cs="Calibri Light"/>
                <w:sz w:val="18"/>
                <w:szCs w:val="18"/>
                <w:highlight w:val="yellow"/>
                <w:lang w:val="es-ES"/>
              </w:rPr>
            </w:pPr>
            <w:r w:rsidRPr="00554BC1">
              <w:rPr>
                <w:rFonts w:ascii="Cambria" w:hAnsi="Cambria" w:cs="Calibri Light"/>
                <w:sz w:val="18"/>
                <w:szCs w:val="18"/>
                <w:lang w:val="es-ES"/>
              </w:rPr>
              <w:t>Cumplimiento total</w:t>
            </w:r>
            <w:r w:rsidR="007E1999">
              <w:rPr>
                <w:rStyle w:val="FootnoteReference"/>
                <w:rFonts w:ascii="Cambria" w:hAnsi="Cambria" w:cs="Calibri Light"/>
                <w:sz w:val="18"/>
                <w:szCs w:val="18"/>
                <w:lang w:val="es-ES"/>
              </w:rPr>
              <w:footnoteReference w:id="1"/>
            </w:r>
          </w:p>
        </w:tc>
      </w:tr>
      <w:tr w:rsidR="00D770DF" w:rsidRPr="00554BC1" w14:paraId="69D713A4" w14:textId="77777777" w:rsidTr="007B18C0">
        <w:tc>
          <w:tcPr>
            <w:tcW w:w="8163" w:type="dxa"/>
            <w:shd w:val="clear" w:color="auto" w:fill="auto"/>
          </w:tcPr>
          <w:p w14:paraId="37C874C8" w14:textId="4404C34A" w:rsidR="001A7B3B" w:rsidRPr="00554BC1" w:rsidRDefault="001A7B3B" w:rsidP="001A7B3B">
            <w:pPr>
              <w:spacing w:after="120" w:line="240" w:lineRule="auto"/>
              <w:jc w:val="both"/>
              <w:rPr>
                <w:rFonts w:ascii="Cambria" w:eastAsia="MS Mincho" w:hAnsi="Cambria"/>
                <w:sz w:val="18"/>
                <w:szCs w:val="18"/>
                <w:lang w:val="es-ES"/>
              </w:rPr>
            </w:pPr>
            <w:r w:rsidRPr="00554BC1">
              <w:rPr>
                <w:rFonts w:ascii="Cambria" w:eastAsia="MS Mincho" w:hAnsi="Cambria"/>
                <w:sz w:val="18"/>
                <w:szCs w:val="18"/>
                <w:lang w:val="es-ES"/>
              </w:rPr>
              <w:t>2. Adoptar todas las medidas necesarias de reparación y compensación, a fin de restablecer el honor y la reputación del señor Tomás Eduardo Cirio:</w:t>
            </w:r>
          </w:p>
          <w:p w14:paraId="301A839D" w14:textId="77777777" w:rsidR="00D770DF" w:rsidRPr="00554BC1" w:rsidRDefault="001A7B3B" w:rsidP="002B28F0">
            <w:pPr>
              <w:spacing w:after="120" w:line="240" w:lineRule="auto"/>
              <w:jc w:val="both"/>
              <w:rPr>
                <w:rFonts w:ascii="Cambria" w:eastAsia="MS Mincho" w:hAnsi="Cambria"/>
                <w:sz w:val="18"/>
                <w:szCs w:val="18"/>
                <w:lang w:val="es-ES"/>
              </w:rPr>
            </w:pPr>
            <w:r w:rsidRPr="00554BC1">
              <w:rPr>
                <w:rFonts w:ascii="Cambria" w:eastAsia="MS Mincho" w:hAnsi="Cambria"/>
                <w:sz w:val="18"/>
                <w:szCs w:val="18"/>
                <w:lang w:val="es-ES"/>
              </w:rPr>
              <w:t xml:space="preserve">a) La publicación en los mismos diarios en que se difundió el comunicado de 5 de octubre de 1972 (o en diarios de mayor circulación en caso de que en la actualidad dichas publicaciones ya no existan) en </w:t>
            </w:r>
            <w:r w:rsidRPr="00554BC1">
              <w:rPr>
                <w:rFonts w:ascii="Cambria" w:eastAsia="MS Mincho" w:hAnsi="Cambria"/>
                <w:sz w:val="18"/>
                <w:szCs w:val="18"/>
                <w:lang w:val="es-ES"/>
              </w:rPr>
              <w:lastRenderedPageBreak/>
              <w:t>idéntico lugar y con las mismas características- un nuevo comunicado, mediante el cual se reconozca claramente la violación a los derechos aquí establecida.</w:t>
            </w:r>
          </w:p>
          <w:p w14:paraId="02B8EC10" w14:textId="0437E393" w:rsidR="002B28F0" w:rsidRPr="00554BC1" w:rsidRDefault="002B28F0" w:rsidP="001A7B3B">
            <w:pPr>
              <w:spacing w:after="0" w:line="240" w:lineRule="auto"/>
              <w:jc w:val="both"/>
              <w:rPr>
                <w:rFonts w:ascii="Cambria" w:eastAsia="MS Mincho" w:hAnsi="Cambria"/>
                <w:sz w:val="18"/>
                <w:szCs w:val="18"/>
                <w:lang w:val="es-ES"/>
              </w:rPr>
            </w:pPr>
            <w:r w:rsidRPr="00554BC1">
              <w:rPr>
                <w:rFonts w:ascii="Cambria" w:eastAsia="MS Mincho" w:hAnsi="Cambria"/>
                <w:sz w:val="18"/>
                <w:szCs w:val="18"/>
                <w:lang w:val="es-ES"/>
              </w:rPr>
              <w:t>b) La aceptación de su renuncia al Centro Militar con fecha 6 de julio de 1972.</w:t>
            </w:r>
          </w:p>
        </w:tc>
        <w:tc>
          <w:tcPr>
            <w:tcW w:w="1377" w:type="dxa"/>
            <w:shd w:val="clear" w:color="auto" w:fill="auto"/>
            <w:vAlign w:val="center"/>
          </w:tcPr>
          <w:p w14:paraId="0B44CF73" w14:textId="7E6B00F3" w:rsidR="00D770DF" w:rsidRPr="00554BC1" w:rsidRDefault="007B254E" w:rsidP="002E2386">
            <w:pPr>
              <w:spacing w:after="0" w:line="240" w:lineRule="auto"/>
              <w:jc w:val="center"/>
              <w:rPr>
                <w:rFonts w:ascii="Cambria" w:hAnsi="Cambria" w:cs="Calibri Light"/>
                <w:sz w:val="18"/>
                <w:szCs w:val="18"/>
                <w:lang w:val="es-ES"/>
              </w:rPr>
            </w:pPr>
            <w:r w:rsidRPr="00554BC1">
              <w:rPr>
                <w:rFonts w:ascii="Cambria" w:hAnsi="Cambria" w:cs="Calibri Light"/>
                <w:sz w:val="18"/>
                <w:szCs w:val="18"/>
                <w:lang w:val="es-ES"/>
              </w:rPr>
              <w:lastRenderedPageBreak/>
              <w:t>Cumplimiento total</w:t>
            </w:r>
            <w:r w:rsidR="007E1999">
              <w:rPr>
                <w:rStyle w:val="FootnoteReference"/>
                <w:rFonts w:ascii="Cambria" w:hAnsi="Cambria" w:cs="Calibri Light"/>
                <w:sz w:val="18"/>
                <w:szCs w:val="18"/>
                <w:lang w:val="es-ES"/>
              </w:rPr>
              <w:footnoteReference w:id="2"/>
            </w:r>
          </w:p>
        </w:tc>
      </w:tr>
      <w:tr w:rsidR="001A7B3B" w:rsidRPr="00554BC1" w14:paraId="76E1DD93" w14:textId="77777777" w:rsidTr="007B18C0">
        <w:tc>
          <w:tcPr>
            <w:tcW w:w="8163" w:type="dxa"/>
            <w:shd w:val="clear" w:color="auto" w:fill="auto"/>
          </w:tcPr>
          <w:p w14:paraId="71A3C44E" w14:textId="38850117" w:rsidR="001A7B3B" w:rsidRPr="00554BC1" w:rsidRDefault="001A7B3B" w:rsidP="00383BC7">
            <w:pPr>
              <w:spacing w:after="0" w:line="240" w:lineRule="auto"/>
              <w:jc w:val="both"/>
              <w:rPr>
                <w:rFonts w:ascii="Cambria" w:eastAsia="MS Mincho" w:hAnsi="Cambria"/>
                <w:sz w:val="18"/>
                <w:szCs w:val="18"/>
                <w:lang w:val="es-ES"/>
              </w:rPr>
            </w:pPr>
            <w:r w:rsidRPr="00554BC1">
              <w:rPr>
                <w:rFonts w:ascii="Cambria" w:eastAsia="MS Mincho" w:hAnsi="Cambria"/>
                <w:sz w:val="18"/>
                <w:szCs w:val="18"/>
                <w:lang w:val="es-ES"/>
              </w:rPr>
              <w:t>3. Impulsar las medidas conducentes para adecuar la legislación interna a las normas de la Convención Americana en materia de libertad de expresión y justicia militar.</w:t>
            </w:r>
          </w:p>
        </w:tc>
        <w:tc>
          <w:tcPr>
            <w:tcW w:w="1377" w:type="dxa"/>
            <w:shd w:val="clear" w:color="auto" w:fill="auto"/>
            <w:vAlign w:val="center"/>
          </w:tcPr>
          <w:p w14:paraId="32AECC56" w14:textId="2088F9C1" w:rsidR="001A7B3B" w:rsidRPr="00554BC1" w:rsidRDefault="00C21817" w:rsidP="002E2386">
            <w:pPr>
              <w:spacing w:after="0" w:line="240" w:lineRule="auto"/>
              <w:jc w:val="center"/>
              <w:rPr>
                <w:rFonts w:ascii="Cambria" w:hAnsi="Cambria" w:cs="Calibri Light"/>
                <w:sz w:val="18"/>
                <w:szCs w:val="18"/>
                <w:lang w:val="es-ES"/>
              </w:rPr>
            </w:pPr>
            <w:r w:rsidRPr="00554BC1">
              <w:rPr>
                <w:rFonts w:ascii="Cambria" w:hAnsi="Cambria" w:cs="Calibri Light"/>
                <w:sz w:val="18"/>
                <w:szCs w:val="18"/>
                <w:lang w:val="es-ES"/>
              </w:rPr>
              <w:t>Cumplimiento total</w:t>
            </w:r>
            <w:r w:rsidR="007E1999">
              <w:rPr>
                <w:rStyle w:val="FootnoteReference"/>
                <w:rFonts w:ascii="Cambria" w:hAnsi="Cambria" w:cs="Calibri Light"/>
                <w:sz w:val="18"/>
                <w:szCs w:val="18"/>
                <w:lang w:val="es-ES"/>
              </w:rPr>
              <w:footnoteReference w:id="3"/>
            </w:r>
          </w:p>
        </w:tc>
      </w:tr>
      <w:tr w:rsidR="007D3D1A" w:rsidRPr="00554BC1" w14:paraId="7F745CE9" w14:textId="77777777" w:rsidTr="007B18C0">
        <w:tc>
          <w:tcPr>
            <w:tcW w:w="8163" w:type="dxa"/>
            <w:tcBorders>
              <w:top w:val="single" w:sz="4" w:space="0" w:color="auto"/>
              <w:left w:val="single" w:sz="4" w:space="0" w:color="auto"/>
              <w:bottom w:val="single" w:sz="4" w:space="0" w:color="auto"/>
              <w:right w:val="single" w:sz="4" w:space="0" w:color="auto"/>
            </w:tcBorders>
            <w:shd w:val="clear" w:color="auto" w:fill="auto"/>
          </w:tcPr>
          <w:p w14:paraId="619D856E" w14:textId="65465048" w:rsidR="007D3D1A" w:rsidRPr="00554BC1" w:rsidRDefault="007D3D1A" w:rsidP="005A05FA">
            <w:pPr>
              <w:spacing w:after="0" w:line="240" w:lineRule="auto"/>
              <w:jc w:val="both"/>
              <w:rPr>
                <w:rFonts w:ascii="Cambria" w:eastAsia="MS Mincho" w:hAnsi="Cambria"/>
                <w:sz w:val="18"/>
                <w:szCs w:val="18"/>
                <w:lang w:val="es-ES"/>
              </w:rPr>
            </w:pPr>
            <w:r w:rsidRPr="00554BC1">
              <w:rPr>
                <w:rFonts w:ascii="Cambria" w:eastAsia="MS Mincho" w:hAnsi="Cambria"/>
                <w:sz w:val="18"/>
                <w:szCs w:val="18"/>
                <w:lang w:val="es-ES"/>
              </w:rPr>
              <w:t xml:space="preserve">4. </w:t>
            </w:r>
            <w:r w:rsidRPr="00554BC1">
              <w:rPr>
                <w:rFonts w:ascii="Cambria" w:hAnsi="Cambria"/>
                <w:sz w:val="18"/>
                <w:szCs w:val="18"/>
                <w:lang w:val="es-ES"/>
              </w:rPr>
              <w:t>Adoptar las medidas necesarias pa</w:t>
            </w:r>
            <w:r w:rsidR="002E2386" w:rsidRPr="00554BC1">
              <w:rPr>
                <w:rFonts w:ascii="Cambria" w:hAnsi="Cambria"/>
                <w:sz w:val="18"/>
                <w:szCs w:val="18"/>
                <w:lang w:val="es-ES"/>
              </w:rPr>
              <w:t>ra que Sr. Tomás E. Cirio y sus</w:t>
            </w:r>
            <w:r w:rsidRPr="00554BC1">
              <w:rPr>
                <w:rFonts w:ascii="Cambria" w:hAnsi="Cambria"/>
                <w:sz w:val="18"/>
                <w:szCs w:val="18"/>
                <w:lang w:val="es-ES"/>
              </w:rPr>
              <w:t xml:space="preserve"> familiares reciban una adecuada y pronta reparación, incluyendo tanto el aspecto moral como el material, por las violaciones aquí establecidas.</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7314C91D" w14:textId="686C1849" w:rsidR="007D3D1A" w:rsidRPr="00554BC1" w:rsidRDefault="002E2386" w:rsidP="00A4070B">
            <w:pPr>
              <w:spacing w:after="0" w:line="240" w:lineRule="auto"/>
              <w:jc w:val="center"/>
              <w:rPr>
                <w:rFonts w:ascii="Cambria" w:hAnsi="Cambria" w:cs="Calibri Light"/>
                <w:sz w:val="18"/>
                <w:szCs w:val="18"/>
                <w:lang w:val="es-ES"/>
              </w:rPr>
            </w:pPr>
            <w:r w:rsidRPr="00554BC1">
              <w:rPr>
                <w:rFonts w:ascii="Cambria" w:hAnsi="Cambria" w:cs="Calibri Light"/>
                <w:sz w:val="18"/>
                <w:szCs w:val="18"/>
                <w:lang w:val="es-ES"/>
              </w:rPr>
              <w:t>Cumplimiento total</w:t>
            </w:r>
            <w:r w:rsidR="007E1999">
              <w:rPr>
                <w:rStyle w:val="FootnoteReference"/>
                <w:rFonts w:ascii="Cambria" w:hAnsi="Cambria" w:cs="Calibri Light"/>
                <w:sz w:val="18"/>
                <w:szCs w:val="18"/>
                <w:lang w:val="es-ES"/>
              </w:rPr>
              <w:footnoteReference w:id="4"/>
            </w:r>
          </w:p>
        </w:tc>
      </w:tr>
    </w:tbl>
    <w:p w14:paraId="0D4DAA54" w14:textId="01E58E7C" w:rsidR="007D3D1A" w:rsidRPr="00554BC1" w:rsidRDefault="007D3D1A" w:rsidP="009C18F7">
      <w:pPr>
        <w:tabs>
          <w:tab w:val="left" w:pos="2156"/>
        </w:tabs>
        <w:spacing w:after="0" w:line="240" w:lineRule="auto"/>
        <w:jc w:val="both"/>
        <w:rPr>
          <w:rFonts w:ascii="Cambria" w:hAnsi="Cambria" w:cs="Calibri Light"/>
          <w:sz w:val="20"/>
          <w:szCs w:val="20"/>
          <w:lang w:val="es-ES"/>
        </w:rPr>
      </w:pPr>
    </w:p>
    <w:p w14:paraId="1B56E284" w14:textId="77777777" w:rsidR="00D770DF" w:rsidRPr="00554BC1" w:rsidRDefault="00D770DF" w:rsidP="00235324">
      <w:pPr>
        <w:pStyle w:val="ListParagraph"/>
        <w:numPr>
          <w:ilvl w:val="0"/>
          <w:numId w:val="1"/>
        </w:numPr>
        <w:spacing w:after="0" w:line="240" w:lineRule="auto"/>
        <w:ind w:left="1440"/>
        <w:jc w:val="both"/>
        <w:rPr>
          <w:rFonts w:ascii="Cambria" w:hAnsi="Cambria" w:cs="Calibri Light"/>
          <w:b/>
          <w:sz w:val="20"/>
          <w:szCs w:val="20"/>
          <w:lang w:val="es-ES"/>
        </w:rPr>
      </w:pPr>
      <w:r w:rsidRPr="00554BC1">
        <w:rPr>
          <w:rFonts w:ascii="Cambria" w:hAnsi="Cambria"/>
          <w:b/>
          <w:sz w:val="20"/>
          <w:szCs w:val="20"/>
          <w:lang w:val="es-ES"/>
        </w:rPr>
        <w:t>Actividad Procesal</w:t>
      </w:r>
    </w:p>
    <w:p w14:paraId="6F3CB2A6" w14:textId="77777777" w:rsidR="00D770DF" w:rsidRPr="00554BC1" w:rsidRDefault="00D770DF" w:rsidP="00D770DF">
      <w:pPr>
        <w:spacing w:after="0" w:line="240" w:lineRule="auto"/>
        <w:jc w:val="both"/>
        <w:rPr>
          <w:rFonts w:ascii="Cambria" w:hAnsi="Cambria" w:cs="Calibri Light"/>
          <w:sz w:val="20"/>
          <w:szCs w:val="20"/>
          <w:lang w:val="es-ES"/>
        </w:rPr>
      </w:pPr>
    </w:p>
    <w:p w14:paraId="6422B77E" w14:textId="31B70514" w:rsidR="00B501D4" w:rsidRPr="00554BC1" w:rsidRDefault="00B501D4" w:rsidP="0019002C">
      <w:pPr>
        <w:numPr>
          <w:ilvl w:val="0"/>
          <w:numId w:val="7"/>
        </w:numPr>
        <w:spacing w:after="0" w:line="240" w:lineRule="auto"/>
        <w:ind w:left="0" w:firstLine="720"/>
        <w:jc w:val="both"/>
        <w:rPr>
          <w:rFonts w:ascii="Cambria" w:hAnsi="Cambria" w:cs="Calibri Light"/>
          <w:color w:val="000000"/>
          <w:sz w:val="20"/>
          <w:szCs w:val="20"/>
          <w:lang w:val="es-ES"/>
        </w:rPr>
      </w:pPr>
      <w:r w:rsidRPr="00554BC1">
        <w:rPr>
          <w:rFonts w:ascii="Cambria" w:hAnsi="Cambria"/>
          <w:sz w:val="20"/>
          <w:szCs w:val="20"/>
          <w:lang w:val="es-ES" w:eastAsia="es-ES_tradnl"/>
        </w:rPr>
        <w:t>La CIDH solicitó información actualizada sobre el cumplimiento a las partes l</w:t>
      </w:r>
      <w:r w:rsidR="003965D7" w:rsidRPr="00554BC1">
        <w:rPr>
          <w:rFonts w:ascii="Cambria" w:hAnsi="Cambria"/>
          <w:sz w:val="20"/>
          <w:szCs w:val="20"/>
          <w:lang w:val="es-ES" w:eastAsia="es-ES_tradnl"/>
        </w:rPr>
        <w:t xml:space="preserve">os días 8 de noviembre de 2007, </w:t>
      </w:r>
      <w:r w:rsidR="00442E63">
        <w:rPr>
          <w:rFonts w:ascii="Cambria" w:hAnsi="Cambria"/>
          <w:sz w:val="20"/>
          <w:szCs w:val="20"/>
          <w:lang w:val="es-ES" w:eastAsia="es-ES_tradnl"/>
        </w:rPr>
        <w:t xml:space="preserve">en 2008, </w:t>
      </w:r>
      <w:r w:rsidR="005C5F06" w:rsidRPr="00554BC1">
        <w:rPr>
          <w:rFonts w:ascii="Cambria" w:hAnsi="Cambria"/>
          <w:sz w:val="20"/>
          <w:szCs w:val="20"/>
          <w:lang w:val="es-ES" w:eastAsia="es-ES_tradnl"/>
        </w:rPr>
        <w:t>13 de noviembre de 2009</w:t>
      </w:r>
      <w:r w:rsidR="003D7585" w:rsidRPr="00554BC1">
        <w:rPr>
          <w:rFonts w:ascii="Cambria" w:hAnsi="Cambria"/>
          <w:sz w:val="20"/>
          <w:szCs w:val="20"/>
          <w:lang w:val="es-ES" w:eastAsia="es-ES_tradnl"/>
        </w:rPr>
        <w:t xml:space="preserve"> y en el 2010</w:t>
      </w:r>
      <w:r w:rsidRPr="00554BC1">
        <w:rPr>
          <w:rFonts w:ascii="Cambria" w:hAnsi="Cambria"/>
          <w:sz w:val="20"/>
          <w:szCs w:val="20"/>
          <w:lang w:val="es-ES" w:eastAsia="es-ES_tradnl"/>
        </w:rPr>
        <w:t xml:space="preserve">. </w:t>
      </w:r>
      <w:r w:rsidR="0019002C" w:rsidRPr="00554BC1">
        <w:rPr>
          <w:rFonts w:ascii="Cambria" w:hAnsi="Cambria"/>
          <w:snapToGrid w:val="0"/>
          <w:sz w:val="20"/>
          <w:szCs w:val="20"/>
          <w:lang w:val="es-ES" w:eastAsia="es-ES_tradnl"/>
        </w:rPr>
        <w:t xml:space="preserve">El Estado </w:t>
      </w:r>
      <w:r w:rsidRPr="00554BC1">
        <w:rPr>
          <w:rFonts w:ascii="Cambria" w:hAnsi="Cambria"/>
          <w:snapToGrid w:val="0"/>
          <w:sz w:val="20"/>
          <w:szCs w:val="20"/>
          <w:lang w:val="es-ES" w:eastAsia="es-ES_tradnl"/>
        </w:rPr>
        <w:t xml:space="preserve">proporcionó </w:t>
      </w:r>
      <w:r w:rsidR="003D7585" w:rsidRPr="00554BC1">
        <w:rPr>
          <w:rFonts w:ascii="Cambria" w:hAnsi="Cambria"/>
          <w:snapToGrid w:val="0"/>
          <w:sz w:val="20"/>
          <w:szCs w:val="20"/>
          <w:lang w:val="es-ES" w:eastAsia="es-ES_tradnl"/>
        </w:rPr>
        <w:t xml:space="preserve">dicha </w:t>
      </w:r>
      <w:r w:rsidR="0019002C" w:rsidRPr="00554BC1">
        <w:rPr>
          <w:rFonts w:ascii="Cambria" w:hAnsi="Cambria"/>
          <w:snapToGrid w:val="0"/>
          <w:sz w:val="20"/>
          <w:szCs w:val="20"/>
          <w:lang w:val="es-ES" w:eastAsia="es-ES_tradnl"/>
        </w:rPr>
        <w:t>información</w:t>
      </w:r>
      <w:r w:rsidR="003D7585" w:rsidRPr="00554BC1">
        <w:rPr>
          <w:rFonts w:ascii="Cambria" w:hAnsi="Cambria"/>
          <w:snapToGrid w:val="0"/>
          <w:sz w:val="20"/>
          <w:szCs w:val="20"/>
          <w:lang w:val="es-ES" w:eastAsia="es-ES_tradnl"/>
        </w:rPr>
        <w:t xml:space="preserve"> los días </w:t>
      </w:r>
      <w:r w:rsidR="00073EB2" w:rsidRPr="00554BC1">
        <w:rPr>
          <w:rFonts w:ascii="Cambria" w:hAnsi="Cambria"/>
          <w:snapToGrid w:val="0"/>
          <w:sz w:val="20"/>
          <w:szCs w:val="20"/>
          <w:lang w:val="es-ES" w:eastAsia="es-ES_tradnl"/>
        </w:rPr>
        <w:t xml:space="preserve">6 de diciembre de 2007, </w:t>
      </w:r>
      <w:r w:rsidR="003D7585" w:rsidRPr="00554BC1">
        <w:rPr>
          <w:rFonts w:ascii="Cambria" w:hAnsi="Cambria"/>
          <w:snapToGrid w:val="0"/>
          <w:sz w:val="20"/>
          <w:szCs w:val="20"/>
          <w:lang w:val="es-ES" w:eastAsia="es-ES_tradnl"/>
        </w:rPr>
        <w:t>9 de diciembre de 2009 y 16 de diciembre de 2010</w:t>
      </w:r>
      <w:r w:rsidR="0019002C" w:rsidRPr="00554BC1">
        <w:rPr>
          <w:rFonts w:ascii="Cambria" w:hAnsi="Cambria"/>
          <w:snapToGrid w:val="0"/>
          <w:sz w:val="20"/>
          <w:szCs w:val="20"/>
          <w:lang w:val="es-ES" w:eastAsia="es-ES_tradnl"/>
        </w:rPr>
        <w:t xml:space="preserve">. </w:t>
      </w:r>
    </w:p>
    <w:p w14:paraId="77FA51FA" w14:textId="77777777" w:rsidR="00B501D4" w:rsidRPr="00554BC1" w:rsidRDefault="00B501D4" w:rsidP="00B501D4">
      <w:pPr>
        <w:spacing w:after="0" w:line="240" w:lineRule="auto"/>
        <w:ind w:left="720"/>
        <w:jc w:val="both"/>
        <w:rPr>
          <w:rFonts w:ascii="Cambria" w:hAnsi="Cambria" w:cs="Calibri Light"/>
          <w:color w:val="000000"/>
          <w:sz w:val="20"/>
          <w:szCs w:val="20"/>
          <w:lang w:val="es-ES"/>
        </w:rPr>
      </w:pPr>
    </w:p>
    <w:p w14:paraId="5F55151F" w14:textId="72D1DC89" w:rsidR="00726711" w:rsidRPr="00554BC1" w:rsidRDefault="00B501D4" w:rsidP="0019002C">
      <w:pPr>
        <w:numPr>
          <w:ilvl w:val="0"/>
          <w:numId w:val="7"/>
        </w:numPr>
        <w:spacing w:after="0" w:line="240" w:lineRule="auto"/>
        <w:ind w:left="0" w:firstLine="720"/>
        <w:jc w:val="both"/>
        <w:rPr>
          <w:rFonts w:ascii="Cambria" w:hAnsi="Cambria" w:cs="Calibri Light"/>
          <w:color w:val="000000"/>
          <w:sz w:val="20"/>
          <w:szCs w:val="20"/>
          <w:lang w:val="es-ES"/>
        </w:rPr>
      </w:pPr>
      <w:r w:rsidRPr="00554BC1">
        <w:rPr>
          <w:rFonts w:ascii="Cambria" w:hAnsi="Cambria"/>
          <w:sz w:val="20"/>
          <w:szCs w:val="20"/>
          <w:lang w:val="es-ES" w:eastAsia="es-ES_tradnl"/>
        </w:rPr>
        <w:t>Por su parte, l</w:t>
      </w:r>
      <w:r w:rsidR="0019002C" w:rsidRPr="00554BC1">
        <w:rPr>
          <w:rFonts w:ascii="Cambria" w:hAnsi="Cambria"/>
          <w:sz w:val="20"/>
          <w:szCs w:val="20"/>
          <w:lang w:val="es-ES" w:eastAsia="es-ES_tradnl"/>
        </w:rPr>
        <w:t xml:space="preserve">os peticionarios </w:t>
      </w:r>
      <w:r w:rsidR="00427F56" w:rsidRPr="00554BC1">
        <w:rPr>
          <w:rFonts w:ascii="Cambria" w:hAnsi="Cambria"/>
          <w:sz w:val="20"/>
          <w:szCs w:val="20"/>
          <w:lang w:val="es-ES" w:eastAsia="es-ES_tradnl"/>
        </w:rPr>
        <w:t>remitieron la</w:t>
      </w:r>
      <w:r w:rsidR="003D7585" w:rsidRPr="00554BC1">
        <w:rPr>
          <w:rFonts w:ascii="Cambria" w:hAnsi="Cambria"/>
          <w:sz w:val="20"/>
          <w:szCs w:val="20"/>
          <w:lang w:val="es-ES" w:eastAsia="es-ES_tradnl"/>
        </w:rPr>
        <w:t xml:space="preserve"> información </w:t>
      </w:r>
      <w:r w:rsidR="00427F56" w:rsidRPr="00554BC1">
        <w:rPr>
          <w:rFonts w:ascii="Cambria" w:hAnsi="Cambria"/>
          <w:sz w:val="20"/>
          <w:szCs w:val="20"/>
          <w:lang w:val="es-ES" w:eastAsia="es-ES_tradnl"/>
        </w:rPr>
        <w:t>solicitada el 4</w:t>
      </w:r>
      <w:r w:rsidR="003D7585" w:rsidRPr="00554BC1">
        <w:rPr>
          <w:rFonts w:ascii="Cambria" w:hAnsi="Cambria"/>
          <w:sz w:val="20"/>
          <w:szCs w:val="20"/>
          <w:lang w:val="es-ES" w:eastAsia="es-ES_tradnl"/>
        </w:rPr>
        <w:t xml:space="preserve"> de diciembre de 2007</w:t>
      </w:r>
      <w:r w:rsidR="00726711" w:rsidRPr="00554BC1">
        <w:rPr>
          <w:rFonts w:ascii="Cambria" w:hAnsi="Cambria" w:cs="Calibri Light"/>
          <w:color w:val="000000"/>
          <w:sz w:val="20"/>
          <w:szCs w:val="20"/>
          <w:lang w:val="es-ES"/>
        </w:rPr>
        <w:t xml:space="preserve">. </w:t>
      </w:r>
    </w:p>
    <w:p w14:paraId="60F1889A" w14:textId="77777777" w:rsidR="00B501D4" w:rsidRPr="00554BC1" w:rsidRDefault="00B501D4" w:rsidP="00B501D4">
      <w:pPr>
        <w:spacing w:after="0" w:line="240" w:lineRule="auto"/>
        <w:ind w:left="720"/>
        <w:jc w:val="both"/>
        <w:rPr>
          <w:rFonts w:ascii="Cambria" w:hAnsi="Cambria" w:cs="Calibri Light"/>
          <w:color w:val="000000"/>
          <w:sz w:val="20"/>
          <w:szCs w:val="20"/>
          <w:lang w:val="es-ES"/>
        </w:rPr>
      </w:pPr>
    </w:p>
    <w:p w14:paraId="780673AB" w14:textId="5C3B106A" w:rsidR="00B501D4" w:rsidRPr="00554BC1" w:rsidRDefault="00B501D4" w:rsidP="0019002C">
      <w:pPr>
        <w:numPr>
          <w:ilvl w:val="0"/>
          <w:numId w:val="7"/>
        </w:numPr>
        <w:spacing w:after="0" w:line="240" w:lineRule="auto"/>
        <w:ind w:left="0" w:firstLine="720"/>
        <w:jc w:val="both"/>
        <w:rPr>
          <w:rFonts w:ascii="Cambria" w:hAnsi="Cambria" w:cs="Calibri Light"/>
          <w:color w:val="000000"/>
          <w:sz w:val="20"/>
          <w:szCs w:val="20"/>
          <w:lang w:val="es-ES"/>
        </w:rPr>
      </w:pPr>
      <w:r w:rsidRPr="00554BC1">
        <w:rPr>
          <w:rFonts w:ascii="Cambria" w:hAnsi="Cambria" w:cs="Calibri Light"/>
          <w:color w:val="000000"/>
          <w:sz w:val="20"/>
          <w:szCs w:val="20"/>
          <w:lang w:val="es-ES"/>
        </w:rPr>
        <w:t xml:space="preserve">El caso estuvo en la etapa de seguimiento de recomendaciones por 4 años. </w:t>
      </w:r>
    </w:p>
    <w:p w14:paraId="5DB8015E" w14:textId="77777777" w:rsidR="00D770DF" w:rsidRPr="00554BC1" w:rsidRDefault="00D770DF" w:rsidP="00D770DF">
      <w:pPr>
        <w:spacing w:after="0" w:line="240" w:lineRule="auto"/>
        <w:rPr>
          <w:rFonts w:ascii="Cambria" w:hAnsi="Cambria"/>
          <w:color w:val="000000" w:themeColor="text1"/>
          <w:sz w:val="20"/>
          <w:szCs w:val="20"/>
          <w:highlight w:val="yellow"/>
          <w:lang w:val="es-ES"/>
        </w:rPr>
      </w:pPr>
    </w:p>
    <w:p w14:paraId="7719486A" w14:textId="77777777" w:rsidR="00D770DF" w:rsidRPr="00554BC1" w:rsidRDefault="00C71175" w:rsidP="005D115E">
      <w:pPr>
        <w:pStyle w:val="ListParagraph"/>
        <w:numPr>
          <w:ilvl w:val="0"/>
          <w:numId w:val="1"/>
        </w:numPr>
        <w:spacing w:after="0" w:line="240" w:lineRule="auto"/>
        <w:ind w:left="1440"/>
        <w:jc w:val="both"/>
        <w:rPr>
          <w:rFonts w:ascii="Cambria" w:hAnsi="Cambria" w:cs="Calibri Light"/>
          <w:b/>
          <w:color w:val="000000" w:themeColor="text1"/>
          <w:sz w:val="20"/>
          <w:szCs w:val="20"/>
          <w:lang w:val="es-ES"/>
        </w:rPr>
      </w:pPr>
      <w:r w:rsidRPr="00554BC1">
        <w:rPr>
          <w:rFonts w:ascii="Cambria" w:hAnsi="Cambria" w:cs="Calibri Light"/>
          <w:b/>
          <w:color w:val="000000" w:themeColor="text1"/>
          <w:sz w:val="20"/>
          <w:szCs w:val="20"/>
          <w:lang w:val="es-ES"/>
        </w:rPr>
        <w:t xml:space="preserve">Nivel </w:t>
      </w:r>
      <w:r w:rsidR="00D770DF" w:rsidRPr="00554BC1">
        <w:rPr>
          <w:rFonts w:ascii="Cambria" w:hAnsi="Cambria" w:cs="Calibri Light"/>
          <w:b/>
          <w:color w:val="000000" w:themeColor="text1"/>
          <w:sz w:val="20"/>
          <w:szCs w:val="20"/>
          <w:lang w:val="es-ES"/>
        </w:rPr>
        <w:t xml:space="preserve">del cumplimiento del caso </w:t>
      </w:r>
    </w:p>
    <w:p w14:paraId="1FFBFF79" w14:textId="77777777" w:rsidR="00D770DF" w:rsidRPr="00554BC1" w:rsidRDefault="00D770DF" w:rsidP="00D770DF">
      <w:pPr>
        <w:spacing w:after="0" w:line="240" w:lineRule="auto"/>
        <w:jc w:val="both"/>
        <w:rPr>
          <w:rFonts w:ascii="Cambria" w:hAnsi="Cambria" w:cs="Calibri Light"/>
          <w:color w:val="000000" w:themeColor="text1"/>
          <w:sz w:val="20"/>
          <w:szCs w:val="20"/>
          <w:highlight w:val="yellow"/>
          <w:lang w:val="es-ES"/>
        </w:rPr>
      </w:pPr>
    </w:p>
    <w:p w14:paraId="0C338471" w14:textId="1F7EA2AF" w:rsidR="00B77951" w:rsidRPr="00554BC1" w:rsidRDefault="00916A5B" w:rsidP="00B77951">
      <w:pPr>
        <w:pStyle w:val="ListParagraph"/>
        <w:numPr>
          <w:ilvl w:val="0"/>
          <w:numId w:val="7"/>
        </w:numPr>
        <w:spacing w:after="0" w:line="240" w:lineRule="auto"/>
        <w:ind w:left="0" w:firstLine="720"/>
        <w:jc w:val="both"/>
        <w:rPr>
          <w:rFonts w:ascii="Cambria" w:hAnsi="Cambria" w:cs="Calibri Light"/>
          <w:color w:val="000000" w:themeColor="text1"/>
          <w:sz w:val="20"/>
          <w:szCs w:val="20"/>
          <w:lang w:val="es-ES"/>
        </w:rPr>
      </w:pPr>
      <w:r w:rsidRPr="00554BC1">
        <w:rPr>
          <w:rFonts w:ascii="Cambria" w:hAnsi="Cambria" w:cs="Calibri Light"/>
          <w:color w:val="000000" w:themeColor="text1"/>
          <w:sz w:val="20"/>
          <w:szCs w:val="20"/>
          <w:lang w:val="es-ES"/>
        </w:rPr>
        <w:t xml:space="preserve">La Comisión declaró </w:t>
      </w:r>
      <w:r w:rsidR="00F259EE" w:rsidRPr="00554BC1">
        <w:rPr>
          <w:rFonts w:ascii="Cambria" w:hAnsi="Cambria" w:cs="Calibri Light"/>
          <w:color w:val="000000" w:themeColor="text1"/>
          <w:sz w:val="20"/>
          <w:szCs w:val="20"/>
          <w:lang w:val="es-ES"/>
        </w:rPr>
        <w:t>el cumplimiento total de las r</w:t>
      </w:r>
      <w:r w:rsidRPr="00554BC1">
        <w:rPr>
          <w:rFonts w:ascii="Cambria" w:hAnsi="Cambria" w:cs="Calibri Light"/>
          <w:color w:val="000000" w:themeColor="text1"/>
          <w:sz w:val="20"/>
          <w:szCs w:val="20"/>
          <w:lang w:val="es-ES"/>
        </w:rPr>
        <w:t>ecomendaciones 1</w:t>
      </w:r>
      <w:r w:rsidR="00FD5EC3" w:rsidRPr="00554BC1">
        <w:rPr>
          <w:rFonts w:ascii="Cambria" w:hAnsi="Cambria" w:cs="Calibri Light"/>
          <w:color w:val="000000" w:themeColor="text1"/>
          <w:sz w:val="20"/>
          <w:szCs w:val="20"/>
          <w:lang w:val="es-ES"/>
        </w:rPr>
        <w:t>,</w:t>
      </w:r>
      <w:r w:rsidRPr="00554BC1">
        <w:rPr>
          <w:rFonts w:ascii="Cambria" w:hAnsi="Cambria" w:cs="Calibri Light"/>
          <w:color w:val="000000" w:themeColor="text1"/>
          <w:sz w:val="20"/>
          <w:szCs w:val="20"/>
          <w:lang w:val="es-ES"/>
        </w:rPr>
        <w:t xml:space="preserve"> 2</w:t>
      </w:r>
      <w:r w:rsidR="00FD5EC3" w:rsidRPr="00554BC1">
        <w:rPr>
          <w:rFonts w:ascii="Cambria" w:hAnsi="Cambria" w:cs="Calibri Light"/>
          <w:color w:val="000000" w:themeColor="text1"/>
          <w:sz w:val="20"/>
          <w:szCs w:val="20"/>
          <w:lang w:val="es-ES"/>
        </w:rPr>
        <w:t xml:space="preserve"> y 4</w:t>
      </w:r>
      <w:r w:rsidRPr="00554BC1">
        <w:rPr>
          <w:rFonts w:ascii="Cambria" w:hAnsi="Cambria" w:cs="Calibri Light"/>
          <w:color w:val="000000" w:themeColor="text1"/>
          <w:sz w:val="20"/>
          <w:szCs w:val="20"/>
          <w:lang w:val="es-ES"/>
        </w:rPr>
        <w:t xml:space="preserve"> en el Informe Anual 2009</w:t>
      </w:r>
      <w:r w:rsidRPr="00554BC1">
        <w:rPr>
          <w:rStyle w:val="FootnoteReference"/>
          <w:rFonts w:ascii="Cambria" w:hAnsi="Cambria" w:cs="Calibri Light"/>
          <w:color w:val="000000" w:themeColor="text1"/>
          <w:sz w:val="20"/>
          <w:szCs w:val="20"/>
          <w:lang w:val="es-ES"/>
        </w:rPr>
        <w:footnoteReference w:id="5"/>
      </w:r>
      <w:r w:rsidRPr="00554BC1">
        <w:rPr>
          <w:rFonts w:ascii="Cambria" w:hAnsi="Cambria" w:cs="Calibri Light"/>
          <w:color w:val="000000" w:themeColor="text1"/>
          <w:sz w:val="20"/>
          <w:szCs w:val="20"/>
          <w:lang w:val="es-ES"/>
        </w:rPr>
        <w:t xml:space="preserve">, y el cumplimiento total de la </w:t>
      </w:r>
      <w:r w:rsidR="00F259EE" w:rsidRPr="00554BC1">
        <w:rPr>
          <w:rFonts w:ascii="Cambria" w:hAnsi="Cambria" w:cs="Calibri Light"/>
          <w:color w:val="000000" w:themeColor="text1"/>
          <w:sz w:val="20"/>
          <w:szCs w:val="20"/>
          <w:lang w:val="es-ES"/>
        </w:rPr>
        <w:t>r</w:t>
      </w:r>
      <w:r w:rsidRPr="00554BC1">
        <w:rPr>
          <w:rFonts w:ascii="Cambria" w:hAnsi="Cambria" w:cs="Calibri Light"/>
          <w:color w:val="000000" w:themeColor="text1"/>
          <w:sz w:val="20"/>
          <w:szCs w:val="20"/>
          <w:lang w:val="es-ES"/>
        </w:rPr>
        <w:t>ecomendación 3 en el Informe Anual 2010</w:t>
      </w:r>
      <w:r w:rsidRPr="00554BC1">
        <w:rPr>
          <w:rStyle w:val="FootnoteReference"/>
          <w:rFonts w:ascii="Cambria" w:hAnsi="Cambria" w:cs="Calibri Light"/>
          <w:color w:val="000000" w:themeColor="text1"/>
          <w:sz w:val="20"/>
          <w:szCs w:val="20"/>
          <w:lang w:val="es-ES"/>
        </w:rPr>
        <w:footnoteReference w:id="6"/>
      </w:r>
      <w:r w:rsidRPr="00554BC1">
        <w:rPr>
          <w:rFonts w:ascii="Cambria" w:hAnsi="Cambria" w:cs="Calibri Light"/>
          <w:color w:val="000000" w:themeColor="text1"/>
          <w:sz w:val="20"/>
          <w:szCs w:val="20"/>
          <w:lang w:val="es-ES"/>
        </w:rPr>
        <w:t xml:space="preserve">. </w:t>
      </w:r>
    </w:p>
    <w:p w14:paraId="7733040B" w14:textId="77777777" w:rsidR="00B77951" w:rsidRPr="00554BC1" w:rsidRDefault="00B77951" w:rsidP="00B77951">
      <w:pPr>
        <w:pStyle w:val="ListParagraph"/>
        <w:spacing w:after="0" w:line="240" w:lineRule="auto"/>
        <w:jc w:val="both"/>
        <w:rPr>
          <w:rFonts w:ascii="Cambria" w:hAnsi="Cambria" w:cs="Calibri Light"/>
          <w:color w:val="000000" w:themeColor="text1"/>
          <w:sz w:val="20"/>
          <w:szCs w:val="20"/>
          <w:lang w:val="es-ES"/>
        </w:rPr>
      </w:pPr>
    </w:p>
    <w:p w14:paraId="2C354F38" w14:textId="28EDAC77" w:rsidR="00886727" w:rsidRPr="00554BC1" w:rsidRDefault="00B77951" w:rsidP="00B77951">
      <w:pPr>
        <w:pStyle w:val="ListParagraph"/>
        <w:numPr>
          <w:ilvl w:val="0"/>
          <w:numId w:val="7"/>
        </w:numPr>
        <w:spacing w:after="0" w:line="240" w:lineRule="auto"/>
        <w:ind w:left="0" w:firstLine="720"/>
        <w:jc w:val="both"/>
        <w:rPr>
          <w:rFonts w:ascii="Cambria" w:hAnsi="Cambria" w:cs="Calibri Light"/>
          <w:color w:val="000000" w:themeColor="text1"/>
          <w:sz w:val="20"/>
          <w:szCs w:val="20"/>
          <w:lang w:val="es-ES"/>
        </w:rPr>
      </w:pPr>
      <w:r w:rsidRPr="00554BC1">
        <w:rPr>
          <w:rFonts w:ascii="Cambria" w:hAnsi="Cambria" w:cs="Calibri Light"/>
          <w:color w:val="000000"/>
          <w:sz w:val="20"/>
          <w:szCs w:val="20"/>
          <w:lang w:val="es-ES"/>
        </w:rPr>
        <w:t>Por lo anterior, l</w:t>
      </w:r>
      <w:r w:rsidR="00886727" w:rsidRPr="00554BC1">
        <w:rPr>
          <w:rFonts w:ascii="Cambria" w:hAnsi="Cambria" w:cs="Calibri Light"/>
          <w:color w:val="000000"/>
          <w:sz w:val="20"/>
          <w:szCs w:val="20"/>
          <w:lang w:val="es-ES"/>
        </w:rPr>
        <w:t>a Comisión declaró el cumplimiento total del caso y el cese de supervisión de cumplimiento de</w:t>
      </w:r>
      <w:r w:rsidR="00F259EE" w:rsidRPr="00554BC1">
        <w:rPr>
          <w:rFonts w:ascii="Cambria" w:hAnsi="Cambria" w:cs="Calibri Light"/>
          <w:color w:val="000000"/>
          <w:sz w:val="20"/>
          <w:szCs w:val="20"/>
          <w:lang w:val="es-ES"/>
        </w:rPr>
        <w:t xml:space="preserve"> </w:t>
      </w:r>
      <w:r w:rsidR="00886727" w:rsidRPr="00554BC1">
        <w:rPr>
          <w:rFonts w:ascii="Cambria" w:hAnsi="Cambria" w:cs="Calibri Light"/>
          <w:color w:val="000000"/>
          <w:sz w:val="20"/>
          <w:szCs w:val="20"/>
          <w:lang w:val="es-ES"/>
        </w:rPr>
        <w:t>l</w:t>
      </w:r>
      <w:r w:rsidR="00F259EE" w:rsidRPr="00554BC1">
        <w:rPr>
          <w:rFonts w:ascii="Cambria" w:hAnsi="Cambria" w:cs="Calibri Light"/>
          <w:color w:val="000000"/>
          <w:sz w:val="20"/>
          <w:szCs w:val="20"/>
          <w:lang w:val="es-ES"/>
        </w:rPr>
        <w:t>as recomendaciones emitidas en el</w:t>
      </w:r>
      <w:r w:rsidR="00886727" w:rsidRPr="00554BC1">
        <w:rPr>
          <w:rFonts w:ascii="Cambria" w:hAnsi="Cambria" w:cs="Calibri Light"/>
          <w:color w:val="000000"/>
          <w:sz w:val="20"/>
          <w:szCs w:val="20"/>
          <w:lang w:val="es-ES"/>
        </w:rPr>
        <w:t xml:space="preserve"> Informe de Fondo Nº 124/06 en el Informe Anual 2010</w:t>
      </w:r>
      <w:r w:rsidR="0036531A" w:rsidRPr="00554BC1">
        <w:rPr>
          <w:rStyle w:val="FootnoteReference"/>
          <w:rFonts w:ascii="Cambria" w:hAnsi="Cambria" w:cs="Calibri Light"/>
          <w:color w:val="000000"/>
          <w:sz w:val="20"/>
          <w:szCs w:val="20"/>
          <w:lang w:val="es-ES"/>
        </w:rPr>
        <w:footnoteReference w:id="7"/>
      </w:r>
      <w:r w:rsidR="00886727" w:rsidRPr="00554BC1">
        <w:rPr>
          <w:rFonts w:ascii="Cambria" w:hAnsi="Cambria" w:cs="Calibri Light"/>
          <w:color w:val="000000"/>
          <w:sz w:val="20"/>
          <w:szCs w:val="20"/>
          <w:lang w:val="es-ES"/>
        </w:rPr>
        <w:t xml:space="preserve">. </w:t>
      </w:r>
    </w:p>
    <w:p w14:paraId="752C280A" w14:textId="77777777" w:rsidR="000611C2" w:rsidRPr="00554BC1" w:rsidRDefault="000611C2" w:rsidP="00D770DF">
      <w:pPr>
        <w:spacing w:after="0" w:line="240" w:lineRule="auto"/>
        <w:jc w:val="both"/>
        <w:rPr>
          <w:rFonts w:ascii="Cambria" w:hAnsi="Cambria" w:cs="Calibri Light"/>
          <w:color w:val="000000" w:themeColor="text1"/>
          <w:sz w:val="20"/>
          <w:szCs w:val="20"/>
          <w:lang w:val="es-ES"/>
        </w:rPr>
      </w:pPr>
    </w:p>
    <w:p w14:paraId="3A090CA2" w14:textId="77777777" w:rsidR="00D770DF" w:rsidRPr="00554BC1" w:rsidRDefault="0062362E" w:rsidP="005D115E">
      <w:pPr>
        <w:pStyle w:val="ListParagraph"/>
        <w:numPr>
          <w:ilvl w:val="0"/>
          <w:numId w:val="1"/>
        </w:numPr>
        <w:spacing w:after="0" w:line="240" w:lineRule="auto"/>
        <w:ind w:left="1440"/>
        <w:jc w:val="both"/>
        <w:rPr>
          <w:rFonts w:ascii="Cambria" w:hAnsi="Cambria" w:cs="Calibri Light"/>
          <w:b/>
          <w:color w:val="000000" w:themeColor="text1"/>
          <w:sz w:val="20"/>
          <w:szCs w:val="20"/>
          <w:lang w:val="es-ES"/>
        </w:rPr>
      </w:pPr>
      <w:r w:rsidRPr="00554BC1">
        <w:rPr>
          <w:rFonts w:ascii="Cambria" w:hAnsi="Cambria" w:cs="Calibri Light"/>
          <w:b/>
          <w:color w:val="000000" w:themeColor="text1"/>
          <w:sz w:val="20"/>
          <w:szCs w:val="20"/>
          <w:lang w:val="es-ES"/>
        </w:rPr>
        <w:t xml:space="preserve">Resultados </w:t>
      </w:r>
      <w:r w:rsidR="00D770DF" w:rsidRPr="00554BC1">
        <w:rPr>
          <w:rFonts w:ascii="Cambria" w:hAnsi="Cambria" w:cs="Calibri Light"/>
          <w:b/>
          <w:color w:val="000000" w:themeColor="text1"/>
          <w:sz w:val="20"/>
          <w:szCs w:val="20"/>
          <w:lang w:val="es-ES"/>
        </w:rPr>
        <w:t>individual</w:t>
      </w:r>
      <w:r w:rsidRPr="00554BC1">
        <w:rPr>
          <w:rFonts w:ascii="Cambria" w:hAnsi="Cambria" w:cs="Calibri Light"/>
          <w:b/>
          <w:color w:val="000000" w:themeColor="text1"/>
          <w:sz w:val="20"/>
          <w:szCs w:val="20"/>
          <w:lang w:val="es-ES"/>
        </w:rPr>
        <w:t>es</w:t>
      </w:r>
      <w:r w:rsidR="00D770DF" w:rsidRPr="00554BC1">
        <w:rPr>
          <w:rFonts w:ascii="Cambria" w:hAnsi="Cambria" w:cs="Calibri Light"/>
          <w:b/>
          <w:color w:val="000000" w:themeColor="text1"/>
          <w:sz w:val="20"/>
          <w:szCs w:val="20"/>
          <w:lang w:val="es-ES"/>
        </w:rPr>
        <w:t xml:space="preserve"> y estructural</w:t>
      </w:r>
      <w:r w:rsidRPr="00554BC1">
        <w:rPr>
          <w:rFonts w:ascii="Cambria" w:hAnsi="Cambria" w:cs="Calibri Light"/>
          <w:b/>
          <w:color w:val="000000" w:themeColor="text1"/>
          <w:sz w:val="20"/>
          <w:szCs w:val="20"/>
          <w:lang w:val="es-ES"/>
        </w:rPr>
        <w:t>es</w:t>
      </w:r>
      <w:r w:rsidR="00D770DF" w:rsidRPr="00554BC1">
        <w:rPr>
          <w:rFonts w:ascii="Cambria" w:hAnsi="Cambria" w:cs="Calibri Light"/>
          <w:b/>
          <w:color w:val="000000" w:themeColor="text1"/>
          <w:sz w:val="20"/>
          <w:szCs w:val="20"/>
          <w:lang w:val="es-ES"/>
        </w:rPr>
        <w:t xml:space="preserve"> del caso </w:t>
      </w:r>
    </w:p>
    <w:p w14:paraId="08366637" w14:textId="77777777" w:rsidR="00D770DF" w:rsidRPr="00554BC1" w:rsidRDefault="00D770DF" w:rsidP="00D770DF">
      <w:pPr>
        <w:spacing w:after="0" w:line="240" w:lineRule="auto"/>
        <w:jc w:val="both"/>
        <w:rPr>
          <w:rFonts w:ascii="Cambria" w:hAnsi="Cambria" w:cs="Calibri Light"/>
          <w:color w:val="000000" w:themeColor="text1"/>
          <w:sz w:val="20"/>
          <w:szCs w:val="20"/>
          <w:lang w:val="es-ES"/>
        </w:rPr>
      </w:pPr>
    </w:p>
    <w:p w14:paraId="29FC0AC6" w14:textId="4BD52722" w:rsidR="000611C2" w:rsidRPr="00554BC1" w:rsidRDefault="000611C2" w:rsidP="00B77951">
      <w:pPr>
        <w:pStyle w:val="ListParagraph"/>
        <w:numPr>
          <w:ilvl w:val="0"/>
          <w:numId w:val="7"/>
        </w:numPr>
        <w:spacing w:after="0" w:line="240" w:lineRule="auto"/>
        <w:ind w:left="0" w:firstLine="720"/>
        <w:jc w:val="both"/>
        <w:rPr>
          <w:rFonts w:ascii="Cambria" w:hAnsi="Cambria" w:cs="Calibri Light"/>
          <w:color w:val="000000" w:themeColor="text1"/>
          <w:sz w:val="20"/>
          <w:szCs w:val="20"/>
          <w:lang w:val="es-ES"/>
        </w:rPr>
      </w:pPr>
      <w:r w:rsidRPr="00554BC1">
        <w:rPr>
          <w:rFonts w:ascii="Cambria" w:hAnsi="Cambria" w:cs="Calibri Light"/>
          <w:color w:val="000000" w:themeColor="text1"/>
          <w:sz w:val="20"/>
          <w:szCs w:val="20"/>
          <w:lang w:val="es-ES"/>
        </w:rPr>
        <w:t>En esta sección se destaca</w:t>
      </w:r>
      <w:r w:rsidR="005E0735" w:rsidRPr="00554BC1">
        <w:rPr>
          <w:rFonts w:ascii="Cambria" w:hAnsi="Cambria" w:cs="Calibri Light"/>
          <w:color w:val="000000" w:themeColor="text1"/>
          <w:sz w:val="20"/>
          <w:szCs w:val="20"/>
          <w:lang w:val="es-ES"/>
        </w:rPr>
        <w:t>n</w:t>
      </w:r>
      <w:r w:rsidRPr="00554BC1">
        <w:rPr>
          <w:rFonts w:ascii="Cambria" w:hAnsi="Cambria" w:cs="Calibri Light"/>
          <w:color w:val="000000" w:themeColor="text1"/>
          <w:sz w:val="20"/>
          <w:szCs w:val="20"/>
          <w:lang w:val="es-ES"/>
        </w:rPr>
        <w:t xml:space="preserve"> los resultados individuales y estructurales del caso informados por las partes. </w:t>
      </w:r>
    </w:p>
    <w:p w14:paraId="453609A6" w14:textId="77777777" w:rsidR="000611C2" w:rsidRPr="00554BC1" w:rsidRDefault="000611C2" w:rsidP="00D770DF">
      <w:pPr>
        <w:spacing w:after="0" w:line="240" w:lineRule="auto"/>
        <w:jc w:val="both"/>
        <w:rPr>
          <w:rFonts w:ascii="Cambria" w:hAnsi="Cambria" w:cs="Calibri Light"/>
          <w:color w:val="000000" w:themeColor="text1"/>
          <w:sz w:val="20"/>
          <w:szCs w:val="20"/>
          <w:lang w:val="es-ES"/>
        </w:rPr>
      </w:pPr>
    </w:p>
    <w:p w14:paraId="451CF63A" w14:textId="77777777" w:rsidR="00D770DF" w:rsidRPr="00554BC1" w:rsidRDefault="0062362E" w:rsidP="005D115E">
      <w:pPr>
        <w:pStyle w:val="ListParagraph"/>
        <w:numPr>
          <w:ilvl w:val="0"/>
          <w:numId w:val="2"/>
        </w:numPr>
        <w:spacing w:after="0" w:line="240" w:lineRule="auto"/>
        <w:ind w:left="1440" w:hanging="720"/>
        <w:jc w:val="both"/>
        <w:rPr>
          <w:rFonts w:ascii="Cambria" w:hAnsi="Cambria" w:cs="Calibri Light"/>
          <w:b/>
          <w:color w:val="000000" w:themeColor="text1"/>
          <w:sz w:val="20"/>
          <w:szCs w:val="20"/>
          <w:lang w:val="es-ES"/>
        </w:rPr>
      </w:pPr>
      <w:r w:rsidRPr="00554BC1">
        <w:rPr>
          <w:rFonts w:ascii="Cambria" w:hAnsi="Cambria" w:cs="Calibri Light"/>
          <w:b/>
          <w:color w:val="000000" w:themeColor="text1"/>
          <w:sz w:val="20"/>
          <w:szCs w:val="20"/>
          <w:lang w:val="es-ES"/>
        </w:rPr>
        <w:t>Resultados</w:t>
      </w:r>
      <w:r w:rsidR="00D770DF" w:rsidRPr="00554BC1">
        <w:rPr>
          <w:rFonts w:ascii="Cambria" w:hAnsi="Cambria" w:cs="Calibri Light"/>
          <w:b/>
          <w:color w:val="000000" w:themeColor="text1"/>
          <w:sz w:val="20"/>
          <w:szCs w:val="20"/>
          <w:lang w:val="es-ES"/>
        </w:rPr>
        <w:t xml:space="preserve"> individual</w:t>
      </w:r>
      <w:r w:rsidRPr="00554BC1">
        <w:rPr>
          <w:rFonts w:ascii="Cambria" w:hAnsi="Cambria" w:cs="Calibri Light"/>
          <w:b/>
          <w:color w:val="000000" w:themeColor="text1"/>
          <w:sz w:val="20"/>
          <w:szCs w:val="20"/>
          <w:lang w:val="es-ES"/>
        </w:rPr>
        <w:t>es</w:t>
      </w:r>
      <w:r w:rsidR="00D770DF" w:rsidRPr="00554BC1">
        <w:rPr>
          <w:rFonts w:ascii="Cambria" w:hAnsi="Cambria" w:cs="Calibri Light"/>
          <w:b/>
          <w:color w:val="000000" w:themeColor="text1"/>
          <w:sz w:val="20"/>
          <w:szCs w:val="20"/>
          <w:lang w:val="es-ES"/>
        </w:rPr>
        <w:t xml:space="preserve"> del caso</w:t>
      </w:r>
    </w:p>
    <w:p w14:paraId="0C9E049A" w14:textId="1601FE8A" w:rsidR="001F1F83" w:rsidRPr="00554BC1" w:rsidRDefault="001F1F83" w:rsidP="007D1669">
      <w:pPr>
        <w:spacing w:after="0" w:line="240" w:lineRule="auto"/>
        <w:jc w:val="both"/>
        <w:rPr>
          <w:rFonts w:ascii="Cambria" w:hAnsi="Cambria" w:cs="Calibri Light"/>
          <w:color w:val="000000"/>
          <w:sz w:val="20"/>
          <w:szCs w:val="20"/>
          <w:lang w:val="es-ES"/>
        </w:rPr>
      </w:pPr>
    </w:p>
    <w:p w14:paraId="7BB22704" w14:textId="0E4430BD" w:rsidR="007F7D08" w:rsidRPr="00554BC1" w:rsidRDefault="007F7D08" w:rsidP="007F7D08">
      <w:pPr>
        <w:spacing w:after="0" w:line="240" w:lineRule="auto"/>
        <w:jc w:val="both"/>
        <w:rPr>
          <w:rFonts w:ascii="Cambria" w:hAnsi="Cambria" w:cs="Calibri Light"/>
          <w:i/>
          <w:color w:val="000000"/>
          <w:sz w:val="20"/>
          <w:szCs w:val="20"/>
          <w:lang w:val="es-ES"/>
        </w:rPr>
      </w:pPr>
      <w:r w:rsidRPr="00554BC1">
        <w:rPr>
          <w:rFonts w:ascii="Cambria" w:hAnsi="Cambria" w:cs="Calibri Light"/>
          <w:i/>
          <w:color w:val="000000"/>
          <w:sz w:val="20"/>
          <w:szCs w:val="20"/>
          <w:lang w:val="es-ES"/>
        </w:rPr>
        <w:t>Medidas de restitución en el ejercicio del derecho</w:t>
      </w:r>
    </w:p>
    <w:p w14:paraId="7AE20BE1" w14:textId="66AC11F5" w:rsidR="00AE149A" w:rsidRPr="00554BC1" w:rsidRDefault="007C1D76" w:rsidP="00726711">
      <w:pPr>
        <w:numPr>
          <w:ilvl w:val="0"/>
          <w:numId w:val="4"/>
        </w:numPr>
        <w:spacing w:after="0" w:line="240" w:lineRule="auto"/>
        <w:jc w:val="both"/>
        <w:rPr>
          <w:rFonts w:ascii="Cambria" w:hAnsi="Cambria" w:cs="Calibri Light"/>
          <w:color w:val="000000"/>
          <w:sz w:val="20"/>
          <w:szCs w:val="20"/>
          <w:lang w:val="es-ES"/>
        </w:rPr>
      </w:pPr>
      <w:r w:rsidRPr="00554BC1">
        <w:rPr>
          <w:rFonts w:ascii="Cambria" w:hAnsi="Cambria" w:cs="Calibri Light"/>
          <w:color w:val="000000"/>
          <w:sz w:val="20"/>
          <w:szCs w:val="20"/>
          <w:lang w:val="es-ES"/>
        </w:rPr>
        <w:t xml:space="preserve">Mediante </w:t>
      </w:r>
      <w:r w:rsidR="00AE149A" w:rsidRPr="00554BC1">
        <w:rPr>
          <w:rFonts w:ascii="Cambria" w:hAnsi="Cambria" w:cs="Calibri Light"/>
          <w:color w:val="000000"/>
          <w:sz w:val="20"/>
          <w:szCs w:val="20"/>
          <w:lang w:val="es-ES"/>
        </w:rPr>
        <w:t xml:space="preserve">la Resolución del Poder Ejecutivo </w:t>
      </w:r>
      <w:r w:rsidR="00E75752" w:rsidRPr="00554BC1">
        <w:rPr>
          <w:rFonts w:ascii="Cambria" w:hAnsi="Cambria" w:cs="Calibri Light"/>
          <w:color w:val="000000"/>
          <w:sz w:val="20"/>
          <w:szCs w:val="20"/>
          <w:lang w:val="es-ES"/>
        </w:rPr>
        <w:t xml:space="preserve">Nº 83.329 </w:t>
      </w:r>
      <w:r w:rsidR="00AE149A" w:rsidRPr="00554BC1">
        <w:rPr>
          <w:rFonts w:ascii="Cambria" w:hAnsi="Cambria" w:cs="Calibri Light"/>
          <w:color w:val="000000"/>
          <w:sz w:val="20"/>
          <w:szCs w:val="20"/>
          <w:lang w:val="es-ES"/>
        </w:rPr>
        <w:t>de 28 de diciembre de 2005, se resolvió revocar con carácter retroactivo las Resoluciones del Poder Ejecutivo</w:t>
      </w:r>
      <w:r w:rsidR="00E75752" w:rsidRPr="00554BC1">
        <w:rPr>
          <w:rFonts w:ascii="Cambria" w:hAnsi="Cambria" w:cs="Calibri Light"/>
          <w:color w:val="000000"/>
          <w:sz w:val="20"/>
          <w:szCs w:val="20"/>
          <w:lang w:val="es-ES"/>
        </w:rPr>
        <w:t xml:space="preserve"> Nº 46.202 y </w:t>
      </w:r>
      <w:r w:rsidR="00134722" w:rsidRPr="00554BC1">
        <w:rPr>
          <w:rFonts w:ascii="Cambria" w:hAnsi="Cambria" w:cs="Calibri Light"/>
          <w:color w:val="000000"/>
          <w:sz w:val="20"/>
          <w:szCs w:val="20"/>
          <w:lang w:val="es-ES"/>
        </w:rPr>
        <w:t xml:space="preserve">Nº </w:t>
      </w:r>
      <w:r w:rsidR="00E75752" w:rsidRPr="00554BC1">
        <w:rPr>
          <w:rFonts w:ascii="Cambria" w:hAnsi="Cambria" w:cs="Calibri Light"/>
          <w:color w:val="000000"/>
          <w:sz w:val="20"/>
          <w:szCs w:val="20"/>
          <w:lang w:val="es-ES"/>
        </w:rPr>
        <w:t>46.204</w:t>
      </w:r>
      <w:r w:rsidR="00AE149A" w:rsidRPr="00554BC1">
        <w:rPr>
          <w:rFonts w:ascii="Cambria" w:hAnsi="Cambria" w:cs="Calibri Light"/>
          <w:color w:val="000000"/>
          <w:sz w:val="20"/>
          <w:szCs w:val="20"/>
          <w:lang w:val="es-ES"/>
        </w:rPr>
        <w:t xml:space="preserve"> de 2 de enero de 1973 </w:t>
      </w:r>
      <w:r w:rsidR="00E75752" w:rsidRPr="00554BC1">
        <w:rPr>
          <w:rFonts w:ascii="Cambria" w:hAnsi="Cambria" w:cs="Calibri Light"/>
          <w:color w:val="000000"/>
          <w:sz w:val="20"/>
          <w:szCs w:val="20"/>
          <w:lang w:val="es-ES"/>
        </w:rPr>
        <w:t>y la R</w:t>
      </w:r>
      <w:r w:rsidR="00AE149A" w:rsidRPr="00554BC1">
        <w:rPr>
          <w:rFonts w:ascii="Cambria" w:hAnsi="Cambria" w:cs="Calibri Light"/>
          <w:color w:val="000000"/>
          <w:sz w:val="20"/>
          <w:szCs w:val="20"/>
          <w:lang w:val="es-ES"/>
        </w:rPr>
        <w:t>esolución</w:t>
      </w:r>
      <w:r w:rsidR="00E75752" w:rsidRPr="00554BC1">
        <w:rPr>
          <w:rFonts w:ascii="Cambria" w:hAnsi="Cambria" w:cs="Calibri Light"/>
          <w:color w:val="000000"/>
          <w:sz w:val="20"/>
          <w:szCs w:val="20"/>
          <w:lang w:val="es-ES"/>
        </w:rPr>
        <w:t xml:space="preserve"> Nº 6.540</w:t>
      </w:r>
      <w:r w:rsidR="00702C4E" w:rsidRPr="00554BC1">
        <w:rPr>
          <w:rFonts w:ascii="Cambria" w:hAnsi="Cambria" w:cs="Calibri Light"/>
          <w:color w:val="000000"/>
          <w:sz w:val="20"/>
          <w:szCs w:val="20"/>
          <w:lang w:val="es-ES"/>
        </w:rPr>
        <w:t xml:space="preserve"> del M</w:t>
      </w:r>
      <w:r w:rsidR="00AE149A" w:rsidRPr="00554BC1">
        <w:rPr>
          <w:rFonts w:ascii="Cambria" w:hAnsi="Cambria" w:cs="Calibri Light"/>
          <w:color w:val="000000"/>
          <w:sz w:val="20"/>
          <w:szCs w:val="20"/>
          <w:lang w:val="es-ES"/>
        </w:rPr>
        <w:t>inisterio de Defensa Nacional de 20 de diciembre de 1973, quedando anulados los efectos legales del fallo del Tribunal de Honor y restituidos los derechos, beneficios y honores de</w:t>
      </w:r>
      <w:r w:rsidR="00E75752" w:rsidRPr="00554BC1">
        <w:rPr>
          <w:rFonts w:ascii="Cambria" w:hAnsi="Cambria" w:cs="Calibri Light"/>
          <w:color w:val="000000"/>
          <w:sz w:val="20"/>
          <w:szCs w:val="20"/>
          <w:lang w:val="es-ES"/>
        </w:rPr>
        <w:t>l General</w:t>
      </w:r>
      <w:r w:rsidR="00AE149A" w:rsidRPr="00554BC1">
        <w:rPr>
          <w:rFonts w:ascii="Cambria" w:hAnsi="Cambria" w:cs="Calibri Light"/>
          <w:color w:val="000000"/>
          <w:sz w:val="20"/>
          <w:szCs w:val="20"/>
          <w:lang w:val="es-ES"/>
        </w:rPr>
        <w:t xml:space="preserve"> </w:t>
      </w:r>
      <w:r w:rsidR="00E75752" w:rsidRPr="00554BC1">
        <w:rPr>
          <w:rFonts w:ascii="Cambria" w:hAnsi="Cambria" w:cs="Calibri Light"/>
          <w:color w:val="000000"/>
          <w:sz w:val="20"/>
          <w:szCs w:val="20"/>
          <w:lang w:val="es-ES"/>
        </w:rPr>
        <w:t>Tomá</w:t>
      </w:r>
      <w:r w:rsidR="00AE149A" w:rsidRPr="00554BC1">
        <w:rPr>
          <w:rFonts w:ascii="Cambria" w:hAnsi="Cambria" w:cs="Calibri Light"/>
          <w:color w:val="000000"/>
          <w:sz w:val="20"/>
          <w:szCs w:val="20"/>
          <w:lang w:val="es-ES"/>
        </w:rPr>
        <w:t>s Eduardo Cirio Barboza en su calidad de Oficial en situación de retiro.</w:t>
      </w:r>
    </w:p>
    <w:p w14:paraId="0FFB9ECE" w14:textId="4BF7617F" w:rsidR="008D7A38" w:rsidRPr="00554BC1" w:rsidRDefault="0076375B" w:rsidP="00726711">
      <w:pPr>
        <w:pStyle w:val="ListParagraph"/>
        <w:numPr>
          <w:ilvl w:val="0"/>
          <w:numId w:val="4"/>
        </w:numPr>
        <w:spacing w:after="0" w:line="240" w:lineRule="auto"/>
        <w:jc w:val="both"/>
        <w:rPr>
          <w:rFonts w:ascii="Cambria" w:hAnsi="Cambria" w:cs="Calibri Light"/>
          <w:color w:val="000000"/>
          <w:sz w:val="20"/>
          <w:szCs w:val="20"/>
          <w:lang w:val="es-ES"/>
        </w:rPr>
      </w:pPr>
      <w:r w:rsidRPr="00554BC1">
        <w:rPr>
          <w:rFonts w:ascii="Cambria" w:hAnsi="Cambria" w:cs="Calibri Light"/>
          <w:color w:val="000000"/>
          <w:sz w:val="20"/>
          <w:szCs w:val="20"/>
          <w:lang w:val="es-ES"/>
        </w:rPr>
        <w:t xml:space="preserve">El Estado </w:t>
      </w:r>
      <w:r w:rsidR="008D7A38" w:rsidRPr="00554BC1">
        <w:rPr>
          <w:rFonts w:ascii="Cambria" w:hAnsi="Cambria" w:cs="Calibri Light"/>
          <w:color w:val="000000"/>
          <w:sz w:val="20"/>
          <w:szCs w:val="20"/>
          <w:lang w:val="es-ES"/>
        </w:rPr>
        <w:t>dispuso que correspondía a</w:t>
      </w:r>
      <w:r w:rsidR="006A2357" w:rsidRPr="00554BC1">
        <w:rPr>
          <w:rFonts w:ascii="Cambria" w:hAnsi="Cambria" w:cs="Calibri Light"/>
          <w:color w:val="000000"/>
          <w:sz w:val="20"/>
          <w:szCs w:val="20"/>
          <w:lang w:val="es-ES"/>
        </w:rPr>
        <w:t>l General</w:t>
      </w:r>
      <w:r w:rsidR="008D7A38" w:rsidRPr="00554BC1">
        <w:rPr>
          <w:rFonts w:ascii="Cambria" w:hAnsi="Cambria" w:cs="Calibri Light"/>
          <w:color w:val="000000"/>
          <w:sz w:val="20"/>
          <w:szCs w:val="20"/>
          <w:lang w:val="es-ES"/>
        </w:rPr>
        <w:t xml:space="preserve"> </w:t>
      </w:r>
      <w:r w:rsidR="00E75752" w:rsidRPr="00554BC1">
        <w:rPr>
          <w:rFonts w:ascii="Cambria" w:hAnsi="Cambria" w:cs="Calibri Light"/>
          <w:color w:val="000000"/>
          <w:sz w:val="20"/>
          <w:szCs w:val="20"/>
          <w:lang w:val="es-ES"/>
        </w:rPr>
        <w:t>Tomás</w:t>
      </w:r>
      <w:r w:rsidR="008D7A38" w:rsidRPr="00554BC1">
        <w:rPr>
          <w:rFonts w:ascii="Cambria" w:hAnsi="Cambria" w:cs="Calibri Light"/>
          <w:color w:val="000000"/>
          <w:sz w:val="20"/>
          <w:szCs w:val="20"/>
          <w:lang w:val="es-ES"/>
        </w:rPr>
        <w:t xml:space="preserve"> Eduardo Cirio Barboza el usufructo de los beneficios de su grado, los honores que correspondan al mismo, la sanidad militar y la eliminación del legajo personal de las constancias indebidas.</w:t>
      </w:r>
    </w:p>
    <w:p w14:paraId="13C8F98D" w14:textId="77777777" w:rsidR="008D7A38" w:rsidRPr="00554BC1" w:rsidRDefault="008D7A38" w:rsidP="007B37A0">
      <w:pPr>
        <w:spacing w:after="0" w:line="240" w:lineRule="auto"/>
        <w:jc w:val="both"/>
        <w:rPr>
          <w:rFonts w:ascii="Cambria" w:hAnsi="Cambria" w:cs="Calibri Light"/>
          <w:i/>
          <w:color w:val="000000" w:themeColor="text1"/>
          <w:sz w:val="20"/>
          <w:szCs w:val="20"/>
          <w:lang w:val="es-ES"/>
        </w:rPr>
      </w:pPr>
    </w:p>
    <w:p w14:paraId="66FEF6EC" w14:textId="690A548F" w:rsidR="00245919" w:rsidRPr="00554BC1" w:rsidRDefault="00245919" w:rsidP="007B37A0">
      <w:pPr>
        <w:spacing w:after="0" w:line="240" w:lineRule="auto"/>
        <w:jc w:val="both"/>
        <w:rPr>
          <w:rFonts w:ascii="Cambria" w:hAnsi="Cambria" w:cs="Calibri Light"/>
          <w:i/>
          <w:color w:val="000000" w:themeColor="text1"/>
          <w:sz w:val="20"/>
          <w:szCs w:val="20"/>
          <w:lang w:val="es-ES"/>
        </w:rPr>
      </w:pPr>
      <w:r w:rsidRPr="00554BC1">
        <w:rPr>
          <w:rFonts w:ascii="Cambria" w:hAnsi="Cambria" w:cs="Calibri Light"/>
          <w:i/>
          <w:color w:val="000000" w:themeColor="text1"/>
          <w:sz w:val="20"/>
          <w:szCs w:val="20"/>
          <w:lang w:val="es-ES"/>
        </w:rPr>
        <w:lastRenderedPageBreak/>
        <w:t xml:space="preserve">Medidas de satisfacción </w:t>
      </w:r>
    </w:p>
    <w:p w14:paraId="260C81F7" w14:textId="26D9AF03" w:rsidR="00245919" w:rsidRPr="00554BC1" w:rsidRDefault="00245919" w:rsidP="00726711">
      <w:pPr>
        <w:pStyle w:val="ListParagraph"/>
        <w:numPr>
          <w:ilvl w:val="0"/>
          <w:numId w:val="5"/>
        </w:numPr>
        <w:spacing w:after="0" w:line="240" w:lineRule="auto"/>
        <w:jc w:val="both"/>
        <w:rPr>
          <w:rFonts w:ascii="Cambria" w:hAnsi="Cambria" w:cs="Calibri Light"/>
          <w:color w:val="000000"/>
          <w:sz w:val="20"/>
          <w:szCs w:val="20"/>
          <w:lang w:val="es-ES"/>
        </w:rPr>
      </w:pPr>
      <w:r w:rsidRPr="00554BC1">
        <w:rPr>
          <w:rFonts w:ascii="Cambria" w:hAnsi="Cambria" w:cs="Calibri Light"/>
          <w:color w:val="000000"/>
          <w:sz w:val="20"/>
          <w:szCs w:val="20"/>
          <w:lang w:val="es-ES"/>
        </w:rPr>
        <w:t>El Estado otorgó a</w:t>
      </w:r>
      <w:r w:rsidR="009027C7" w:rsidRPr="00554BC1">
        <w:rPr>
          <w:rFonts w:ascii="Cambria" w:hAnsi="Cambria" w:cs="Calibri Light"/>
          <w:color w:val="000000"/>
          <w:sz w:val="20"/>
          <w:szCs w:val="20"/>
          <w:lang w:val="es-ES"/>
        </w:rPr>
        <w:t>l General</w:t>
      </w:r>
      <w:r w:rsidRPr="00554BC1">
        <w:rPr>
          <w:rFonts w:ascii="Cambria" w:hAnsi="Cambria" w:cs="Calibri Light"/>
          <w:color w:val="000000"/>
          <w:sz w:val="20"/>
          <w:szCs w:val="20"/>
          <w:lang w:val="es-ES"/>
        </w:rPr>
        <w:t xml:space="preserve"> </w:t>
      </w:r>
      <w:r w:rsidR="00E75752" w:rsidRPr="00554BC1">
        <w:rPr>
          <w:rFonts w:ascii="Cambria" w:hAnsi="Cambria" w:cs="Calibri Light"/>
          <w:color w:val="000000"/>
          <w:sz w:val="20"/>
          <w:szCs w:val="20"/>
          <w:lang w:val="es-ES"/>
        </w:rPr>
        <w:t>Tomás</w:t>
      </w:r>
      <w:r w:rsidRPr="00554BC1">
        <w:rPr>
          <w:rFonts w:ascii="Cambria" w:hAnsi="Cambria" w:cs="Calibri Light"/>
          <w:color w:val="000000"/>
          <w:sz w:val="20"/>
          <w:szCs w:val="20"/>
          <w:lang w:val="es-ES"/>
        </w:rPr>
        <w:t xml:space="preserve"> Eduardo Cirio Barboza </w:t>
      </w:r>
      <w:r w:rsidR="00C21817" w:rsidRPr="00554BC1">
        <w:rPr>
          <w:rFonts w:ascii="Cambria" w:hAnsi="Cambria" w:cs="Calibri Light"/>
          <w:color w:val="000000"/>
          <w:sz w:val="20"/>
          <w:szCs w:val="20"/>
          <w:lang w:val="es-ES"/>
        </w:rPr>
        <w:t xml:space="preserve">el grado más alto en el escalafón del Ejército </w:t>
      </w:r>
      <w:r w:rsidR="002B5614" w:rsidRPr="00554BC1">
        <w:rPr>
          <w:rFonts w:ascii="Cambria" w:hAnsi="Cambria" w:cs="Calibri Light"/>
          <w:color w:val="000000"/>
          <w:sz w:val="20"/>
          <w:szCs w:val="20"/>
          <w:lang w:val="es-ES"/>
        </w:rPr>
        <w:t xml:space="preserve">– General – </w:t>
      </w:r>
      <w:r w:rsidR="00C21817" w:rsidRPr="00554BC1">
        <w:rPr>
          <w:rFonts w:ascii="Cambria" w:hAnsi="Cambria" w:cs="Calibri Light"/>
          <w:color w:val="000000"/>
          <w:sz w:val="20"/>
          <w:szCs w:val="20"/>
          <w:lang w:val="es-ES"/>
        </w:rPr>
        <w:t>a partir del 1</w:t>
      </w:r>
      <w:r w:rsidR="007B2C97" w:rsidRPr="00554BC1">
        <w:rPr>
          <w:rFonts w:ascii="Cambria" w:hAnsi="Cambria" w:cs="Calibri Light"/>
          <w:color w:val="000000"/>
          <w:sz w:val="20"/>
          <w:szCs w:val="20"/>
          <w:lang w:val="es-ES"/>
        </w:rPr>
        <w:t xml:space="preserve"> de febrero de 1986, mediante R</w:t>
      </w:r>
      <w:r w:rsidR="00C21817" w:rsidRPr="00554BC1">
        <w:rPr>
          <w:rFonts w:ascii="Cambria" w:hAnsi="Cambria" w:cs="Calibri Light"/>
          <w:color w:val="000000"/>
          <w:sz w:val="20"/>
          <w:szCs w:val="20"/>
          <w:lang w:val="es-ES"/>
        </w:rPr>
        <w:t>esolución del Poder Ejecutivo Nº 83.805 de 4 de septiembre de 2006</w:t>
      </w:r>
      <w:r w:rsidRPr="00554BC1">
        <w:rPr>
          <w:rFonts w:ascii="Cambria" w:hAnsi="Cambria" w:cs="Calibri Light"/>
          <w:color w:val="000000"/>
          <w:sz w:val="20"/>
          <w:szCs w:val="20"/>
          <w:lang w:val="es-ES"/>
        </w:rPr>
        <w:t>, a fin de reparar su honor.</w:t>
      </w:r>
    </w:p>
    <w:p w14:paraId="4C5AE184" w14:textId="47D47311" w:rsidR="00245919" w:rsidRPr="00554BC1" w:rsidRDefault="00245919" w:rsidP="00726711">
      <w:pPr>
        <w:pStyle w:val="ListParagraph"/>
        <w:numPr>
          <w:ilvl w:val="0"/>
          <w:numId w:val="5"/>
        </w:numPr>
        <w:spacing w:after="0" w:line="240" w:lineRule="auto"/>
        <w:jc w:val="both"/>
        <w:rPr>
          <w:rFonts w:ascii="Cambria" w:hAnsi="Cambria" w:cs="Calibri Light"/>
          <w:color w:val="000000" w:themeColor="text1"/>
          <w:sz w:val="20"/>
          <w:szCs w:val="20"/>
          <w:lang w:val="es-ES"/>
        </w:rPr>
      </w:pPr>
      <w:r w:rsidRPr="00554BC1">
        <w:rPr>
          <w:rFonts w:ascii="Cambria" w:hAnsi="Cambria" w:cs="Calibri Light"/>
          <w:color w:val="000000" w:themeColor="text1"/>
          <w:sz w:val="20"/>
          <w:szCs w:val="20"/>
          <w:lang w:val="es-ES"/>
        </w:rPr>
        <w:t>El 6 de diciembre de 2005, el Ministerio de Defensa Nacional dispuso la publicación en los d</w:t>
      </w:r>
      <w:r w:rsidR="001F1F83" w:rsidRPr="00554BC1">
        <w:rPr>
          <w:rFonts w:ascii="Cambria" w:hAnsi="Cambria" w:cs="Calibri Light"/>
          <w:color w:val="000000" w:themeColor="text1"/>
          <w:sz w:val="20"/>
          <w:szCs w:val="20"/>
          <w:lang w:val="es-ES"/>
        </w:rPr>
        <w:t>iarios El País, la República y Ú</w:t>
      </w:r>
      <w:r w:rsidRPr="00554BC1">
        <w:rPr>
          <w:rFonts w:ascii="Cambria" w:hAnsi="Cambria" w:cs="Calibri Light"/>
          <w:color w:val="000000" w:themeColor="text1"/>
          <w:sz w:val="20"/>
          <w:szCs w:val="20"/>
          <w:lang w:val="es-ES"/>
        </w:rPr>
        <w:t>ltimas Noticias de un comunicado de prensa que señalaba: “Ministerio de Defensa Nacional. Comunicado. Hacemos constar que este Ministerio en cumplimiento del literal a) del numeral 2 de la recomendación de la Comisión Interamericana de Derechos Humanos formulada en el caso promovido por el Mayor Retirado Tomás E. Cirio, esta Secretaría de Estado declara: Que no comparte el Comunicado del Centro Militar de fecha 5 de octubre de 1972.”</w:t>
      </w:r>
    </w:p>
    <w:p w14:paraId="63A9F963" w14:textId="77777777" w:rsidR="004923C1" w:rsidRPr="00554BC1" w:rsidRDefault="004923C1" w:rsidP="004923C1">
      <w:pPr>
        <w:spacing w:after="0" w:line="240" w:lineRule="auto"/>
        <w:jc w:val="both"/>
        <w:rPr>
          <w:rFonts w:ascii="Cambria" w:hAnsi="Cambria" w:cs="Calibri Light"/>
          <w:color w:val="000000" w:themeColor="text1"/>
          <w:sz w:val="20"/>
          <w:szCs w:val="20"/>
          <w:lang w:val="es-ES"/>
        </w:rPr>
      </w:pPr>
    </w:p>
    <w:p w14:paraId="034D9C55" w14:textId="63865D0B" w:rsidR="004923C1" w:rsidRPr="00554BC1" w:rsidRDefault="004923C1" w:rsidP="004923C1">
      <w:pPr>
        <w:spacing w:after="0" w:line="240" w:lineRule="auto"/>
        <w:jc w:val="both"/>
        <w:rPr>
          <w:rFonts w:ascii="Cambria" w:hAnsi="Cambria" w:cs="Calibri Light"/>
          <w:i/>
          <w:color w:val="000000" w:themeColor="text1"/>
          <w:sz w:val="20"/>
          <w:szCs w:val="20"/>
          <w:lang w:val="es-ES"/>
        </w:rPr>
      </w:pPr>
      <w:r w:rsidRPr="00554BC1">
        <w:rPr>
          <w:rFonts w:ascii="Cambria" w:hAnsi="Cambria" w:cs="Calibri Light"/>
          <w:i/>
          <w:color w:val="000000" w:themeColor="text1"/>
          <w:sz w:val="20"/>
          <w:szCs w:val="20"/>
          <w:lang w:val="es-ES"/>
        </w:rPr>
        <w:t>Medidas de compensación pecuniaria</w:t>
      </w:r>
    </w:p>
    <w:p w14:paraId="34AC5FEA" w14:textId="747C2095" w:rsidR="007D1669" w:rsidRPr="00554BC1" w:rsidRDefault="007D1669" w:rsidP="004923C1">
      <w:pPr>
        <w:numPr>
          <w:ilvl w:val="0"/>
          <w:numId w:val="4"/>
        </w:numPr>
        <w:spacing w:after="0" w:line="240" w:lineRule="auto"/>
        <w:jc w:val="both"/>
        <w:rPr>
          <w:rFonts w:ascii="Cambria" w:hAnsi="Cambria" w:cs="Calibri Light"/>
          <w:color w:val="000000"/>
          <w:sz w:val="20"/>
          <w:szCs w:val="20"/>
          <w:lang w:val="es-ES"/>
        </w:rPr>
      </w:pPr>
      <w:r w:rsidRPr="00554BC1">
        <w:rPr>
          <w:rFonts w:ascii="Cambria" w:hAnsi="Cambria" w:cs="Calibri Light"/>
          <w:color w:val="000000"/>
          <w:sz w:val="20"/>
          <w:szCs w:val="20"/>
          <w:lang w:val="es-ES"/>
        </w:rPr>
        <w:t>Mediante Resolución Nº 83.805 de fecha 4 de septiembre de 2006, se procedió a reparar al General Tomás Eduardo Cirio Barboza, quien se acogió voluntariamente al amparo de la Ley Nº 17.949 (sobre reparación de militares destituidos, dados de baja o pasados a reforma por motivos políticos o ideológicos). La Resolución fue firmada por Dr. Tabaré Vásquez, el Presidente de la Republica, y Dra. Azucena Berrutti, la Ministra de Defensa.</w:t>
      </w:r>
    </w:p>
    <w:p w14:paraId="16C0E708" w14:textId="5548B87D" w:rsidR="004923C1" w:rsidRPr="00554BC1" w:rsidRDefault="00547607" w:rsidP="004923C1">
      <w:pPr>
        <w:pStyle w:val="ListParagraph"/>
        <w:numPr>
          <w:ilvl w:val="0"/>
          <w:numId w:val="8"/>
        </w:numPr>
        <w:spacing w:after="0" w:line="240" w:lineRule="auto"/>
        <w:jc w:val="both"/>
        <w:rPr>
          <w:rFonts w:ascii="Cambria" w:hAnsi="Cambria" w:cs="Calibri Light"/>
          <w:color w:val="000000" w:themeColor="text1"/>
          <w:sz w:val="20"/>
          <w:szCs w:val="20"/>
          <w:lang w:val="es-ES"/>
        </w:rPr>
      </w:pPr>
      <w:r>
        <w:rPr>
          <w:rFonts w:ascii="Cambria" w:hAnsi="Cambria" w:cs="Calibri Light"/>
          <w:color w:val="000000" w:themeColor="text1"/>
          <w:sz w:val="20"/>
          <w:szCs w:val="20"/>
          <w:lang w:val="es-ES"/>
        </w:rPr>
        <w:t>El G</w:t>
      </w:r>
      <w:bookmarkStart w:id="0" w:name="_GoBack"/>
      <w:bookmarkEnd w:id="0"/>
      <w:r w:rsidR="00602616" w:rsidRPr="00554BC1">
        <w:rPr>
          <w:rFonts w:ascii="Cambria" w:hAnsi="Cambria" w:cs="Calibri Light"/>
          <w:color w:val="000000" w:themeColor="text1"/>
          <w:sz w:val="20"/>
          <w:szCs w:val="20"/>
          <w:lang w:val="es-ES"/>
        </w:rPr>
        <w:t xml:space="preserve">eneral </w:t>
      </w:r>
      <w:r w:rsidR="00E75752" w:rsidRPr="00554BC1">
        <w:rPr>
          <w:rFonts w:ascii="Cambria" w:hAnsi="Cambria" w:cs="Calibri Light"/>
          <w:color w:val="000000" w:themeColor="text1"/>
          <w:sz w:val="20"/>
          <w:szCs w:val="20"/>
          <w:lang w:val="es-ES"/>
        </w:rPr>
        <w:t>Tomás</w:t>
      </w:r>
      <w:r w:rsidR="00D873E3" w:rsidRPr="00554BC1">
        <w:rPr>
          <w:rFonts w:ascii="Cambria" w:hAnsi="Cambria" w:cs="Calibri Light"/>
          <w:color w:val="000000" w:themeColor="text1"/>
          <w:sz w:val="20"/>
          <w:szCs w:val="20"/>
          <w:lang w:val="es-ES"/>
        </w:rPr>
        <w:t xml:space="preserve"> Eduardo Cirio Barboza</w:t>
      </w:r>
      <w:r w:rsidR="003F70E2" w:rsidRPr="00554BC1">
        <w:rPr>
          <w:rFonts w:ascii="Cambria" w:hAnsi="Cambria" w:cs="Calibri Light"/>
          <w:color w:val="000000" w:themeColor="text1"/>
          <w:sz w:val="20"/>
          <w:szCs w:val="20"/>
          <w:lang w:val="es-ES"/>
        </w:rPr>
        <w:t xml:space="preserve"> recibió una suma de </w:t>
      </w:r>
      <w:r w:rsidR="003F70E2" w:rsidRPr="00554BC1">
        <w:rPr>
          <w:rFonts w:ascii="Cambria" w:hAnsi="Cambria" w:cs="Calibri Light"/>
          <w:color w:val="000000"/>
          <w:sz w:val="20"/>
          <w:szCs w:val="20"/>
          <w:lang w:val="es-ES"/>
        </w:rPr>
        <w:t xml:space="preserve">$489.819,00 pesos uruguayos como compensación pecuniaria, equivalente a </w:t>
      </w:r>
      <w:r w:rsidR="00D873E3" w:rsidRPr="00554BC1">
        <w:rPr>
          <w:rFonts w:ascii="Cambria" w:hAnsi="Cambria" w:cs="Calibri Light"/>
          <w:color w:val="000000" w:themeColor="text1"/>
          <w:sz w:val="20"/>
          <w:szCs w:val="20"/>
          <w:lang w:val="es-ES"/>
        </w:rPr>
        <w:t>24 habe</w:t>
      </w:r>
      <w:r w:rsidR="003F70E2" w:rsidRPr="00554BC1">
        <w:rPr>
          <w:rFonts w:ascii="Cambria" w:hAnsi="Cambria" w:cs="Calibri Light"/>
          <w:color w:val="000000" w:themeColor="text1"/>
          <w:sz w:val="20"/>
          <w:szCs w:val="20"/>
          <w:lang w:val="es-ES"/>
        </w:rPr>
        <w:t>res de retiro de julio de 2005.</w:t>
      </w:r>
    </w:p>
    <w:p w14:paraId="525BDAD8" w14:textId="2EE40EB2" w:rsidR="002F6E95" w:rsidRPr="00554BC1" w:rsidRDefault="002F6E95" w:rsidP="002F6E95">
      <w:pPr>
        <w:pStyle w:val="ListParagraph"/>
        <w:numPr>
          <w:ilvl w:val="0"/>
          <w:numId w:val="8"/>
        </w:numPr>
        <w:spacing w:after="0" w:line="240" w:lineRule="auto"/>
        <w:jc w:val="both"/>
        <w:rPr>
          <w:rFonts w:ascii="Cambria" w:hAnsi="Cambria" w:cs="Calibri Light"/>
          <w:color w:val="000000"/>
          <w:sz w:val="20"/>
          <w:szCs w:val="20"/>
          <w:lang w:val="es-ES"/>
        </w:rPr>
      </w:pPr>
      <w:r w:rsidRPr="00554BC1">
        <w:rPr>
          <w:rFonts w:ascii="Cambria" w:hAnsi="Cambria" w:cs="Calibri Light"/>
          <w:color w:val="000000"/>
          <w:sz w:val="20"/>
          <w:szCs w:val="20"/>
          <w:lang w:val="es-ES"/>
        </w:rPr>
        <w:t>El Estado incrementó el haber de retiro del General Tomás Eduardo Cirio Barboza de un 25% desde el 4 de septiembre de 2006, a modo de renta vitalicia y sin que opere la transmisión por el modo sucesión, lo que resultó en pagos mensuales de $51.631,00 pesos uruguayos.</w:t>
      </w:r>
    </w:p>
    <w:p w14:paraId="1E996A16" w14:textId="77777777" w:rsidR="003F70E2" w:rsidRPr="00554BC1" w:rsidRDefault="003F70E2" w:rsidP="003F70E2">
      <w:pPr>
        <w:pStyle w:val="ListParagraph"/>
        <w:spacing w:after="0" w:line="240" w:lineRule="auto"/>
        <w:jc w:val="both"/>
        <w:rPr>
          <w:rFonts w:ascii="Cambria" w:hAnsi="Cambria" w:cs="Calibri Light"/>
          <w:color w:val="000000" w:themeColor="text1"/>
          <w:sz w:val="20"/>
          <w:szCs w:val="20"/>
          <w:lang w:val="es-ES"/>
        </w:rPr>
      </w:pPr>
    </w:p>
    <w:p w14:paraId="2B1EE709" w14:textId="77777777" w:rsidR="00D770DF" w:rsidRPr="00554BC1" w:rsidRDefault="0062362E" w:rsidP="005D115E">
      <w:pPr>
        <w:pStyle w:val="ListParagraph"/>
        <w:numPr>
          <w:ilvl w:val="0"/>
          <w:numId w:val="2"/>
        </w:numPr>
        <w:spacing w:after="0" w:line="240" w:lineRule="auto"/>
        <w:ind w:left="1440" w:hanging="720"/>
        <w:jc w:val="both"/>
        <w:rPr>
          <w:rFonts w:ascii="Cambria" w:hAnsi="Cambria" w:cs="Calibri Light"/>
          <w:b/>
          <w:color w:val="000000" w:themeColor="text1"/>
          <w:sz w:val="20"/>
          <w:szCs w:val="20"/>
          <w:lang w:val="es-ES"/>
        </w:rPr>
      </w:pPr>
      <w:r w:rsidRPr="00554BC1">
        <w:rPr>
          <w:rFonts w:ascii="Cambria" w:hAnsi="Cambria" w:cs="Calibri Light"/>
          <w:b/>
          <w:color w:val="000000" w:themeColor="text1"/>
          <w:sz w:val="20"/>
          <w:szCs w:val="20"/>
          <w:lang w:val="es-ES"/>
        </w:rPr>
        <w:t xml:space="preserve">Resultados </w:t>
      </w:r>
      <w:r w:rsidR="00D770DF" w:rsidRPr="00554BC1">
        <w:rPr>
          <w:rFonts w:ascii="Cambria" w:hAnsi="Cambria" w:cs="Calibri Light"/>
          <w:b/>
          <w:color w:val="000000" w:themeColor="text1"/>
          <w:sz w:val="20"/>
          <w:szCs w:val="20"/>
          <w:lang w:val="es-ES"/>
        </w:rPr>
        <w:t>estructural</w:t>
      </w:r>
      <w:r w:rsidRPr="00554BC1">
        <w:rPr>
          <w:rFonts w:ascii="Cambria" w:hAnsi="Cambria" w:cs="Calibri Light"/>
          <w:b/>
          <w:color w:val="000000" w:themeColor="text1"/>
          <w:sz w:val="20"/>
          <w:szCs w:val="20"/>
          <w:lang w:val="es-ES"/>
        </w:rPr>
        <w:t>es</w:t>
      </w:r>
      <w:r w:rsidR="00D770DF" w:rsidRPr="00554BC1">
        <w:rPr>
          <w:rFonts w:ascii="Cambria" w:hAnsi="Cambria" w:cs="Calibri Light"/>
          <w:b/>
          <w:color w:val="000000" w:themeColor="text1"/>
          <w:sz w:val="20"/>
          <w:szCs w:val="20"/>
          <w:lang w:val="es-ES"/>
        </w:rPr>
        <w:t xml:space="preserve"> del caso</w:t>
      </w:r>
    </w:p>
    <w:p w14:paraId="55FB47E6" w14:textId="77777777" w:rsidR="00C21817" w:rsidRPr="00554BC1" w:rsidRDefault="00C21817" w:rsidP="00C21817">
      <w:pPr>
        <w:spacing w:after="0" w:line="240" w:lineRule="auto"/>
        <w:jc w:val="both"/>
        <w:rPr>
          <w:rFonts w:ascii="Cambria" w:hAnsi="Cambria"/>
          <w:color w:val="000000" w:themeColor="text1"/>
          <w:sz w:val="20"/>
          <w:szCs w:val="20"/>
          <w:lang w:val="es-ES"/>
        </w:rPr>
      </w:pPr>
    </w:p>
    <w:p w14:paraId="387A88AA" w14:textId="37FF5C32" w:rsidR="00C21817" w:rsidRPr="00554BC1" w:rsidRDefault="00C21817" w:rsidP="00C21817">
      <w:pPr>
        <w:spacing w:after="0" w:line="240" w:lineRule="auto"/>
        <w:jc w:val="both"/>
        <w:rPr>
          <w:rFonts w:ascii="Cambria" w:hAnsi="Cambria"/>
          <w:color w:val="000000" w:themeColor="text1"/>
          <w:sz w:val="20"/>
          <w:szCs w:val="20"/>
          <w:lang w:val="es-ES"/>
        </w:rPr>
      </w:pPr>
      <w:r w:rsidRPr="00554BC1">
        <w:rPr>
          <w:rFonts w:ascii="Cambria" w:hAnsi="Cambria"/>
          <w:color w:val="000000" w:themeColor="text1"/>
          <w:sz w:val="20"/>
          <w:szCs w:val="20"/>
          <w:lang w:val="es-ES"/>
        </w:rPr>
        <w:t xml:space="preserve">Legislación/Normativa </w:t>
      </w:r>
    </w:p>
    <w:p w14:paraId="625B360E" w14:textId="0410CC14" w:rsidR="00731E96" w:rsidRPr="00554BC1" w:rsidRDefault="007B2C97" w:rsidP="00731E96">
      <w:pPr>
        <w:pStyle w:val="ListParagraph"/>
        <w:numPr>
          <w:ilvl w:val="0"/>
          <w:numId w:val="6"/>
        </w:numPr>
        <w:spacing w:after="0" w:line="240" w:lineRule="auto"/>
        <w:jc w:val="both"/>
        <w:rPr>
          <w:rFonts w:ascii="Cambria" w:hAnsi="Cambria"/>
          <w:color w:val="000000" w:themeColor="text1"/>
          <w:sz w:val="20"/>
          <w:szCs w:val="20"/>
          <w:lang w:val="es-ES"/>
        </w:rPr>
      </w:pPr>
      <w:r w:rsidRPr="00554BC1">
        <w:rPr>
          <w:rFonts w:ascii="Cambria" w:hAnsi="Cambria"/>
          <w:color w:val="000000" w:themeColor="text1"/>
          <w:sz w:val="20"/>
          <w:szCs w:val="20"/>
          <w:lang w:val="es-ES"/>
        </w:rPr>
        <w:t>Mediante Resolución M</w:t>
      </w:r>
      <w:r w:rsidR="00731E96" w:rsidRPr="00554BC1">
        <w:rPr>
          <w:rFonts w:ascii="Cambria" w:hAnsi="Cambria"/>
          <w:color w:val="000000" w:themeColor="text1"/>
          <w:sz w:val="20"/>
          <w:szCs w:val="20"/>
          <w:lang w:val="es-ES"/>
        </w:rPr>
        <w:t>inisterial de fecha 19 de diciembre de 2005, se creó una Comisión en el ámbito del Ministerio de Defensa Nacional avocada a impulsar las medidas conducentes para adecuar la legislación interna a las normas de la Convención Americana en materia de libertad de expresión y debido proceso en la jurisdicción militar.</w:t>
      </w:r>
    </w:p>
    <w:p w14:paraId="515CD0C8" w14:textId="7DAD36CA" w:rsidR="0068000E" w:rsidRPr="00554BC1" w:rsidRDefault="00C21817" w:rsidP="0068000E">
      <w:pPr>
        <w:pStyle w:val="ListParagraph"/>
        <w:numPr>
          <w:ilvl w:val="0"/>
          <w:numId w:val="6"/>
        </w:numPr>
        <w:spacing w:after="0" w:line="240" w:lineRule="auto"/>
        <w:jc w:val="both"/>
        <w:rPr>
          <w:rFonts w:ascii="Cambria" w:hAnsi="Cambria"/>
          <w:color w:val="000000" w:themeColor="text1"/>
          <w:sz w:val="20"/>
          <w:szCs w:val="20"/>
          <w:lang w:val="es-ES"/>
        </w:rPr>
      </w:pPr>
      <w:r w:rsidRPr="00554BC1">
        <w:rPr>
          <w:rFonts w:ascii="Cambria" w:hAnsi="Cambria"/>
          <w:color w:val="000000" w:themeColor="text1"/>
          <w:sz w:val="20"/>
          <w:szCs w:val="20"/>
          <w:lang w:val="es-ES"/>
        </w:rPr>
        <w:t xml:space="preserve">La Ley </w:t>
      </w:r>
      <w:r w:rsidR="00362860" w:rsidRPr="00554BC1">
        <w:rPr>
          <w:rFonts w:ascii="Cambria" w:hAnsi="Cambria"/>
          <w:color w:val="000000" w:themeColor="text1"/>
          <w:sz w:val="20"/>
          <w:szCs w:val="20"/>
          <w:lang w:val="es-ES"/>
        </w:rPr>
        <w:t xml:space="preserve">Nº 18.650 Ley </w:t>
      </w:r>
      <w:r w:rsidRPr="00554BC1">
        <w:rPr>
          <w:rFonts w:ascii="Cambria" w:hAnsi="Cambria"/>
          <w:color w:val="000000" w:themeColor="text1"/>
          <w:sz w:val="20"/>
          <w:szCs w:val="20"/>
          <w:lang w:val="es-ES"/>
        </w:rPr>
        <w:t>Marc</w:t>
      </w:r>
      <w:r w:rsidR="00362860" w:rsidRPr="00554BC1">
        <w:rPr>
          <w:rFonts w:ascii="Cambria" w:hAnsi="Cambria"/>
          <w:color w:val="000000" w:themeColor="text1"/>
          <w:sz w:val="20"/>
          <w:szCs w:val="20"/>
          <w:lang w:val="es-ES"/>
        </w:rPr>
        <w:t>o de Defensa Nacional</w:t>
      </w:r>
      <w:r w:rsidRPr="00554BC1">
        <w:rPr>
          <w:rFonts w:ascii="Cambria" w:hAnsi="Cambria"/>
          <w:color w:val="000000" w:themeColor="text1"/>
          <w:sz w:val="20"/>
          <w:szCs w:val="20"/>
          <w:lang w:val="es-ES"/>
        </w:rPr>
        <w:t>, aprobada por el Parlamento y promulgada por el Poder Ejecutivo, entró</w:t>
      </w:r>
      <w:r w:rsidR="007B2C97" w:rsidRPr="00554BC1">
        <w:rPr>
          <w:rFonts w:ascii="Cambria" w:hAnsi="Cambria"/>
          <w:color w:val="000000" w:themeColor="text1"/>
          <w:sz w:val="20"/>
          <w:szCs w:val="20"/>
          <w:lang w:val="es-ES"/>
        </w:rPr>
        <w:t xml:space="preserve"> en vigor el 8 de marzo de 2010, la cual fue destinada a regular el debido proceso en la jurisdicción militar</w:t>
      </w:r>
      <w:r w:rsidR="009537D9" w:rsidRPr="00554BC1">
        <w:rPr>
          <w:rFonts w:ascii="Cambria" w:hAnsi="Cambria"/>
          <w:color w:val="000000" w:themeColor="text1"/>
          <w:sz w:val="20"/>
          <w:szCs w:val="20"/>
          <w:lang w:val="es-ES"/>
        </w:rPr>
        <w:t>.</w:t>
      </w:r>
    </w:p>
    <w:sectPr w:rsidR="0068000E" w:rsidRPr="00554BC1" w:rsidSect="006138C6">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D942" w14:textId="77777777" w:rsidR="00375164" w:rsidRDefault="00375164" w:rsidP="00500B47">
      <w:pPr>
        <w:spacing w:after="0" w:line="240" w:lineRule="auto"/>
      </w:pPr>
      <w:r>
        <w:separator/>
      </w:r>
    </w:p>
  </w:endnote>
  <w:endnote w:type="continuationSeparator" w:id="0">
    <w:p w14:paraId="3E548192" w14:textId="77777777" w:rsidR="00375164" w:rsidRDefault="00375164" w:rsidP="0050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90788"/>
      <w:docPartObj>
        <w:docPartGallery w:val="Page Numbers (Bottom of Page)"/>
        <w:docPartUnique/>
      </w:docPartObj>
    </w:sdtPr>
    <w:sdtEndPr>
      <w:rPr>
        <w:noProof/>
        <w:sz w:val="16"/>
        <w:szCs w:val="16"/>
      </w:rPr>
    </w:sdtEndPr>
    <w:sdtContent>
      <w:p w14:paraId="5F57F9E1" w14:textId="68995432" w:rsidR="00F95A68" w:rsidRPr="006138C6" w:rsidRDefault="00F95A68">
        <w:pPr>
          <w:pStyle w:val="Footer"/>
          <w:jc w:val="center"/>
          <w:rPr>
            <w:sz w:val="16"/>
            <w:szCs w:val="16"/>
          </w:rPr>
        </w:pPr>
        <w:r w:rsidRPr="006138C6">
          <w:rPr>
            <w:sz w:val="16"/>
            <w:szCs w:val="16"/>
          </w:rPr>
          <w:fldChar w:fldCharType="begin"/>
        </w:r>
        <w:r w:rsidRPr="006138C6">
          <w:rPr>
            <w:sz w:val="16"/>
            <w:szCs w:val="16"/>
          </w:rPr>
          <w:instrText xml:space="preserve"> PAGE   \* MERGEFORMAT </w:instrText>
        </w:r>
        <w:r w:rsidRPr="006138C6">
          <w:rPr>
            <w:sz w:val="16"/>
            <w:szCs w:val="16"/>
          </w:rPr>
          <w:fldChar w:fldCharType="separate"/>
        </w:r>
        <w:r w:rsidR="00547607">
          <w:rPr>
            <w:noProof/>
            <w:sz w:val="16"/>
            <w:szCs w:val="16"/>
          </w:rPr>
          <w:t>3</w:t>
        </w:r>
        <w:r w:rsidRPr="006138C6">
          <w:rPr>
            <w:noProof/>
            <w:sz w:val="16"/>
            <w:szCs w:val="16"/>
          </w:rPr>
          <w:fldChar w:fldCharType="end"/>
        </w:r>
      </w:p>
    </w:sdtContent>
  </w:sdt>
  <w:p w14:paraId="4D1A14D0" w14:textId="77777777" w:rsidR="00F95A68" w:rsidRDefault="00F95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86D0" w14:textId="77777777" w:rsidR="00375164" w:rsidRDefault="00375164" w:rsidP="00500B47">
      <w:pPr>
        <w:spacing w:after="0" w:line="240" w:lineRule="auto"/>
      </w:pPr>
      <w:r>
        <w:separator/>
      </w:r>
    </w:p>
  </w:footnote>
  <w:footnote w:type="continuationSeparator" w:id="0">
    <w:p w14:paraId="02B9D813" w14:textId="77777777" w:rsidR="00375164" w:rsidRDefault="00375164" w:rsidP="00500B47">
      <w:pPr>
        <w:spacing w:after="0" w:line="240" w:lineRule="auto"/>
      </w:pPr>
      <w:r>
        <w:continuationSeparator/>
      </w:r>
    </w:p>
  </w:footnote>
  <w:footnote w:id="1">
    <w:p w14:paraId="59B791B8" w14:textId="262409F5" w:rsidR="007E1999" w:rsidRPr="007E1999" w:rsidRDefault="007E1999" w:rsidP="007E1999">
      <w:pPr>
        <w:pStyle w:val="FootnoteText"/>
        <w:spacing w:after="120"/>
        <w:ind w:firstLine="720"/>
        <w:jc w:val="both"/>
        <w:rPr>
          <w:rFonts w:ascii="Cambria" w:hAnsi="Cambria"/>
          <w:sz w:val="16"/>
          <w:szCs w:val="16"/>
          <w:lang w:val="es-ES"/>
        </w:rPr>
      </w:pPr>
      <w:r w:rsidRPr="007E1999">
        <w:rPr>
          <w:rStyle w:val="FootnoteReference"/>
          <w:rFonts w:ascii="Cambria" w:hAnsi="Cambria"/>
          <w:sz w:val="16"/>
          <w:szCs w:val="16"/>
        </w:rPr>
        <w:footnoteRef/>
      </w:r>
      <w:r w:rsidRPr="007E1999">
        <w:rPr>
          <w:rFonts w:ascii="Cambria" w:hAnsi="Cambria"/>
          <w:sz w:val="16"/>
          <w:szCs w:val="16"/>
          <w:lang w:val="es-CO"/>
        </w:rPr>
        <w:t xml:space="preserve"> </w:t>
      </w:r>
      <w:r w:rsidRPr="007B2C97">
        <w:rPr>
          <w:rFonts w:ascii="Cambria" w:hAnsi="Cambria"/>
          <w:sz w:val="16"/>
          <w:szCs w:val="16"/>
          <w:lang w:val="es-ES"/>
        </w:rPr>
        <w:t xml:space="preserve">CIDH, Informe Anual 2009, </w:t>
      </w:r>
      <w:hyperlink r:id="rId1" w:history="1">
        <w:r w:rsidRPr="007B2C97">
          <w:rPr>
            <w:rStyle w:val="Hyperlink"/>
            <w:rFonts w:ascii="Cambria" w:hAnsi="Cambria"/>
            <w:color w:val="auto"/>
            <w:sz w:val="16"/>
            <w:szCs w:val="16"/>
            <w:lang w:val="es-ES"/>
          </w:rPr>
          <w:t>Capítulo III, Sección D: Estado del cumplimiento de las recomendaciones de la CIDH</w:t>
        </w:r>
      </w:hyperlink>
      <w:r w:rsidRPr="007B2C97">
        <w:rPr>
          <w:rFonts w:ascii="Cambria" w:hAnsi="Cambria"/>
          <w:sz w:val="16"/>
          <w:szCs w:val="16"/>
          <w:lang w:val="es-ES"/>
        </w:rPr>
        <w:t>, párr. 880.</w:t>
      </w:r>
    </w:p>
  </w:footnote>
  <w:footnote w:id="2">
    <w:p w14:paraId="6A105A25" w14:textId="1687F809" w:rsidR="007E1999" w:rsidRPr="007E1999" w:rsidRDefault="007E1999" w:rsidP="007E1999">
      <w:pPr>
        <w:pStyle w:val="FootnoteText"/>
        <w:spacing w:after="120"/>
        <w:ind w:firstLine="720"/>
        <w:jc w:val="both"/>
        <w:rPr>
          <w:rFonts w:ascii="Cambria" w:hAnsi="Cambria"/>
          <w:sz w:val="16"/>
          <w:szCs w:val="16"/>
          <w:lang w:val="es-ES"/>
        </w:rPr>
      </w:pPr>
      <w:r w:rsidRPr="007E1999">
        <w:rPr>
          <w:rStyle w:val="FootnoteReference"/>
          <w:rFonts w:ascii="Cambria" w:hAnsi="Cambria"/>
          <w:sz w:val="16"/>
          <w:szCs w:val="16"/>
        </w:rPr>
        <w:footnoteRef/>
      </w:r>
      <w:r w:rsidRPr="007E1999">
        <w:rPr>
          <w:rFonts w:ascii="Cambria" w:hAnsi="Cambria"/>
          <w:sz w:val="16"/>
          <w:szCs w:val="16"/>
          <w:lang w:val="es-CO"/>
        </w:rPr>
        <w:t xml:space="preserve"> </w:t>
      </w:r>
      <w:r w:rsidRPr="007B2C97">
        <w:rPr>
          <w:rFonts w:ascii="Cambria" w:hAnsi="Cambria"/>
          <w:sz w:val="16"/>
          <w:szCs w:val="16"/>
          <w:lang w:val="es-ES"/>
        </w:rPr>
        <w:t xml:space="preserve">CIDH, Informe Anual 2009, </w:t>
      </w:r>
      <w:hyperlink r:id="rId2" w:history="1">
        <w:r w:rsidRPr="007B2C97">
          <w:rPr>
            <w:rStyle w:val="Hyperlink"/>
            <w:rFonts w:ascii="Cambria" w:hAnsi="Cambria"/>
            <w:color w:val="auto"/>
            <w:sz w:val="16"/>
            <w:szCs w:val="16"/>
            <w:lang w:val="es-ES"/>
          </w:rPr>
          <w:t>Capítulo III, Sección D: Estado del cumplimiento de las recomendaciones de la CIDH</w:t>
        </w:r>
      </w:hyperlink>
      <w:r w:rsidRPr="007B2C97">
        <w:rPr>
          <w:rFonts w:ascii="Cambria" w:hAnsi="Cambria"/>
          <w:sz w:val="16"/>
          <w:szCs w:val="16"/>
          <w:lang w:val="es-ES"/>
        </w:rPr>
        <w:t>, párr. 880.</w:t>
      </w:r>
    </w:p>
  </w:footnote>
  <w:footnote w:id="3">
    <w:p w14:paraId="41E233D6" w14:textId="0C872F17" w:rsidR="007E1999" w:rsidRPr="007E1999" w:rsidRDefault="007E1999" w:rsidP="007E1999">
      <w:pPr>
        <w:pStyle w:val="FootnoteText"/>
        <w:spacing w:after="120"/>
        <w:ind w:firstLine="720"/>
        <w:rPr>
          <w:lang w:val="es-ES"/>
        </w:rPr>
      </w:pPr>
      <w:r w:rsidRPr="007E1999">
        <w:rPr>
          <w:rStyle w:val="FootnoteReference"/>
          <w:rFonts w:ascii="Cambria" w:hAnsi="Cambria"/>
          <w:sz w:val="16"/>
          <w:szCs w:val="16"/>
        </w:rPr>
        <w:footnoteRef/>
      </w:r>
      <w:r w:rsidRPr="007E1999">
        <w:rPr>
          <w:lang w:val="es-CO"/>
        </w:rPr>
        <w:t xml:space="preserve"> </w:t>
      </w:r>
      <w:r w:rsidRPr="007B2C97">
        <w:rPr>
          <w:rFonts w:ascii="Cambria" w:hAnsi="Cambria"/>
          <w:sz w:val="16"/>
          <w:szCs w:val="16"/>
          <w:lang w:val="es-ES"/>
        </w:rPr>
        <w:t xml:space="preserve">CIDH, Informe Anual 2010, </w:t>
      </w:r>
      <w:hyperlink r:id="rId3" w:history="1">
        <w:r w:rsidRPr="007B2C97">
          <w:rPr>
            <w:rStyle w:val="Hyperlink"/>
            <w:rFonts w:ascii="Cambria" w:hAnsi="Cambria"/>
            <w:color w:val="auto"/>
            <w:sz w:val="16"/>
            <w:szCs w:val="16"/>
            <w:lang w:val="es-ES"/>
          </w:rPr>
          <w:t>Capítulo III, Sección D: Estado del cumplimiento de las recomendaciones de la CIDH</w:t>
        </w:r>
      </w:hyperlink>
      <w:r w:rsidRPr="007B2C97">
        <w:rPr>
          <w:rFonts w:ascii="Cambria" w:hAnsi="Cambria"/>
          <w:sz w:val="16"/>
          <w:szCs w:val="16"/>
          <w:lang w:val="es-ES"/>
        </w:rPr>
        <w:t>, párr. 1026.</w:t>
      </w:r>
    </w:p>
  </w:footnote>
  <w:footnote w:id="4">
    <w:p w14:paraId="15EC9385" w14:textId="31D0B635" w:rsidR="007E1999" w:rsidRPr="007E1999" w:rsidRDefault="007E1999" w:rsidP="007E1999">
      <w:pPr>
        <w:pStyle w:val="FootnoteText"/>
        <w:spacing w:after="120"/>
        <w:ind w:firstLine="720"/>
        <w:jc w:val="both"/>
        <w:rPr>
          <w:rFonts w:ascii="Cambria" w:hAnsi="Cambria"/>
          <w:sz w:val="16"/>
          <w:szCs w:val="16"/>
          <w:lang w:val="es-ES"/>
        </w:rPr>
      </w:pPr>
      <w:r w:rsidRPr="007E1999">
        <w:rPr>
          <w:rStyle w:val="FootnoteReference"/>
          <w:rFonts w:ascii="Cambria" w:hAnsi="Cambria"/>
          <w:sz w:val="16"/>
          <w:szCs w:val="16"/>
        </w:rPr>
        <w:footnoteRef/>
      </w:r>
      <w:r w:rsidRPr="007E1999">
        <w:rPr>
          <w:lang w:val="es-CO"/>
        </w:rPr>
        <w:t xml:space="preserve"> </w:t>
      </w:r>
      <w:r w:rsidRPr="007B2C97">
        <w:rPr>
          <w:rFonts w:ascii="Cambria" w:hAnsi="Cambria"/>
          <w:sz w:val="16"/>
          <w:szCs w:val="16"/>
          <w:lang w:val="es-ES"/>
        </w:rPr>
        <w:t xml:space="preserve">CIDH, Informe Anual 2009, </w:t>
      </w:r>
      <w:hyperlink r:id="rId4" w:history="1">
        <w:r w:rsidRPr="007B2C97">
          <w:rPr>
            <w:rStyle w:val="Hyperlink"/>
            <w:rFonts w:ascii="Cambria" w:hAnsi="Cambria"/>
            <w:color w:val="auto"/>
            <w:sz w:val="16"/>
            <w:szCs w:val="16"/>
            <w:lang w:val="es-ES"/>
          </w:rPr>
          <w:t>Capítulo III, Sección D: Estado del cumplimiento de las recomendaciones de la CIDH</w:t>
        </w:r>
      </w:hyperlink>
      <w:r w:rsidRPr="007B2C97">
        <w:rPr>
          <w:rFonts w:ascii="Cambria" w:hAnsi="Cambria"/>
          <w:sz w:val="16"/>
          <w:szCs w:val="16"/>
          <w:lang w:val="es-ES"/>
        </w:rPr>
        <w:t>, párr. 880.</w:t>
      </w:r>
    </w:p>
  </w:footnote>
  <w:footnote w:id="5">
    <w:p w14:paraId="0E384BB1" w14:textId="41B3E418" w:rsidR="00916A5B" w:rsidRPr="007B2C97" w:rsidRDefault="00916A5B" w:rsidP="007E1999">
      <w:pPr>
        <w:pStyle w:val="FootnoteText"/>
        <w:spacing w:after="120"/>
        <w:ind w:firstLine="720"/>
        <w:jc w:val="both"/>
        <w:rPr>
          <w:rFonts w:ascii="Cambria" w:hAnsi="Cambria"/>
          <w:sz w:val="16"/>
          <w:szCs w:val="16"/>
          <w:lang w:val="es-ES"/>
        </w:rPr>
      </w:pPr>
      <w:r w:rsidRPr="007B2C97">
        <w:rPr>
          <w:rStyle w:val="FootnoteReference"/>
          <w:rFonts w:ascii="Cambria" w:hAnsi="Cambria"/>
          <w:sz w:val="16"/>
          <w:szCs w:val="16"/>
        </w:rPr>
        <w:footnoteRef/>
      </w:r>
      <w:r w:rsidRPr="007B2C97">
        <w:rPr>
          <w:rFonts w:ascii="Cambria" w:hAnsi="Cambria"/>
          <w:sz w:val="16"/>
          <w:szCs w:val="16"/>
          <w:lang w:val="es-ES"/>
        </w:rPr>
        <w:t xml:space="preserve"> CIDH, Informe Anual 2009, </w:t>
      </w:r>
      <w:hyperlink r:id="rId5" w:history="1">
        <w:r w:rsidRPr="007B2C97">
          <w:rPr>
            <w:rStyle w:val="Hyperlink"/>
            <w:rFonts w:ascii="Cambria" w:hAnsi="Cambria"/>
            <w:color w:val="auto"/>
            <w:sz w:val="16"/>
            <w:szCs w:val="16"/>
            <w:lang w:val="es-ES"/>
          </w:rPr>
          <w:t>Capítulo III, Sección D: Estado del cumplimiento de las recomendaciones de la CIDH</w:t>
        </w:r>
      </w:hyperlink>
      <w:r w:rsidRPr="007B2C97">
        <w:rPr>
          <w:rFonts w:ascii="Cambria" w:hAnsi="Cambria"/>
          <w:sz w:val="16"/>
          <w:szCs w:val="16"/>
          <w:lang w:val="es-ES"/>
        </w:rPr>
        <w:t>, párr. 880.</w:t>
      </w:r>
    </w:p>
  </w:footnote>
  <w:footnote w:id="6">
    <w:p w14:paraId="707D1476" w14:textId="488C52F6" w:rsidR="00916A5B" w:rsidRPr="007B2C97" w:rsidRDefault="00916A5B" w:rsidP="00916A5B">
      <w:pPr>
        <w:pStyle w:val="FootnoteText"/>
        <w:spacing w:after="120"/>
        <w:ind w:firstLine="720"/>
        <w:jc w:val="both"/>
        <w:rPr>
          <w:rFonts w:ascii="Cambria" w:hAnsi="Cambria"/>
          <w:sz w:val="16"/>
          <w:szCs w:val="16"/>
          <w:lang w:val="es-ES"/>
        </w:rPr>
      </w:pPr>
      <w:r w:rsidRPr="007B2C97">
        <w:rPr>
          <w:rStyle w:val="FootnoteReference"/>
          <w:rFonts w:ascii="Cambria" w:hAnsi="Cambria"/>
          <w:sz w:val="16"/>
          <w:szCs w:val="16"/>
        </w:rPr>
        <w:footnoteRef/>
      </w:r>
      <w:r w:rsidRPr="007B2C97">
        <w:rPr>
          <w:rFonts w:ascii="Cambria" w:hAnsi="Cambria"/>
          <w:sz w:val="16"/>
          <w:szCs w:val="16"/>
          <w:lang w:val="es-ES"/>
        </w:rPr>
        <w:t xml:space="preserve"> CIDH, Informe Anual 2010, </w:t>
      </w:r>
      <w:hyperlink r:id="rId6" w:history="1">
        <w:r w:rsidRPr="007B2C97">
          <w:rPr>
            <w:rStyle w:val="Hyperlink"/>
            <w:rFonts w:ascii="Cambria" w:hAnsi="Cambria"/>
            <w:color w:val="auto"/>
            <w:sz w:val="16"/>
            <w:szCs w:val="16"/>
            <w:lang w:val="es-ES"/>
          </w:rPr>
          <w:t>Capítulo III, Sección D: Estado del cumplimiento de las recomendaciones de la CIDH</w:t>
        </w:r>
      </w:hyperlink>
      <w:r w:rsidRPr="007B2C97">
        <w:rPr>
          <w:rFonts w:ascii="Cambria" w:hAnsi="Cambria"/>
          <w:sz w:val="16"/>
          <w:szCs w:val="16"/>
          <w:lang w:val="es-ES"/>
        </w:rPr>
        <w:t>, párr. 1026.</w:t>
      </w:r>
    </w:p>
  </w:footnote>
  <w:footnote w:id="7">
    <w:p w14:paraId="3410F480" w14:textId="61B9456F" w:rsidR="0036531A" w:rsidRPr="0036531A" w:rsidRDefault="0036531A" w:rsidP="00916A5B">
      <w:pPr>
        <w:pStyle w:val="FootnoteText"/>
        <w:spacing w:after="120"/>
        <w:ind w:firstLine="720"/>
        <w:jc w:val="both"/>
        <w:rPr>
          <w:rFonts w:ascii="Cambria" w:hAnsi="Cambria"/>
          <w:sz w:val="16"/>
          <w:szCs w:val="16"/>
          <w:lang w:val="es-ES"/>
        </w:rPr>
      </w:pPr>
      <w:r w:rsidRPr="007B2C97">
        <w:rPr>
          <w:rStyle w:val="FootnoteReference"/>
          <w:rFonts w:ascii="Cambria" w:hAnsi="Cambria"/>
          <w:sz w:val="16"/>
          <w:szCs w:val="16"/>
        </w:rPr>
        <w:footnoteRef/>
      </w:r>
      <w:r w:rsidRPr="007B2C97">
        <w:rPr>
          <w:rFonts w:ascii="Cambria" w:hAnsi="Cambria"/>
          <w:sz w:val="16"/>
          <w:szCs w:val="16"/>
          <w:lang w:val="es-ES"/>
        </w:rPr>
        <w:t xml:space="preserve"> CIDH, Informe Anual 2010, </w:t>
      </w:r>
      <w:hyperlink r:id="rId7" w:history="1">
        <w:r w:rsidRPr="007B2C97">
          <w:rPr>
            <w:rStyle w:val="Hyperlink"/>
            <w:rFonts w:ascii="Cambria" w:hAnsi="Cambria"/>
            <w:color w:val="auto"/>
            <w:sz w:val="16"/>
            <w:szCs w:val="16"/>
            <w:lang w:val="es-ES"/>
          </w:rPr>
          <w:t>Capítulo III, Sección D: Estado del cumplimiento de las recomendaciones de la CIDH</w:t>
        </w:r>
      </w:hyperlink>
      <w:r w:rsidRPr="007B2C97">
        <w:rPr>
          <w:rFonts w:ascii="Cambria" w:hAnsi="Cambria"/>
          <w:sz w:val="16"/>
          <w:szCs w:val="16"/>
          <w:lang w:val="es-ES"/>
        </w:rPr>
        <w:t>, párr. 1027.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3FC5" w14:textId="77777777" w:rsidR="00F95A68" w:rsidRDefault="00F95A68" w:rsidP="00FC6D1C">
    <w:pPr>
      <w:pStyle w:val="Header"/>
      <w:jc w:val="center"/>
      <w:rPr>
        <w:noProof/>
      </w:rPr>
    </w:pPr>
    <w:r>
      <w:rPr>
        <w:noProof/>
      </w:rPr>
      <w:drawing>
        <wp:anchor distT="0" distB="0" distL="114300" distR="114300" simplePos="0" relativeHeight="251662336" behindDoc="1" locked="0" layoutInCell="1" allowOverlap="1" wp14:anchorId="68A1A24A" wp14:editId="1BDBEC5E">
          <wp:simplePos x="0" y="0"/>
          <wp:positionH relativeFrom="column">
            <wp:posOffset>1819910</wp:posOffset>
          </wp:positionH>
          <wp:positionV relativeFrom="paragraph">
            <wp:posOffset>54610</wp:posOffset>
          </wp:positionV>
          <wp:extent cx="2296795" cy="116840"/>
          <wp:effectExtent l="0" t="0" r="8255" b="0"/>
          <wp:wrapTight wrapText="bothSides">
            <wp:wrapPolygon edited="0">
              <wp:start x="0" y="0"/>
              <wp:lineTo x="0" y="17609"/>
              <wp:lineTo x="21498" y="17609"/>
              <wp:lineTo x="21498" y="0"/>
              <wp:lineTo x="0" y="0"/>
            </wp:wrapPolygon>
          </wp:wrapTight>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11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C4926" w14:textId="77777777" w:rsidR="00F95A68" w:rsidRDefault="00547607" w:rsidP="00FC6D1C">
    <w:pPr>
      <w:pStyle w:val="Header"/>
    </w:pPr>
    <w:r>
      <w:pict w14:anchorId="5F0792CF">
        <v:rect id="_x0000_i1025" style="width:0;height:1.5pt" o:hralign="center" o:hrstd="t" o:hr="t" fillcolor="#a0a0a0" stroked="f"/>
      </w:pict>
    </w:r>
  </w:p>
  <w:p w14:paraId="5EDF15D0" w14:textId="77777777" w:rsidR="00F95A68" w:rsidRDefault="00F95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2387" w14:textId="2B939C42" w:rsidR="00107DF0" w:rsidRDefault="00107DF0" w:rsidP="00107DF0">
    <w:pPr>
      <w:pStyle w:val="Header"/>
    </w:pPr>
  </w:p>
  <w:p w14:paraId="3D03DBEB" w14:textId="58DE64DE" w:rsidR="00107DF0" w:rsidRPr="00077B04" w:rsidRDefault="00DA01E0" w:rsidP="00107DF0">
    <w:pPr>
      <w:pStyle w:val="Header"/>
    </w:pPr>
    <w:r>
      <w:rPr>
        <w:noProof/>
      </w:rPr>
      <w:drawing>
        <wp:anchor distT="0" distB="0" distL="114300" distR="114300" simplePos="0" relativeHeight="251659776" behindDoc="1" locked="0" layoutInCell="1" allowOverlap="1" wp14:anchorId="2807AF6C" wp14:editId="4F35BA69">
          <wp:simplePos x="0" y="0"/>
          <wp:positionH relativeFrom="column">
            <wp:posOffset>3999121</wp:posOffset>
          </wp:positionH>
          <wp:positionV relativeFrom="paragraph">
            <wp:posOffset>9634</wp:posOffset>
          </wp:positionV>
          <wp:extent cx="1943100" cy="495300"/>
          <wp:effectExtent l="0" t="0" r="0" b="0"/>
          <wp:wrapThrough wrapText="bothSides">
            <wp:wrapPolygon edited="0">
              <wp:start x="1271" y="0"/>
              <wp:lineTo x="0" y="3323"/>
              <wp:lineTo x="0" y="17446"/>
              <wp:lineTo x="1271" y="20769"/>
              <wp:lineTo x="4235" y="20769"/>
              <wp:lineTo x="21388" y="18277"/>
              <wp:lineTo x="21388" y="3323"/>
              <wp:lineTo x="4235" y="0"/>
              <wp:lineTo x="1271" y="0"/>
            </wp:wrapPolygon>
          </wp:wrapThrough>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_Seal_ESP_Principa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7DF0" w:rsidRPr="008A5CB5">
      <w:rPr>
        <w:noProof/>
      </w:rPr>
      <w:drawing>
        <wp:inline distT="0" distB="0" distL="0" distR="0" wp14:anchorId="49E182E6" wp14:editId="22760960">
          <wp:extent cx="2349500" cy="457200"/>
          <wp:effectExtent l="0" t="0" r="0" b="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9500" cy="457200"/>
                  </a:xfrm>
                  <a:prstGeom prst="rect">
                    <a:avLst/>
                  </a:prstGeom>
                  <a:noFill/>
                  <a:ln>
                    <a:noFill/>
                  </a:ln>
                </pic:spPr>
              </pic:pic>
            </a:graphicData>
          </a:graphic>
        </wp:inline>
      </w:drawing>
    </w:r>
    <w:r w:rsidR="00547607">
      <w:pict w14:anchorId="6B678206">
        <v:rect id="_x0000_i1026" style="width:0;height:1.5pt" o:hralign="center" o:hrstd="t" o:hr="t" fillcolor="#a0a0a0" stroked="f"/>
      </w:pict>
    </w:r>
  </w:p>
  <w:p w14:paraId="120CCE4A" w14:textId="77777777" w:rsidR="00F95A68" w:rsidRDefault="00F95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2DEF"/>
    <w:multiLevelType w:val="hybridMultilevel"/>
    <w:tmpl w:val="DF2E8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7538E"/>
    <w:multiLevelType w:val="hybridMultilevel"/>
    <w:tmpl w:val="CEF8ABB2"/>
    <w:lvl w:ilvl="0" w:tplc="4F8AC8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E60B5"/>
    <w:multiLevelType w:val="hybridMultilevel"/>
    <w:tmpl w:val="B5262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E1C3D"/>
    <w:multiLevelType w:val="hybridMultilevel"/>
    <w:tmpl w:val="C1D6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F6FAE"/>
    <w:multiLevelType w:val="hybridMultilevel"/>
    <w:tmpl w:val="7200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C6832"/>
    <w:multiLevelType w:val="hybridMultilevel"/>
    <w:tmpl w:val="351C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D17D7"/>
    <w:multiLevelType w:val="hybridMultilevel"/>
    <w:tmpl w:val="8602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7"/>
  </w:num>
  <w:num w:numId="6">
    <w:abstractNumId w:val="4"/>
  </w:num>
  <w:num w:numId="7">
    <w:abstractNumId w:val="1"/>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US" w:vendorID="64" w:dllVersion="131078" w:nlCheck="1" w:checkStyle="0"/>
  <w:activeWritingStyle w:appName="MSWord" w:lang="es-VE" w:vendorID="64" w:dllVersion="131078" w:nlCheck="1" w:checkStyle="0"/>
  <w:activeWritingStyle w:appName="MSWord" w:lang="es-CO" w:vendorID="64" w:dllVersion="131078" w:nlCheck="1" w:checkStyle="0"/>
  <w:activeWritingStyle w:appName="MSWord" w:lang="en-US" w:vendorID="64" w:dllVersion="131078" w:nlCheck="1" w:checkStyle="1"/>
  <w:activeWritingStyle w:appName="MSWord" w:lang="es-AR" w:vendorID="64" w:dllVersion="131078" w:nlCheck="1" w:checkStyle="0"/>
  <w:defaultTabStop w:val="720"/>
  <w:hyphenationZone w:val="425"/>
  <w:characterSpacingControl w:val="doNotCompress"/>
  <w:hdrShapeDefaults>
    <o:shapedefaults v:ext="edit" spidmax="593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47"/>
    <w:rsid w:val="000010BE"/>
    <w:rsid w:val="00006C18"/>
    <w:rsid w:val="00015380"/>
    <w:rsid w:val="000206CF"/>
    <w:rsid w:val="00035748"/>
    <w:rsid w:val="0003789F"/>
    <w:rsid w:val="00042DCF"/>
    <w:rsid w:val="00046400"/>
    <w:rsid w:val="00046BA1"/>
    <w:rsid w:val="00051363"/>
    <w:rsid w:val="000611C2"/>
    <w:rsid w:val="00065B6B"/>
    <w:rsid w:val="00073215"/>
    <w:rsid w:val="00073EB2"/>
    <w:rsid w:val="00074DFB"/>
    <w:rsid w:val="0007772B"/>
    <w:rsid w:val="00077BEE"/>
    <w:rsid w:val="00081D99"/>
    <w:rsid w:val="000A5745"/>
    <w:rsid w:val="000B18A5"/>
    <w:rsid w:val="000B7CA6"/>
    <w:rsid w:val="000C0C37"/>
    <w:rsid w:val="000C485B"/>
    <w:rsid w:val="000C4A76"/>
    <w:rsid w:val="000D3773"/>
    <w:rsid w:val="000E3BDA"/>
    <w:rsid w:val="000F2D7D"/>
    <w:rsid w:val="000F7582"/>
    <w:rsid w:val="000F7910"/>
    <w:rsid w:val="00100086"/>
    <w:rsid w:val="00107DF0"/>
    <w:rsid w:val="0011268A"/>
    <w:rsid w:val="00117FFA"/>
    <w:rsid w:val="001331D1"/>
    <w:rsid w:val="00134722"/>
    <w:rsid w:val="00137962"/>
    <w:rsid w:val="001408AB"/>
    <w:rsid w:val="00146ECA"/>
    <w:rsid w:val="00167991"/>
    <w:rsid w:val="00172557"/>
    <w:rsid w:val="001731DD"/>
    <w:rsid w:val="0017365F"/>
    <w:rsid w:val="0018044D"/>
    <w:rsid w:val="001818FD"/>
    <w:rsid w:val="00186EA2"/>
    <w:rsid w:val="0019002C"/>
    <w:rsid w:val="00190319"/>
    <w:rsid w:val="001A7B3B"/>
    <w:rsid w:val="001B1AFD"/>
    <w:rsid w:val="001B2629"/>
    <w:rsid w:val="001B2EEA"/>
    <w:rsid w:val="001C588A"/>
    <w:rsid w:val="001D3D2E"/>
    <w:rsid w:val="001D64A1"/>
    <w:rsid w:val="001F14E6"/>
    <w:rsid w:val="001F1F83"/>
    <w:rsid w:val="001F226C"/>
    <w:rsid w:val="001F23EE"/>
    <w:rsid w:val="00215AE2"/>
    <w:rsid w:val="0022186A"/>
    <w:rsid w:val="00233EB8"/>
    <w:rsid w:val="00235324"/>
    <w:rsid w:val="00243F38"/>
    <w:rsid w:val="002445C4"/>
    <w:rsid w:val="00245919"/>
    <w:rsid w:val="00246BEC"/>
    <w:rsid w:val="002474D0"/>
    <w:rsid w:val="00266170"/>
    <w:rsid w:val="00266AFE"/>
    <w:rsid w:val="002B28F0"/>
    <w:rsid w:val="002B3F2D"/>
    <w:rsid w:val="002B5614"/>
    <w:rsid w:val="002B5B0B"/>
    <w:rsid w:val="002D0280"/>
    <w:rsid w:val="002D1343"/>
    <w:rsid w:val="002E1B00"/>
    <w:rsid w:val="002E2386"/>
    <w:rsid w:val="002F6A27"/>
    <w:rsid w:val="002F6E95"/>
    <w:rsid w:val="0030739D"/>
    <w:rsid w:val="0032267F"/>
    <w:rsid w:val="0033084B"/>
    <w:rsid w:val="003308DE"/>
    <w:rsid w:val="00332562"/>
    <w:rsid w:val="0034113D"/>
    <w:rsid w:val="00343E1C"/>
    <w:rsid w:val="00350502"/>
    <w:rsid w:val="0035076B"/>
    <w:rsid w:val="00354441"/>
    <w:rsid w:val="00362860"/>
    <w:rsid w:val="0036531A"/>
    <w:rsid w:val="00366177"/>
    <w:rsid w:val="00371660"/>
    <w:rsid w:val="00375164"/>
    <w:rsid w:val="00383BC7"/>
    <w:rsid w:val="0038416C"/>
    <w:rsid w:val="003965D7"/>
    <w:rsid w:val="003A4BC9"/>
    <w:rsid w:val="003B15E9"/>
    <w:rsid w:val="003B5EC7"/>
    <w:rsid w:val="003B703C"/>
    <w:rsid w:val="003D4C68"/>
    <w:rsid w:val="003D52E0"/>
    <w:rsid w:val="003D7585"/>
    <w:rsid w:val="003F32D7"/>
    <w:rsid w:val="003F70E2"/>
    <w:rsid w:val="00420328"/>
    <w:rsid w:val="00426507"/>
    <w:rsid w:val="00427F56"/>
    <w:rsid w:val="004315EE"/>
    <w:rsid w:val="00431E7D"/>
    <w:rsid w:val="00433355"/>
    <w:rsid w:val="00434699"/>
    <w:rsid w:val="004369DF"/>
    <w:rsid w:val="00442E63"/>
    <w:rsid w:val="00444BFC"/>
    <w:rsid w:val="00445979"/>
    <w:rsid w:val="00452FE5"/>
    <w:rsid w:val="00454220"/>
    <w:rsid w:val="004554A9"/>
    <w:rsid w:val="00456A77"/>
    <w:rsid w:val="004649EC"/>
    <w:rsid w:val="00465BAD"/>
    <w:rsid w:val="004767D1"/>
    <w:rsid w:val="00484EC8"/>
    <w:rsid w:val="00485FF7"/>
    <w:rsid w:val="004923C1"/>
    <w:rsid w:val="004A0105"/>
    <w:rsid w:val="004A26AE"/>
    <w:rsid w:val="004A7F38"/>
    <w:rsid w:val="004B6636"/>
    <w:rsid w:val="004C15A2"/>
    <w:rsid w:val="004F17FE"/>
    <w:rsid w:val="004F5E7D"/>
    <w:rsid w:val="00500B47"/>
    <w:rsid w:val="00510ACC"/>
    <w:rsid w:val="00514A56"/>
    <w:rsid w:val="00520821"/>
    <w:rsid w:val="00521358"/>
    <w:rsid w:val="005270AA"/>
    <w:rsid w:val="00527F72"/>
    <w:rsid w:val="005312D9"/>
    <w:rsid w:val="00536B64"/>
    <w:rsid w:val="005446AC"/>
    <w:rsid w:val="00547607"/>
    <w:rsid w:val="0055239E"/>
    <w:rsid w:val="00553FE4"/>
    <w:rsid w:val="00554BC1"/>
    <w:rsid w:val="00576681"/>
    <w:rsid w:val="00577457"/>
    <w:rsid w:val="005902A3"/>
    <w:rsid w:val="00593A28"/>
    <w:rsid w:val="00594D02"/>
    <w:rsid w:val="005A05FA"/>
    <w:rsid w:val="005A2E3B"/>
    <w:rsid w:val="005B2B0E"/>
    <w:rsid w:val="005C545B"/>
    <w:rsid w:val="005C5F06"/>
    <w:rsid w:val="005D115E"/>
    <w:rsid w:val="005E0735"/>
    <w:rsid w:val="005E2143"/>
    <w:rsid w:val="005E5A4D"/>
    <w:rsid w:val="005E6435"/>
    <w:rsid w:val="00602616"/>
    <w:rsid w:val="006138C6"/>
    <w:rsid w:val="006147AF"/>
    <w:rsid w:val="0062362E"/>
    <w:rsid w:val="006472D9"/>
    <w:rsid w:val="006552F2"/>
    <w:rsid w:val="00666684"/>
    <w:rsid w:val="00676055"/>
    <w:rsid w:val="00676970"/>
    <w:rsid w:val="00676F32"/>
    <w:rsid w:val="0068000E"/>
    <w:rsid w:val="006A0EF9"/>
    <w:rsid w:val="006A2357"/>
    <w:rsid w:val="006B033C"/>
    <w:rsid w:val="006C1EB6"/>
    <w:rsid w:val="006E5F18"/>
    <w:rsid w:val="00702C4E"/>
    <w:rsid w:val="0070758C"/>
    <w:rsid w:val="00714184"/>
    <w:rsid w:val="00726711"/>
    <w:rsid w:val="00731E96"/>
    <w:rsid w:val="00741689"/>
    <w:rsid w:val="007457C5"/>
    <w:rsid w:val="0076375B"/>
    <w:rsid w:val="00763C0E"/>
    <w:rsid w:val="00763FE6"/>
    <w:rsid w:val="00771190"/>
    <w:rsid w:val="00771BC4"/>
    <w:rsid w:val="00772B87"/>
    <w:rsid w:val="00782CAA"/>
    <w:rsid w:val="00783348"/>
    <w:rsid w:val="0079004F"/>
    <w:rsid w:val="00791FDD"/>
    <w:rsid w:val="007B18C0"/>
    <w:rsid w:val="007B1ED7"/>
    <w:rsid w:val="007B254E"/>
    <w:rsid w:val="007B2C97"/>
    <w:rsid w:val="007B37A0"/>
    <w:rsid w:val="007B4D5B"/>
    <w:rsid w:val="007C1D76"/>
    <w:rsid w:val="007C6534"/>
    <w:rsid w:val="007D1669"/>
    <w:rsid w:val="007D3D1A"/>
    <w:rsid w:val="007E1999"/>
    <w:rsid w:val="007F0987"/>
    <w:rsid w:val="007F3C9A"/>
    <w:rsid w:val="007F7D08"/>
    <w:rsid w:val="00804950"/>
    <w:rsid w:val="0080652E"/>
    <w:rsid w:val="00820459"/>
    <w:rsid w:val="008255C2"/>
    <w:rsid w:val="00830207"/>
    <w:rsid w:val="00857226"/>
    <w:rsid w:val="00862750"/>
    <w:rsid w:val="00867F01"/>
    <w:rsid w:val="00872630"/>
    <w:rsid w:val="00886727"/>
    <w:rsid w:val="008A5E53"/>
    <w:rsid w:val="008A692B"/>
    <w:rsid w:val="008B2225"/>
    <w:rsid w:val="008B5E70"/>
    <w:rsid w:val="008C668C"/>
    <w:rsid w:val="008C73CB"/>
    <w:rsid w:val="008D4CA6"/>
    <w:rsid w:val="008D77E5"/>
    <w:rsid w:val="008D7A38"/>
    <w:rsid w:val="008E3F7F"/>
    <w:rsid w:val="008F0E08"/>
    <w:rsid w:val="008F1365"/>
    <w:rsid w:val="008F168D"/>
    <w:rsid w:val="008F5E62"/>
    <w:rsid w:val="009027C7"/>
    <w:rsid w:val="0090571A"/>
    <w:rsid w:val="00906003"/>
    <w:rsid w:val="00912D08"/>
    <w:rsid w:val="00916A5B"/>
    <w:rsid w:val="00921F11"/>
    <w:rsid w:val="009243EC"/>
    <w:rsid w:val="009251B5"/>
    <w:rsid w:val="00930C94"/>
    <w:rsid w:val="00933B93"/>
    <w:rsid w:val="00936F90"/>
    <w:rsid w:val="009377DF"/>
    <w:rsid w:val="0094174A"/>
    <w:rsid w:val="0094583F"/>
    <w:rsid w:val="009537D9"/>
    <w:rsid w:val="00955939"/>
    <w:rsid w:val="0095616C"/>
    <w:rsid w:val="00957A1C"/>
    <w:rsid w:val="00963F01"/>
    <w:rsid w:val="009644EC"/>
    <w:rsid w:val="00965586"/>
    <w:rsid w:val="00967713"/>
    <w:rsid w:val="009725CC"/>
    <w:rsid w:val="00975428"/>
    <w:rsid w:val="00977FD6"/>
    <w:rsid w:val="00994454"/>
    <w:rsid w:val="009A0833"/>
    <w:rsid w:val="009A3DC2"/>
    <w:rsid w:val="009C18F7"/>
    <w:rsid w:val="009D0B67"/>
    <w:rsid w:val="009D31CB"/>
    <w:rsid w:val="00A14852"/>
    <w:rsid w:val="00A149BA"/>
    <w:rsid w:val="00A16251"/>
    <w:rsid w:val="00A260AE"/>
    <w:rsid w:val="00A27D77"/>
    <w:rsid w:val="00A31619"/>
    <w:rsid w:val="00A3245F"/>
    <w:rsid w:val="00A376B0"/>
    <w:rsid w:val="00A4070B"/>
    <w:rsid w:val="00A4391D"/>
    <w:rsid w:val="00A52226"/>
    <w:rsid w:val="00A60B67"/>
    <w:rsid w:val="00A73EAF"/>
    <w:rsid w:val="00A74B9D"/>
    <w:rsid w:val="00A77707"/>
    <w:rsid w:val="00A77C1B"/>
    <w:rsid w:val="00A816F5"/>
    <w:rsid w:val="00A94935"/>
    <w:rsid w:val="00AA2E2B"/>
    <w:rsid w:val="00AB75B6"/>
    <w:rsid w:val="00AC0A97"/>
    <w:rsid w:val="00AC0C8B"/>
    <w:rsid w:val="00AE149A"/>
    <w:rsid w:val="00AE6ACC"/>
    <w:rsid w:val="00AF290A"/>
    <w:rsid w:val="00B10B13"/>
    <w:rsid w:val="00B13949"/>
    <w:rsid w:val="00B17872"/>
    <w:rsid w:val="00B240AC"/>
    <w:rsid w:val="00B265D4"/>
    <w:rsid w:val="00B501D4"/>
    <w:rsid w:val="00B5534F"/>
    <w:rsid w:val="00B62BAF"/>
    <w:rsid w:val="00B65BB9"/>
    <w:rsid w:val="00B77951"/>
    <w:rsid w:val="00B836E4"/>
    <w:rsid w:val="00B84225"/>
    <w:rsid w:val="00B90C61"/>
    <w:rsid w:val="00BA3071"/>
    <w:rsid w:val="00BA4C6E"/>
    <w:rsid w:val="00BB2B7A"/>
    <w:rsid w:val="00BB7F17"/>
    <w:rsid w:val="00BD7FEE"/>
    <w:rsid w:val="00BE3AF2"/>
    <w:rsid w:val="00C01D50"/>
    <w:rsid w:val="00C06C1A"/>
    <w:rsid w:val="00C11F57"/>
    <w:rsid w:val="00C21817"/>
    <w:rsid w:val="00C24CF2"/>
    <w:rsid w:val="00C3079D"/>
    <w:rsid w:val="00C40195"/>
    <w:rsid w:val="00C41BF5"/>
    <w:rsid w:val="00C41E2B"/>
    <w:rsid w:val="00C62074"/>
    <w:rsid w:val="00C633C0"/>
    <w:rsid w:val="00C71175"/>
    <w:rsid w:val="00C74E75"/>
    <w:rsid w:val="00C97D1E"/>
    <w:rsid w:val="00CB54DB"/>
    <w:rsid w:val="00CC2A6D"/>
    <w:rsid w:val="00CC5ED9"/>
    <w:rsid w:val="00CD4A23"/>
    <w:rsid w:val="00CE7070"/>
    <w:rsid w:val="00D02BD7"/>
    <w:rsid w:val="00D05B9A"/>
    <w:rsid w:val="00D06D17"/>
    <w:rsid w:val="00D13787"/>
    <w:rsid w:val="00D1506F"/>
    <w:rsid w:val="00D32F1F"/>
    <w:rsid w:val="00D41A3B"/>
    <w:rsid w:val="00D45ABF"/>
    <w:rsid w:val="00D46940"/>
    <w:rsid w:val="00D55BC7"/>
    <w:rsid w:val="00D770DF"/>
    <w:rsid w:val="00D82102"/>
    <w:rsid w:val="00D84FFC"/>
    <w:rsid w:val="00D873E3"/>
    <w:rsid w:val="00DA01E0"/>
    <w:rsid w:val="00DA4254"/>
    <w:rsid w:val="00DA6133"/>
    <w:rsid w:val="00DC258E"/>
    <w:rsid w:val="00DC45D3"/>
    <w:rsid w:val="00DE20F2"/>
    <w:rsid w:val="00DE3607"/>
    <w:rsid w:val="00DE445B"/>
    <w:rsid w:val="00E02F0F"/>
    <w:rsid w:val="00E1189E"/>
    <w:rsid w:val="00E2059E"/>
    <w:rsid w:val="00E23968"/>
    <w:rsid w:val="00E27DFB"/>
    <w:rsid w:val="00E30FD4"/>
    <w:rsid w:val="00E32FE9"/>
    <w:rsid w:val="00E41EDB"/>
    <w:rsid w:val="00E651AF"/>
    <w:rsid w:val="00E72053"/>
    <w:rsid w:val="00E7463F"/>
    <w:rsid w:val="00E75752"/>
    <w:rsid w:val="00E75AF8"/>
    <w:rsid w:val="00E92791"/>
    <w:rsid w:val="00EA0392"/>
    <w:rsid w:val="00EA6B45"/>
    <w:rsid w:val="00EB7A37"/>
    <w:rsid w:val="00ED578E"/>
    <w:rsid w:val="00EE2E44"/>
    <w:rsid w:val="00EF19AA"/>
    <w:rsid w:val="00F132B0"/>
    <w:rsid w:val="00F16217"/>
    <w:rsid w:val="00F259EE"/>
    <w:rsid w:val="00F300DF"/>
    <w:rsid w:val="00F414C6"/>
    <w:rsid w:val="00F52211"/>
    <w:rsid w:val="00F523FD"/>
    <w:rsid w:val="00F5505A"/>
    <w:rsid w:val="00F61B7A"/>
    <w:rsid w:val="00F66ECF"/>
    <w:rsid w:val="00F803BC"/>
    <w:rsid w:val="00F9188F"/>
    <w:rsid w:val="00F95A68"/>
    <w:rsid w:val="00FA3836"/>
    <w:rsid w:val="00FA3C95"/>
    <w:rsid w:val="00FC0A41"/>
    <w:rsid w:val="00FC16E0"/>
    <w:rsid w:val="00FC2221"/>
    <w:rsid w:val="00FC2DD1"/>
    <w:rsid w:val="00FC6D1C"/>
    <w:rsid w:val="00FD539D"/>
    <w:rsid w:val="00FD5EC3"/>
    <w:rsid w:val="00FD7B7E"/>
    <w:rsid w:val="00FE0263"/>
    <w:rsid w:val="00FE4698"/>
    <w:rsid w:val="00FF1D21"/>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14:docId w14:val="5D8F736A"/>
  <w15:docId w15:val="{4B6D363D-25BD-4805-8BF5-A6F95899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B4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DE3607"/>
    <w:pPr>
      <w:keepNext/>
      <w:widowControl w:val="0"/>
      <w:snapToGrid w:val="0"/>
      <w:spacing w:after="0" w:line="240" w:lineRule="auto"/>
      <w:jc w:val="both"/>
      <w:outlineLvl w:val="0"/>
    </w:pPr>
    <w:rPr>
      <w:rFonts w:ascii="Univers" w:eastAsia="Times New Roman" w:hAnsi="Univers"/>
      <w:b/>
      <w:sz w:val="24"/>
      <w:szCs w:val="20"/>
    </w:rPr>
  </w:style>
  <w:style w:type="paragraph" w:styleId="Heading2">
    <w:name w:val="heading 2"/>
    <w:basedOn w:val="Normal"/>
    <w:next w:val="Normal"/>
    <w:link w:val="Heading2Char"/>
    <w:semiHidden/>
    <w:unhideWhenUsed/>
    <w:qFormat/>
    <w:rsid w:val="00DE3607"/>
    <w:pPr>
      <w:keepNext/>
      <w:spacing w:before="240" w:after="60" w:line="240" w:lineRule="auto"/>
      <w:outlineLvl w:val="1"/>
    </w:pPr>
    <w:rPr>
      <w:rFonts w:ascii="Arial" w:eastAsia="Times New Roman" w:hAnsi="Arial" w:cs="Arial"/>
      <w:b/>
      <w:bCs/>
      <w:i/>
      <w:iCs/>
      <w:sz w:val="28"/>
      <w:szCs w:val="28"/>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B47"/>
    <w:rPr>
      <w:rFonts w:ascii="Calibri" w:eastAsia="Calibri" w:hAnsi="Calibri" w:cs="Times New Roman"/>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00B47"/>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qFormat/>
    <w:rsid w:val="00500B47"/>
    <w:rPr>
      <w:rFonts w:ascii="Times New Roman" w:eastAsia="Calibri" w:hAnsi="Times New Roman" w:cs="Times New Roman"/>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500B47"/>
    <w:rPr>
      <w:vertAlign w:val="superscript"/>
    </w:rPr>
  </w:style>
  <w:style w:type="paragraph" w:customStyle="1" w:styleId="Appelnotedebasde">
    <w:name w:val="Appel note de bas de..."/>
    <w:basedOn w:val="Normal"/>
    <w:link w:val="FootnoteReference"/>
    <w:uiPriority w:val="99"/>
    <w:rsid w:val="00500B47"/>
    <w:pPr>
      <w:spacing w:after="160" w:line="240" w:lineRule="exact"/>
    </w:pPr>
    <w:rPr>
      <w:rFonts w:asciiTheme="minorHAnsi" w:eastAsiaTheme="minorHAnsi" w:hAnsiTheme="minorHAnsi" w:cstheme="minorBidi"/>
      <w:vertAlign w:val="superscript"/>
    </w:rPr>
  </w:style>
  <w:style w:type="paragraph" w:styleId="ListParagraph">
    <w:name w:val="List Paragraph"/>
    <w:basedOn w:val="Normal"/>
    <w:uiPriority w:val="34"/>
    <w:qFormat/>
    <w:rsid w:val="00500B47"/>
    <w:pPr>
      <w:ind w:left="720"/>
      <w:contextualSpacing/>
    </w:pPr>
  </w:style>
  <w:style w:type="character" w:styleId="Hyperlink">
    <w:name w:val="Hyperlink"/>
    <w:basedOn w:val="DefaultParagraphFont"/>
    <w:uiPriority w:val="99"/>
    <w:unhideWhenUsed/>
    <w:rsid w:val="002D1343"/>
    <w:rPr>
      <w:color w:val="0563C1" w:themeColor="hyperlink"/>
      <w:u w:val="single"/>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AC0C8B"/>
    <w:pPr>
      <w:spacing w:after="160" w:line="240" w:lineRule="exact"/>
    </w:pPr>
    <w:rPr>
      <w:rFonts w:asciiTheme="minorHAnsi" w:eastAsiaTheme="minorHAnsi" w:hAnsiTheme="minorHAnsi" w:cstheme="minorBidi"/>
      <w:vertAlign w:val="superscript"/>
    </w:rPr>
  </w:style>
  <w:style w:type="paragraph" w:customStyle="1" w:styleId="Default">
    <w:name w:val="Default"/>
    <w:rsid w:val="00D55BC7"/>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rsid w:val="00DE3607"/>
    <w:rPr>
      <w:rFonts w:ascii="Univers" w:eastAsia="Times New Roman" w:hAnsi="Univers" w:cs="Times New Roman"/>
      <w:b/>
      <w:sz w:val="24"/>
      <w:szCs w:val="20"/>
    </w:rPr>
  </w:style>
  <w:style w:type="character" w:customStyle="1" w:styleId="Heading2Char">
    <w:name w:val="Heading 2 Char"/>
    <w:basedOn w:val="DefaultParagraphFont"/>
    <w:link w:val="Heading2"/>
    <w:semiHidden/>
    <w:rsid w:val="00DE3607"/>
    <w:rPr>
      <w:rFonts w:ascii="Arial" w:eastAsia="Times New Roman" w:hAnsi="Arial" w:cs="Arial"/>
      <w:b/>
      <w:bCs/>
      <w:i/>
      <w:iCs/>
      <w:sz w:val="28"/>
      <w:szCs w:val="28"/>
      <w:lang w:val="es-ES_tradnl" w:eastAsia="es-ES_tradnl"/>
    </w:rPr>
  </w:style>
  <w:style w:type="paragraph" w:styleId="BodyTextIndent">
    <w:name w:val="Body Text Indent"/>
    <w:basedOn w:val="Normal"/>
    <w:link w:val="BodyTextIndentChar"/>
    <w:uiPriority w:val="99"/>
    <w:semiHidden/>
    <w:unhideWhenUsed/>
    <w:rsid w:val="00DE3607"/>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DE3607"/>
    <w:rPr>
      <w:rFonts w:ascii="Times New Roman" w:eastAsia="Times New Roman" w:hAnsi="Times New Roman" w:cs="Times New Roman"/>
      <w:sz w:val="24"/>
      <w:szCs w:val="24"/>
    </w:rPr>
  </w:style>
  <w:style w:type="character" w:customStyle="1" w:styleId="longtext">
    <w:name w:val="long_text"/>
    <w:basedOn w:val="DefaultParagraphFont"/>
    <w:rsid w:val="00DE3607"/>
  </w:style>
  <w:style w:type="paragraph" w:styleId="BodyText">
    <w:name w:val="Body Text"/>
    <w:basedOn w:val="Normal"/>
    <w:link w:val="BodyTextChar"/>
    <w:unhideWhenUsed/>
    <w:rsid w:val="00E651AF"/>
    <w:pPr>
      <w:spacing w:after="120" w:line="240" w:lineRule="auto"/>
    </w:pPr>
    <w:rPr>
      <w:rFonts w:ascii="Times New Roman" w:eastAsia="Times New Roman" w:hAnsi="Times New Roman"/>
      <w:sz w:val="24"/>
      <w:szCs w:val="24"/>
      <w:lang w:val="es-ES_tradnl" w:eastAsia="es-ES_tradnl"/>
    </w:rPr>
  </w:style>
  <w:style w:type="character" w:customStyle="1" w:styleId="BodyTextChar">
    <w:name w:val="Body Text Char"/>
    <w:basedOn w:val="DefaultParagraphFont"/>
    <w:link w:val="BodyText"/>
    <w:rsid w:val="00E651AF"/>
    <w:rPr>
      <w:rFonts w:ascii="Times New Roman" w:eastAsia="Times New Roman" w:hAnsi="Times New Roman" w:cs="Times New Roman"/>
      <w:sz w:val="24"/>
      <w:szCs w:val="24"/>
      <w:lang w:val="es-ES_tradnl" w:eastAsia="es-ES_tradnl"/>
    </w:rPr>
  </w:style>
  <w:style w:type="paragraph" w:customStyle="1" w:styleId="Style1">
    <w:name w:val="Style 1"/>
    <w:basedOn w:val="Normal"/>
    <w:rsid w:val="00E651AF"/>
    <w:pPr>
      <w:widowControl w:val="0"/>
      <w:autoSpaceDE w:val="0"/>
      <w:autoSpaceDN w:val="0"/>
      <w:spacing w:after="0" w:line="240" w:lineRule="auto"/>
      <w:jc w:val="both"/>
    </w:pPr>
    <w:rPr>
      <w:rFonts w:ascii="Times New Roman" w:eastAsia="Times New Roman" w:hAnsi="Times New Roman"/>
      <w:sz w:val="24"/>
      <w:szCs w:val="24"/>
    </w:rPr>
  </w:style>
  <w:style w:type="paragraph" w:customStyle="1" w:styleId="Style3">
    <w:name w:val="Style 3"/>
    <w:basedOn w:val="Normal"/>
    <w:rsid w:val="00E651AF"/>
    <w:pPr>
      <w:widowControl w:val="0"/>
      <w:autoSpaceDE w:val="0"/>
      <w:autoSpaceDN w:val="0"/>
      <w:spacing w:after="0" w:line="240" w:lineRule="auto"/>
      <w:ind w:right="144"/>
      <w:jc w:val="both"/>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955939"/>
    <w:rPr>
      <w:color w:val="954F72" w:themeColor="followedHyperlink"/>
      <w:u w:val="single"/>
    </w:rPr>
  </w:style>
  <w:style w:type="paragraph" w:styleId="Footer">
    <w:name w:val="footer"/>
    <w:basedOn w:val="Normal"/>
    <w:link w:val="FooterChar"/>
    <w:uiPriority w:val="99"/>
    <w:unhideWhenUsed/>
    <w:rsid w:val="00D770DF"/>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770DF"/>
  </w:style>
  <w:style w:type="paragraph" w:styleId="BodyText2">
    <w:name w:val="Body Text 2"/>
    <w:basedOn w:val="Normal"/>
    <w:link w:val="BodyText2Char"/>
    <w:uiPriority w:val="99"/>
    <w:semiHidden/>
    <w:unhideWhenUsed/>
    <w:rsid w:val="00D770DF"/>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770DF"/>
  </w:style>
  <w:style w:type="paragraph" w:styleId="NormalWeb">
    <w:name w:val="Normal (Web)"/>
    <w:basedOn w:val="Normal"/>
    <w:uiPriority w:val="99"/>
    <w:semiHidden/>
    <w:unhideWhenUsed/>
    <w:rsid w:val="00D770DF"/>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D77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6D17"/>
    <w:pPr>
      <w:spacing w:after="0" w:line="240" w:lineRule="auto"/>
    </w:pPr>
    <w:rPr>
      <w:rFonts w:eastAsiaTheme="minorHAnsi" w:cs="Calibri"/>
    </w:rPr>
  </w:style>
  <w:style w:type="paragraph" w:styleId="BalloonText">
    <w:name w:val="Balloon Text"/>
    <w:basedOn w:val="Normal"/>
    <w:link w:val="BalloonTextChar"/>
    <w:uiPriority w:val="99"/>
    <w:semiHidden/>
    <w:unhideWhenUsed/>
    <w:rsid w:val="00613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8C6"/>
    <w:rPr>
      <w:rFonts w:ascii="Tahoma" w:eastAsia="Calibri" w:hAnsi="Tahoma" w:cs="Tahoma"/>
      <w:sz w:val="16"/>
      <w:szCs w:val="16"/>
    </w:rPr>
  </w:style>
  <w:style w:type="character" w:styleId="CommentReference">
    <w:name w:val="annotation reference"/>
    <w:basedOn w:val="DefaultParagraphFont"/>
    <w:uiPriority w:val="99"/>
    <w:semiHidden/>
    <w:unhideWhenUsed/>
    <w:rsid w:val="005270AA"/>
    <w:rPr>
      <w:sz w:val="16"/>
      <w:szCs w:val="16"/>
    </w:rPr>
  </w:style>
  <w:style w:type="paragraph" w:styleId="CommentText">
    <w:name w:val="annotation text"/>
    <w:basedOn w:val="Normal"/>
    <w:link w:val="CommentTextChar"/>
    <w:uiPriority w:val="99"/>
    <w:semiHidden/>
    <w:unhideWhenUsed/>
    <w:rsid w:val="005270AA"/>
    <w:pPr>
      <w:spacing w:line="240" w:lineRule="auto"/>
    </w:pPr>
    <w:rPr>
      <w:sz w:val="20"/>
      <w:szCs w:val="20"/>
    </w:rPr>
  </w:style>
  <w:style w:type="character" w:customStyle="1" w:styleId="CommentTextChar">
    <w:name w:val="Comment Text Char"/>
    <w:basedOn w:val="DefaultParagraphFont"/>
    <w:link w:val="CommentText"/>
    <w:uiPriority w:val="99"/>
    <w:semiHidden/>
    <w:rsid w:val="005270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70AA"/>
    <w:rPr>
      <w:b/>
      <w:bCs/>
    </w:rPr>
  </w:style>
  <w:style w:type="character" w:customStyle="1" w:styleId="CommentSubjectChar">
    <w:name w:val="Comment Subject Char"/>
    <w:basedOn w:val="CommentTextChar"/>
    <w:link w:val="CommentSubject"/>
    <w:uiPriority w:val="99"/>
    <w:semiHidden/>
    <w:rsid w:val="005270AA"/>
    <w:rPr>
      <w:rFonts w:ascii="Calibri" w:eastAsia="Calibri" w:hAnsi="Calibri" w:cs="Times New Roman"/>
      <w:b/>
      <w:bCs/>
      <w:sz w:val="20"/>
      <w:szCs w:val="20"/>
    </w:rPr>
  </w:style>
  <w:style w:type="paragraph" w:customStyle="1" w:styleId="1">
    <w:name w:val="1"/>
    <w:basedOn w:val="Normal"/>
    <w:uiPriority w:val="99"/>
    <w:rsid w:val="005D115E"/>
    <w:pPr>
      <w:spacing w:after="160" w:line="240" w:lineRule="exact"/>
    </w:pPr>
    <w:rPr>
      <w:rFonts w:asciiTheme="minorHAnsi" w:eastAsiaTheme="minorHAnsi" w:hAnsiTheme="minorHAnsi" w:cstheme="minorBidi"/>
      <w:vertAlign w:val="superscript"/>
    </w:rPr>
  </w:style>
  <w:style w:type="paragraph" w:customStyle="1" w:styleId="Body">
    <w:name w:val="Body"/>
    <w:rsid w:val="005D115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5902">
      <w:bodyDiv w:val="1"/>
      <w:marLeft w:val="0"/>
      <w:marRight w:val="0"/>
      <w:marTop w:val="0"/>
      <w:marBottom w:val="0"/>
      <w:divBdr>
        <w:top w:val="none" w:sz="0" w:space="0" w:color="auto"/>
        <w:left w:val="none" w:sz="0" w:space="0" w:color="auto"/>
        <w:bottom w:val="none" w:sz="0" w:space="0" w:color="auto"/>
        <w:right w:val="none" w:sz="0" w:space="0" w:color="auto"/>
      </w:divBdr>
    </w:div>
    <w:div w:id="258410960">
      <w:bodyDiv w:val="1"/>
      <w:marLeft w:val="0"/>
      <w:marRight w:val="0"/>
      <w:marTop w:val="0"/>
      <w:marBottom w:val="0"/>
      <w:divBdr>
        <w:top w:val="none" w:sz="0" w:space="0" w:color="auto"/>
        <w:left w:val="none" w:sz="0" w:space="0" w:color="auto"/>
        <w:bottom w:val="none" w:sz="0" w:space="0" w:color="auto"/>
        <w:right w:val="none" w:sz="0" w:space="0" w:color="auto"/>
      </w:divBdr>
    </w:div>
    <w:div w:id="507066936">
      <w:bodyDiv w:val="1"/>
      <w:marLeft w:val="0"/>
      <w:marRight w:val="0"/>
      <w:marTop w:val="0"/>
      <w:marBottom w:val="0"/>
      <w:divBdr>
        <w:top w:val="none" w:sz="0" w:space="0" w:color="auto"/>
        <w:left w:val="none" w:sz="0" w:space="0" w:color="auto"/>
        <w:bottom w:val="none" w:sz="0" w:space="0" w:color="auto"/>
        <w:right w:val="none" w:sz="0" w:space="0" w:color="auto"/>
      </w:divBdr>
    </w:div>
    <w:div w:id="720247502">
      <w:bodyDiv w:val="1"/>
      <w:marLeft w:val="0"/>
      <w:marRight w:val="0"/>
      <w:marTop w:val="0"/>
      <w:marBottom w:val="0"/>
      <w:divBdr>
        <w:top w:val="none" w:sz="0" w:space="0" w:color="auto"/>
        <w:left w:val="none" w:sz="0" w:space="0" w:color="auto"/>
        <w:bottom w:val="none" w:sz="0" w:space="0" w:color="auto"/>
        <w:right w:val="none" w:sz="0" w:space="0" w:color="auto"/>
      </w:divBdr>
    </w:div>
    <w:div w:id="1491290143">
      <w:bodyDiv w:val="1"/>
      <w:marLeft w:val="0"/>
      <w:marRight w:val="0"/>
      <w:marTop w:val="0"/>
      <w:marBottom w:val="0"/>
      <w:divBdr>
        <w:top w:val="none" w:sz="0" w:space="0" w:color="auto"/>
        <w:left w:val="none" w:sz="0" w:space="0" w:color="auto"/>
        <w:bottom w:val="none" w:sz="0" w:space="0" w:color="auto"/>
        <w:right w:val="none" w:sz="0" w:space="0" w:color="auto"/>
      </w:divBdr>
    </w:div>
    <w:div w:id="1735619197">
      <w:bodyDiv w:val="1"/>
      <w:marLeft w:val="0"/>
      <w:marRight w:val="0"/>
      <w:marTop w:val="0"/>
      <w:marBottom w:val="0"/>
      <w:divBdr>
        <w:top w:val="none" w:sz="0" w:space="0" w:color="auto"/>
        <w:left w:val="none" w:sz="0" w:space="0" w:color="auto"/>
        <w:bottom w:val="none" w:sz="0" w:space="0" w:color="auto"/>
        <w:right w:val="none" w:sz="0" w:space="0" w:color="auto"/>
      </w:divBdr>
    </w:div>
    <w:div w:id="1973245860">
      <w:bodyDiv w:val="1"/>
      <w:marLeft w:val="0"/>
      <w:marRight w:val="0"/>
      <w:marTop w:val="0"/>
      <w:marBottom w:val="0"/>
      <w:divBdr>
        <w:top w:val="none" w:sz="0" w:space="0" w:color="auto"/>
        <w:left w:val="none" w:sz="0" w:space="0" w:color="auto"/>
        <w:bottom w:val="none" w:sz="0" w:space="0" w:color="auto"/>
        <w:right w:val="none" w:sz="0" w:space="0" w:color="auto"/>
      </w:divBdr>
    </w:div>
    <w:div w:id="19840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6sp/Uruguay11500sp.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dh.org/annualrep/2010sp/CAP.III.D.doc" TargetMode="External"/><Relationship Id="rId4" Type="http://schemas.openxmlformats.org/officeDocument/2006/relationships/settings" Target="settings.xml"/><Relationship Id="rId9" Type="http://schemas.openxmlformats.org/officeDocument/2006/relationships/hyperlink" Target="http://www.cidh.oas.org/annualrep/2001sp/Uruguay11500.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idh.org/annualrep/2010sp/CAP.III.D.doc" TargetMode="External"/><Relationship Id="rId7" Type="http://schemas.openxmlformats.org/officeDocument/2006/relationships/hyperlink" Target="http://www.cidh.org/annualrep/2010sp/CAP.III.D.doc" TargetMode="External"/><Relationship Id="rId2" Type="http://schemas.openxmlformats.org/officeDocument/2006/relationships/hyperlink" Target="http://www.cidh.oas.org/annualrep/2009sp/cap.3d.09.sp.htm" TargetMode="External"/><Relationship Id="rId1" Type="http://schemas.openxmlformats.org/officeDocument/2006/relationships/hyperlink" Target="http://www.cidh.oas.org/annualrep/2009sp/cap.3d.09.sp.htm" TargetMode="External"/><Relationship Id="rId6" Type="http://schemas.openxmlformats.org/officeDocument/2006/relationships/hyperlink" Target="http://www.cidh.org/annualrep/2010sp/CAP.III.D.doc" TargetMode="External"/><Relationship Id="rId5" Type="http://schemas.openxmlformats.org/officeDocument/2006/relationships/hyperlink" Target="http://www.cidh.oas.org/annualrep/2009sp/cap.3d.09.sp.htm" TargetMode="External"/><Relationship Id="rId4" Type="http://schemas.openxmlformats.org/officeDocument/2006/relationships/hyperlink" Target="http://www.cidh.oas.org/annualrep/2009sp/cap.3d.09.s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7DC5-F6D0-4745-BBEA-8D030FAD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CIDH Intern 17 (Rocha, Thais)</dc:creator>
  <cp:keywords/>
  <dc:description/>
  <cp:lastModifiedBy>CIDH Becario 16 (Paez, Catalina)</cp:lastModifiedBy>
  <cp:revision>254</cp:revision>
  <dcterms:created xsi:type="dcterms:W3CDTF">2018-11-16T18:03:00Z</dcterms:created>
  <dcterms:modified xsi:type="dcterms:W3CDTF">2019-07-30T19:27:00Z</dcterms:modified>
</cp:coreProperties>
</file>