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024EF" w14:textId="77777777" w:rsidR="00D70EA9" w:rsidRPr="00360B87" w:rsidRDefault="00B4501B" w:rsidP="00770DA0">
      <w:pPr>
        <w:spacing w:after="0" w:line="240" w:lineRule="auto"/>
        <w:jc w:val="center"/>
        <w:rPr>
          <w:rFonts w:ascii="Cambria" w:hAnsi="Cambria" w:cs="Calibri"/>
          <w:b/>
          <w:bCs/>
          <w:sz w:val="20"/>
          <w:szCs w:val="20"/>
          <w:lang w:val="es-ES"/>
        </w:rPr>
      </w:pPr>
      <w:r w:rsidRPr="00360B87">
        <w:rPr>
          <w:rFonts w:ascii="Cambria" w:hAnsi="Cambria"/>
          <w:b/>
          <w:sz w:val="20"/>
          <w:lang w:val="es-ES"/>
        </w:rPr>
        <w:t>FICHA DE SEGUIMIENTO DEL INFORME</w:t>
      </w:r>
      <w:r w:rsidR="000E24C6" w:rsidRPr="00360B87">
        <w:rPr>
          <w:rFonts w:ascii="Cambria" w:hAnsi="Cambria"/>
          <w:b/>
          <w:bCs/>
          <w:sz w:val="20"/>
          <w:szCs w:val="20"/>
          <w:lang w:val="es-ES"/>
        </w:rPr>
        <w:t xml:space="preserve"> </w:t>
      </w:r>
      <w:r w:rsidRPr="00360B87">
        <w:rPr>
          <w:rFonts w:ascii="Cambria" w:hAnsi="Cambria"/>
          <w:b/>
          <w:sz w:val="20"/>
          <w:lang w:val="es-ES"/>
        </w:rPr>
        <w:t>Nº</w:t>
      </w:r>
      <w:r w:rsidR="005E04D6" w:rsidRPr="00360B87">
        <w:rPr>
          <w:rFonts w:ascii="Cambria" w:hAnsi="Cambria"/>
          <w:b/>
          <w:sz w:val="20"/>
          <w:szCs w:val="20"/>
          <w:lang w:val="es-ES"/>
        </w:rPr>
        <w:t xml:space="preserve"> </w:t>
      </w:r>
      <w:r w:rsidR="004A352F" w:rsidRPr="00360B87">
        <w:rPr>
          <w:rFonts w:ascii="Cambria" w:hAnsi="Cambria" w:cs="Calibri"/>
          <w:b/>
          <w:bCs/>
          <w:sz w:val="20"/>
          <w:szCs w:val="20"/>
          <w:lang w:val="es-ES"/>
        </w:rPr>
        <w:t>90/05</w:t>
      </w:r>
    </w:p>
    <w:p w14:paraId="4EE5E27A" w14:textId="77777777" w:rsidR="00D70EA9" w:rsidRPr="00360B87" w:rsidRDefault="00B4501B" w:rsidP="00770DA0">
      <w:pPr>
        <w:spacing w:after="0" w:line="240" w:lineRule="auto"/>
        <w:jc w:val="center"/>
        <w:rPr>
          <w:rFonts w:ascii="Cambria" w:hAnsi="Cambria"/>
          <w:b/>
          <w:sz w:val="20"/>
          <w:szCs w:val="20"/>
          <w:lang w:val="es-ES"/>
        </w:rPr>
      </w:pPr>
      <w:r w:rsidRPr="00360B87">
        <w:rPr>
          <w:rFonts w:ascii="Cambria" w:hAnsi="Cambria"/>
          <w:b/>
          <w:sz w:val="20"/>
          <w:szCs w:val="20"/>
          <w:lang w:val="es-ES"/>
        </w:rPr>
        <w:t>CASO</w:t>
      </w:r>
      <w:r w:rsidR="004A352F" w:rsidRPr="00360B87">
        <w:rPr>
          <w:rFonts w:ascii="Cambria" w:hAnsi="Cambria"/>
          <w:b/>
          <w:sz w:val="20"/>
          <w:szCs w:val="20"/>
          <w:lang w:val="es-ES"/>
        </w:rPr>
        <w:t xml:space="preserve"> 12</w:t>
      </w:r>
      <w:r w:rsidR="005E04D6" w:rsidRPr="00360B87">
        <w:rPr>
          <w:rFonts w:ascii="Cambria" w:hAnsi="Cambria"/>
          <w:b/>
          <w:sz w:val="20"/>
          <w:szCs w:val="20"/>
          <w:lang w:val="es-ES"/>
        </w:rPr>
        <w:t>.</w:t>
      </w:r>
      <w:r w:rsidR="004A352F" w:rsidRPr="00360B87">
        <w:rPr>
          <w:rFonts w:ascii="Cambria" w:hAnsi="Cambria"/>
          <w:b/>
          <w:sz w:val="20"/>
          <w:szCs w:val="20"/>
          <w:lang w:val="es-ES"/>
        </w:rPr>
        <w:t>142</w:t>
      </w:r>
    </w:p>
    <w:p w14:paraId="642E539C" w14:textId="77777777" w:rsidR="00D70EA9" w:rsidRPr="00360B87" w:rsidRDefault="00E62E8A" w:rsidP="00770DA0">
      <w:pPr>
        <w:spacing w:after="0" w:line="240" w:lineRule="auto"/>
        <w:jc w:val="center"/>
        <w:rPr>
          <w:rFonts w:ascii="Cambria" w:hAnsi="Cambria"/>
          <w:b/>
          <w:sz w:val="20"/>
          <w:szCs w:val="20"/>
          <w:lang w:val="es-ES"/>
        </w:rPr>
      </w:pPr>
      <w:r w:rsidRPr="00360B87">
        <w:rPr>
          <w:rFonts w:ascii="Cambria" w:hAnsi="Cambria"/>
          <w:b/>
          <w:sz w:val="20"/>
          <w:szCs w:val="20"/>
          <w:lang w:val="es-ES"/>
        </w:rPr>
        <w:t>ALEJANDRA MARCELA MATUS ACUÑ</w:t>
      </w:r>
      <w:r w:rsidR="004A352F" w:rsidRPr="00360B87">
        <w:rPr>
          <w:rFonts w:ascii="Cambria" w:hAnsi="Cambria"/>
          <w:b/>
          <w:sz w:val="20"/>
          <w:szCs w:val="20"/>
          <w:lang w:val="es-ES"/>
        </w:rPr>
        <w:t xml:space="preserve">A </w:t>
      </w:r>
      <w:r w:rsidR="0087798B" w:rsidRPr="00360B87">
        <w:rPr>
          <w:rFonts w:ascii="Cambria" w:hAnsi="Cambria"/>
          <w:b/>
          <w:sz w:val="20"/>
          <w:szCs w:val="20"/>
          <w:lang w:val="es-ES"/>
        </w:rPr>
        <w:t>Y OTROS</w:t>
      </w:r>
    </w:p>
    <w:p w14:paraId="604A7A16" w14:textId="77777777" w:rsidR="00D70EA9" w:rsidRPr="00360B87" w:rsidRDefault="00D70EA9" w:rsidP="00770DA0">
      <w:pPr>
        <w:spacing w:after="0" w:line="240" w:lineRule="auto"/>
        <w:jc w:val="center"/>
        <w:rPr>
          <w:rFonts w:ascii="Cambria" w:hAnsi="Cambria"/>
          <w:b/>
          <w:sz w:val="20"/>
          <w:szCs w:val="20"/>
          <w:lang w:val="es-ES"/>
        </w:rPr>
      </w:pPr>
      <w:r w:rsidRPr="00360B87">
        <w:rPr>
          <w:rFonts w:ascii="Cambria" w:hAnsi="Cambria"/>
          <w:b/>
          <w:sz w:val="20"/>
          <w:szCs w:val="20"/>
          <w:lang w:val="es-ES"/>
        </w:rPr>
        <w:t>(Chile)</w:t>
      </w:r>
    </w:p>
    <w:p w14:paraId="243A85D8" w14:textId="77777777" w:rsidR="000E24C6" w:rsidRPr="00360B87" w:rsidRDefault="000E24C6" w:rsidP="000E24C6">
      <w:pPr>
        <w:spacing w:after="0" w:line="240" w:lineRule="auto"/>
        <w:ind w:left="1440"/>
        <w:rPr>
          <w:rFonts w:ascii="Cambria" w:hAnsi="Cambria" w:cs="Calibri Light"/>
          <w:sz w:val="20"/>
          <w:szCs w:val="20"/>
          <w:lang w:val="es-ES"/>
        </w:rPr>
      </w:pPr>
    </w:p>
    <w:p w14:paraId="742D7FDD" w14:textId="77777777" w:rsidR="00D70EA9" w:rsidRPr="00360B87" w:rsidRDefault="00B4501B" w:rsidP="00BD2642">
      <w:pPr>
        <w:numPr>
          <w:ilvl w:val="0"/>
          <w:numId w:val="1"/>
        </w:numPr>
        <w:spacing w:after="0" w:line="240" w:lineRule="auto"/>
        <w:ind w:left="1440"/>
        <w:rPr>
          <w:rFonts w:ascii="Cambria" w:hAnsi="Cambria" w:cs="Calibri Light"/>
          <w:b/>
          <w:sz w:val="20"/>
          <w:szCs w:val="20"/>
          <w:lang w:val="es-ES"/>
        </w:rPr>
      </w:pPr>
      <w:r w:rsidRPr="00360B87">
        <w:rPr>
          <w:rFonts w:ascii="Cambria" w:hAnsi="Cambria" w:cs="Calibri Light"/>
          <w:b/>
          <w:sz w:val="20"/>
          <w:lang w:val="es-ES"/>
        </w:rPr>
        <w:t>Resumen del caso</w:t>
      </w:r>
    </w:p>
    <w:p w14:paraId="108F3DAB" w14:textId="77777777" w:rsidR="00D70EA9" w:rsidRPr="00360B87" w:rsidRDefault="00D70EA9" w:rsidP="00D70EA9">
      <w:pPr>
        <w:spacing w:after="0" w:line="240" w:lineRule="auto"/>
        <w:ind w:left="1080"/>
        <w:rPr>
          <w:rFonts w:ascii="Cambria" w:hAnsi="Cambria" w:cs="Calibri Light"/>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D70EA9" w:rsidRPr="00360B87" w14:paraId="0BA0D2F3" w14:textId="77777777" w:rsidTr="00CB3AFA">
        <w:tc>
          <w:tcPr>
            <w:tcW w:w="9576" w:type="dxa"/>
            <w:shd w:val="clear" w:color="auto" w:fill="F2F2F2"/>
          </w:tcPr>
          <w:p w14:paraId="623D90AD" w14:textId="77777777" w:rsidR="00D70EA9" w:rsidRPr="00360B87" w:rsidRDefault="00B4501B" w:rsidP="00C16D39">
            <w:pPr>
              <w:spacing w:before="120" w:after="0" w:line="240" w:lineRule="auto"/>
              <w:jc w:val="both"/>
              <w:rPr>
                <w:rFonts w:ascii="Cambria" w:hAnsi="Cambria"/>
                <w:sz w:val="20"/>
                <w:szCs w:val="20"/>
                <w:lang w:val="es-ES"/>
              </w:rPr>
            </w:pPr>
            <w:r w:rsidRPr="00360B87">
              <w:rPr>
                <w:rFonts w:ascii="Cambria" w:hAnsi="Cambria"/>
                <w:b/>
                <w:sz w:val="20"/>
                <w:szCs w:val="20"/>
                <w:lang w:val="es-ES"/>
              </w:rPr>
              <w:t>Víctima (s):</w:t>
            </w:r>
            <w:r w:rsidR="00D70EA9" w:rsidRPr="00360B87">
              <w:rPr>
                <w:rFonts w:ascii="Cambria" w:hAnsi="Cambria"/>
                <w:sz w:val="20"/>
                <w:szCs w:val="20"/>
                <w:lang w:val="es-ES"/>
              </w:rPr>
              <w:t xml:space="preserve"> </w:t>
            </w:r>
            <w:r w:rsidR="00E62E8A" w:rsidRPr="00360B87">
              <w:rPr>
                <w:rFonts w:ascii="Cambria" w:hAnsi="Cambria"/>
                <w:sz w:val="20"/>
                <w:szCs w:val="20"/>
                <w:lang w:val="es-ES"/>
              </w:rPr>
              <w:t>Alejandra Marcela Matus Acuñ</w:t>
            </w:r>
            <w:r w:rsidR="004A352F" w:rsidRPr="00360B87">
              <w:rPr>
                <w:rFonts w:ascii="Cambria" w:hAnsi="Cambria"/>
                <w:sz w:val="20"/>
                <w:szCs w:val="20"/>
                <w:lang w:val="es-ES"/>
              </w:rPr>
              <w:t>a</w:t>
            </w:r>
            <w:r w:rsidR="00112122" w:rsidRPr="00360B87">
              <w:rPr>
                <w:rFonts w:ascii="Cambria" w:hAnsi="Cambria"/>
                <w:sz w:val="20"/>
                <w:szCs w:val="20"/>
                <w:lang w:val="es-ES"/>
              </w:rPr>
              <w:t xml:space="preserve"> y otros </w:t>
            </w:r>
          </w:p>
          <w:p w14:paraId="6EE42898" w14:textId="77777777" w:rsidR="00D70EA9" w:rsidRPr="00360B87" w:rsidRDefault="00B4501B" w:rsidP="00C16D39">
            <w:pPr>
              <w:spacing w:after="0" w:line="240" w:lineRule="auto"/>
              <w:jc w:val="both"/>
              <w:rPr>
                <w:rFonts w:ascii="Cambria" w:hAnsi="Cambria"/>
                <w:sz w:val="20"/>
                <w:szCs w:val="20"/>
                <w:lang w:val="es-ES"/>
              </w:rPr>
            </w:pPr>
            <w:r w:rsidRPr="00360B87">
              <w:rPr>
                <w:rFonts w:ascii="Cambria" w:hAnsi="Cambria"/>
                <w:b/>
                <w:sz w:val="20"/>
                <w:szCs w:val="20"/>
                <w:lang w:val="es-ES"/>
              </w:rPr>
              <w:t>Peticionario (s):</w:t>
            </w:r>
            <w:r w:rsidR="00D70EA9" w:rsidRPr="00360B87">
              <w:rPr>
                <w:rFonts w:ascii="Cambria" w:hAnsi="Cambria"/>
                <w:sz w:val="20"/>
                <w:szCs w:val="20"/>
                <w:lang w:val="es-ES"/>
              </w:rPr>
              <w:t xml:space="preserve"> </w:t>
            </w:r>
            <w:r w:rsidR="00B07540" w:rsidRPr="00360B87">
              <w:rPr>
                <w:rFonts w:ascii="Cambria" w:hAnsi="Cambria" w:cs="Helvetica"/>
                <w:sz w:val="20"/>
                <w:szCs w:val="20"/>
                <w:lang w:val="es-ES"/>
              </w:rPr>
              <w:t>Centro por la Justicia y el Derecho Internacional</w:t>
            </w:r>
            <w:r w:rsidR="001B3D97" w:rsidRPr="00360B87">
              <w:rPr>
                <w:rFonts w:ascii="Cambria" w:hAnsi="Cambria"/>
                <w:sz w:val="20"/>
                <w:szCs w:val="20"/>
                <w:lang w:val="es-ES"/>
              </w:rPr>
              <w:t xml:space="preserve"> (CEJIL)</w:t>
            </w:r>
            <w:r w:rsidR="005C2923" w:rsidRPr="00360B87">
              <w:rPr>
                <w:rFonts w:ascii="Cambria" w:hAnsi="Cambria"/>
                <w:sz w:val="20"/>
                <w:szCs w:val="20"/>
                <w:lang w:val="es-ES"/>
              </w:rPr>
              <w:t>,</w:t>
            </w:r>
            <w:r w:rsidR="001B3D97" w:rsidRPr="00360B87">
              <w:rPr>
                <w:rFonts w:ascii="Cambria" w:hAnsi="Cambria"/>
                <w:sz w:val="20"/>
                <w:szCs w:val="20"/>
                <w:lang w:val="es-ES"/>
              </w:rPr>
              <w:t xml:space="preserve"> </w:t>
            </w:r>
            <w:r w:rsidR="005C2923" w:rsidRPr="00360B87">
              <w:rPr>
                <w:rFonts w:ascii="Cambria" w:hAnsi="Cambria"/>
                <w:sz w:val="20"/>
                <w:szCs w:val="20"/>
                <w:lang w:val="es-ES"/>
              </w:rPr>
              <w:t>Jean Pierre Matus Acuña</w:t>
            </w:r>
            <w:r w:rsidR="008F4BDE" w:rsidRPr="00360B87">
              <w:rPr>
                <w:rFonts w:ascii="Cambria" w:hAnsi="Cambria"/>
                <w:sz w:val="20"/>
                <w:szCs w:val="20"/>
                <w:lang w:val="es-ES"/>
              </w:rPr>
              <w:t xml:space="preserve">, Adil Brkovic </w:t>
            </w:r>
          </w:p>
          <w:p w14:paraId="41F630B3" w14:textId="77777777" w:rsidR="00D70EA9" w:rsidRPr="00360B87" w:rsidRDefault="00B4501B" w:rsidP="00C16D39">
            <w:pPr>
              <w:spacing w:after="0" w:line="240" w:lineRule="auto"/>
              <w:jc w:val="both"/>
              <w:rPr>
                <w:rFonts w:ascii="Cambria" w:hAnsi="Cambria"/>
                <w:sz w:val="20"/>
                <w:szCs w:val="20"/>
                <w:lang w:val="es-ES"/>
              </w:rPr>
            </w:pPr>
            <w:r w:rsidRPr="00360B87">
              <w:rPr>
                <w:rFonts w:ascii="Cambria" w:hAnsi="Cambria"/>
                <w:b/>
                <w:sz w:val="20"/>
                <w:szCs w:val="20"/>
                <w:lang w:val="es-ES"/>
              </w:rPr>
              <w:t>Estado:</w:t>
            </w:r>
            <w:r w:rsidR="00D70EA9" w:rsidRPr="00360B87">
              <w:rPr>
                <w:rFonts w:ascii="Cambria" w:hAnsi="Cambria"/>
                <w:sz w:val="20"/>
                <w:szCs w:val="20"/>
                <w:lang w:val="es-ES"/>
              </w:rPr>
              <w:t xml:space="preserve"> Chile</w:t>
            </w:r>
          </w:p>
          <w:p w14:paraId="1CB72902" w14:textId="77777777" w:rsidR="00D70EA9" w:rsidRPr="00360B87" w:rsidRDefault="00B4501B" w:rsidP="00C16D39">
            <w:pPr>
              <w:spacing w:after="0" w:line="240" w:lineRule="auto"/>
              <w:jc w:val="both"/>
              <w:rPr>
                <w:rFonts w:ascii="Cambria" w:hAnsi="Cambria"/>
                <w:sz w:val="20"/>
                <w:szCs w:val="20"/>
                <w:lang w:val="es-ES"/>
              </w:rPr>
            </w:pPr>
            <w:r w:rsidRPr="00360B87">
              <w:rPr>
                <w:rFonts w:ascii="Cambria" w:hAnsi="Cambria"/>
                <w:b/>
                <w:sz w:val="20"/>
                <w:szCs w:val="20"/>
                <w:lang w:val="es-ES"/>
              </w:rPr>
              <w:t>Informe de Fondo Nº:</w:t>
            </w:r>
            <w:r w:rsidR="00D70EA9" w:rsidRPr="00360B87">
              <w:rPr>
                <w:rFonts w:ascii="Cambria" w:hAnsi="Cambria"/>
                <w:b/>
                <w:sz w:val="20"/>
                <w:szCs w:val="20"/>
                <w:lang w:val="es-ES"/>
              </w:rPr>
              <w:t xml:space="preserve"> </w:t>
            </w:r>
            <w:hyperlink r:id="rId8" w:history="1">
              <w:r w:rsidR="001B3D97" w:rsidRPr="00360B87">
                <w:rPr>
                  <w:rStyle w:val="Hyperlink"/>
                  <w:rFonts w:ascii="Cambria" w:hAnsi="Cambria"/>
                  <w:color w:val="auto"/>
                  <w:sz w:val="20"/>
                  <w:szCs w:val="20"/>
                  <w:lang w:val="es-ES"/>
                </w:rPr>
                <w:t>90/05</w:t>
              </w:r>
            </w:hyperlink>
            <w:r w:rsidR="001B3D97" w:rsidRPr="00360B87">
              <w:rPr>
                <w:rFonts w:ascii="Cambria" w:hAnsi="Cambria"/>
                <w:sz w:val="20"/>
                <w:szCs w:val="20"/>
                <w:lang w:val="es-ES"/>
              </w:rPr>
              <w:t xml:space="preserve">, </w:t>
            </w:r>
            <w:r w:rsidR="00B07540" w:rsidRPr="00360B87">
              <w:rPr>
                <w:rFonts w:ascii="Cambria" w:hAnsi="Cambria"/>
                <w:sz w:val="20"/>
                <w:szCs w:val="20"/>
                <w:lang w:val="es-ES"/>
              </w:rPr>
              <w:t>publicado el 24 de octubre de 2005</w:t>
            </w:r>
          </w:p>
          <w:p w14:paraId="39ACED5F" w14:textId="77777777" w:rsidR="00D70EA9" w:rsidRPr="00360B87" w:rsidRDefault="00B4501B" w:rsidP="00B07540">
            <w:pPr>
              <w:tabs>
                <w:tab w:val="left" w:pos="6168"/>
              </w:tabs>
              <w:spacing w:after="0" w:line="240" w:lineRule="auto"/>
              <w:jc w:val="both"/>
              <w:rPr>
                <w:rFonts w:ascii="Cambria" w:hAnsi="Cambria"/>
                <w:sz w:val="20"/>
                <w:szCs w:val="20"/>
                <w:lang w:val="es-ES"/>
              </w:rPr>
            </w:pPr>
            <w:r w:rsidRPr="00360B87">
              <w:rPr>
                <w:rFonts w:ascii="Cambria" w:hAnsi="Cambria"/>
                <w:b/>
                <w:sz w:val="20"/>
                <w:szCs w:val="20"/>
                <w:lang w:val="es-ES"/>
              </w:rPr>
              <w:t>Informe de Admisibilidad</w:t>
            </w:r>
            <w:r w:rsidR="00A8092D" w:rsidRPr="00360B87">
              <w:rPr>
                <w:rFonts w:ascii="Cambria" w:hAnsi="Cambria"/>
                <w:b/>
                <w:sz w:val="20"/>
                <w:szCs w:val="20"/>
                <w:lang w:val="es-ES"/>
              </w:rPr>
              <w:t xml:space="preserve"> Nº</w:t>
            </w:r>
            <w:r w:rsidRPr="00360B87">
              <w:rPr>
                <w:rFonts w:ascii="Cambria" w:hAnsi="Cambria"/>
                <w:b/>
                <w:sz w:val="20"/>
                <w:szCs w:val="20"/>
                <w:lang w:val="es-ES"/>
              </w:rPr>
              <w:t>:</w:t>
            </w:r>
            <w:r w:rsidR="00D70EA9" w:rsidRPr="00360B87">
              <w:rPr>
                <w:rFonts w:ascii="Cambria" w:hAnsi="Cambria"/>
                <w:sz w:val="20"/>
                <w:szCs w:val="20"/>
                <w:lang w:val="es-ES"/>
              </w:rPr>
              <w:t xml:space="preserve"> </w:t>
            </w:r>
            <w:hyperlink r:id="rId9" w:history="1">
              <w:r w:rsidR="001B3D97" w:rsidRPr="00360B87">
                <w:rPr>
                  <w:rStyle w:val="Hyperlink"/>
                  <w:rFonts w:ascii="Cambria" w:hAnsi="Cambria"/>
                  <w:color w:val="auto"/>
                  <w:sz w:val="20"/>
                  <w:szCs w:val="20"/>
                  <w:lang w:val="es-ES"/>
                </w:rPr>
                <w:t>55/00</w:t>
              </w:r>
            </w:hyperlink>
            <w:r w:rsidR="001B3D97" w:rsidRPr="00360B87">
              <w:rPr>
                <w:rFonts w:ascii="Cambria" w:hAnsi="Cambria"/>
                <w:sz w:val="20"/>
                <w:szCs w:val="20"/>
                <w:lang w:val="es-ES"/>
              </w:rPr>
              <w:t xml:space="preserve">, </w:t>
            </w:r>
            <w:r w:rsidR="00B07540" w:rsidRPr="00360B87">
              <w:rPr>
                <w:rFonts w:ascii="Cambria" w:hAnsi="Cambria"/>
                <w:sz w:val="20"/>
                <w:szCs w:val="20"/>
                <w:lang w:val="es-ES"/>
              </w:rPr>
              <w:t>publicado el 2 de octubre de 2000</w:t>
            </w:r>
            <w:r w:rsidR="00B07540" w:rsidRPr="00360B87">
              <w:rPr>
                <w:rFonts w:ascii="Cambria" w:hAnsi="Cambria"/>
                <w:sz w:val="20"/>
                <w:szCs w:val="20"/>
                <w:lang w:val="es-ES"/>
              </w:rPr>
              <w:tab/>
            </w:r>
          </w:p>
          <w:p w14:paraId="3A1B1F77" w14:textId="77777777" w:rsidR="001551A8" w:rsidRPr="00360B87" w:rsidRDefault="00B4501B" w:rsidP="00C16D39">
            <w:pPr>
              <w:spacing w:after="0" w:line="240" w:lineRule="auto"/>
              <w:jc w:val="both"/>
              <w:rPr>
                <w:rStyle w:val="Hyperlink"/>
                <w:rFonts w:ascii="Cambria" w:hAnsi="Cambria"/>
                <w:color w:val="auto"/>
                <w:sz w:val="20"/>
                <w:szCs w:val="20"/>
                <w:lang w:val="es-ES"/>
              </w:rPr>
            </w:pPr>
            <w:r w:rsidRPr="00360B87">
              <w:rPr>
                <w:rFonts w:ascii="Cambria" w:hAnsi="Cambria"/>
                <w:b/>
                <w:sz w:val="20"/>
                <w:szCs w:val="20"/>
                <w:lang w:val="es-ES"/>
              </w:rPr>
              <w:t>Medidas Cautelares</w:t>
            </w:r>
            <w:r w:rsidR="00D70EA9" w:rsidRPr="00360B87">
              <w:rPr>
                <w:rFonts w:ascii="Cambria" w:hAnsi="Cambria"/>
                <w:b/>
                <w:sz w:val="20"/>
                <w:szCs w:val="20"/>
                <w:lang w:val="es-ES"/>
              </w:rPr>
              <w:t xml:space="preserve">: </w:t>
            </w:r>
            <w:r w:rsidR="00B07540" w:rsidRPr="00360B87">
              <w:rPr>
                <w:rFonts w:ascii="Cambria" w:hAnsi="Cambria"/>
                <w:sz w:val="20"/>
                <w:szCs w:val="20"/>
                <w:lang w:val="es-ES"/>
              </w:rPr>
              <w:fldChar w:fldCharType="begin"/>
            </w:r>
            <w:r w:rsidR="00B07540" w:rsidRPr="00360B87">
              <w:rPr>
                <w:rFonts w:ascii="Cambria" w:hAnsi="Cambria"/>
                <w:sz w:val="20"/>
                <w:szCs w:val="20"/>
                <w:lang w:val="es-ES"/>
              </w:rPr>
              <w:instrText xml:space="preserve"> HYPERLINK "http://www.cidh.org/medidas/1999.sp.htm" </w:instrText>
            </w:r>
            <w:r w:rsidR="00B07540" w:rsidRPr="00360B87">
              <w:rPr>
                <w:rFonts w:ascii="Cambria" w:hAnsi="Cambria"/>
                <w:sz w:val="20"/>
                <w:szCs w:val="20"/>
                <w:lang w:val="es-ES"/>
              </w:rPr>
              <w:fldChar w:fldCharType="separate"/>
            </w:r>
            <w:r w:rsidR="00285A01" w:rsidRPr="00360B87">
              <w:rPr>
                <w:rStyle w:val="Hyperlink"/>
                <w:rFonts w:ascii="Cambria" w:hAnsi="Cambria"/>
                <w:color w:val="auto"/>
                <w:sz w:val="20"/>
                <w:szCs w:val="20"/>
                <w:lang w:val="es-ES"/>
              </w:rPr>
              <w:t>Otorgadas</w:t>
            </w:r>
            <w:r w:rsidR="00B07540" w:rsidRPr="00360B87">
              <w:rPr>
                <w:rStyle w:val="Hyperlink"/>
                <w:rFonts w:ascii="Cambria" w:hAnsi="Cambria"/>
                <w:color w:val="auto"/>
                <w:sz w:val="20"/>
                <w:szCs w:val="20"/>
                <w:lang w:val="es-ES"/>
              </w:rPr>
              <w:t xml:space="preserve"> el 18 de junio y 19 de julio de 1999</w:t>
            </w:r>
          </w:p>
          <w:p w14:paraId="3D92FCC9" w14:textId="3E3042EB" w:rsidR="00D64F50" w:rsidRPr="00360B87" w:rsidRDefault="00B07540" w:rsidP="001523D5">
            <w:pPr>
              <w:spacing w:after="120" w:line="240" w:lineRule="auto"/>
              <w:jc w:val="both"/>
              <w:rPr>
                <w:rFonts w:ascii="Cambria" w:hAnsi="Cambria"/>
                <w:strike/>
                <w:color w:val="FF0000"/>
                <w:sz w:val="20"/>
                <w:szCs w:val="20"/>
                <w:lang w:val="es-ES"/>
              </w:rPr>
            </w:pPr>
            <w:r w:rsidRPr="00360B87">
              <w:rPr>
                <w:rFonts w:ascii="Cambria" w:hAnsi="Cambria"/>
                <w:sz w:val="20"/>
                <w:szCs w:val="20"/>
                <w:lang w:val="es-ES"/>
              </w:rPr>
              <w:fldChar w:fldCharType="end"/>
            </w:r>
            <w:r w:rsidR="00C16D39" w:rsidRPr="00360B87">
              <w:rPr>
                <w:rFonts w:ascii="Cambria" w:hAnsi="Cambria"/>
                <w:b/>
                <w:sz w:val="20"/>
                <w:szCs w:val="20"/>
                <w:lang w:val="es-ES"/>
              </w:rPr>
              <w:t>T</w:t>
            </w:r>
            <w:r w:rsidR="00B4501B" w:rsidRPr="00360B87">
              <w:rPr>
                <w:rFonts w:ascii="Cambria" w:hAnsi="Cambria"/>
                <w:b/>
                <w:sz w:val="20"/>
                <w:szCs w:val="20"/>
                <w:lang w:val="es-ES"/>
              </w:rPr>
              <w:t>emas</w:t>
            </w:r>
            <w:r w:rsidR="00536593" w:rsidRPr="00360B87">
              <w:rPr>
                <w:rFonts w:ascii="Cambria" w:hAnsi="Cambria"/>
                <w:b/>
                <w:sz w:val="20"/>
                <w:szCs w:val="20"/>
                <w:lang w:val="es-ES"/>
              </w:rPr>
              <w:t xml:space="preserve">: </w:t>
            </w:r>
            <w:r w:rsidR="007519B7" w:rsidRPr="00360B87">
              <w:rPr>
                <w:rFonts w:ascii="Cambria" w:hAnsi="Cambria"/>
                <w:sz w:val="20"/>
                <w:szCs w:val="20"/>
                <w:lang w:val="es-ES"/>
              </w:rPr>
              <w:t>Acceso a la información pública /</w:t>
            </w:r>
            <w:r w:rsidR="007519B7" w:rsidRPr="00360B87">
              <w:rPr>
                <w:rFonts w:ascii="Cambria" w:hAnsi="Cambria"/>
                <w:b/>
                <w:sz w:val="20"/>
                <w:szCs w:val="20"/>
                <w:lang w:val="es-ES"/>
              </w:rPr>
              <w:t xml:space="preserve"> </w:t>
            </w:r>
            <w:r w:rsidRPr="00360B87">
              <w:rPr>
                <w:rFonts w:ascii="Cambria" w:hAnsi="Cambria"/>
                <w:sz w:val="20"/>
                <w:szCs w:val="20"/>
                <w:lang w:val="es-ES"/>
              </w:rPr>
              <w:t xml:space="preserve">Adoptar disposiciones de derecho interno / </w:t>
            </w:r>
            <w:r w:rsidR="00B54361" w:rsidRPr="00360B87">
              <w:rPr>
                <w:rFonts w:ascii="Cambria" w:hAnsi="Cambria"/>
                <w:sz w:val="20"/>
                <w:szCs w:val="20"/>
                <w:lang w:val="es-ES"/>
              </w:rPr>
              <w:t xml:space="preserve">Ley de desacato / </w:t>
            </w:r>
            <w:r w:rsidRPr="00360B87">
              <w:rPr>
                <w:rFonts w:ascii="Cambria" w:hAnsi="Cambria"/>
                <w:sz w:val="20"/>
                <w:szCs w:val="20"/>
                <w:lang w:val="es-ES"/>
              </w:rPr>
              <w:t xml:space="preserve">Libertad de expresión / </w:t>
            </w:r>
            <w:r w:rsidR="0017133B">
              <w:rPr>
                <w:rFonts w:ascii="Cambria" w:hAnsi="Cambria"/>
                <w:sz w:val="20"/>
                <w:szCs w:val="20"/>
                <w:lang w:val="es-ES"/>
              </w:rPr>
              <w:t xml:space="preserve">Mujeres / </w:t>
            </w:r>
            <w:r w:rsidRPr="00360B87">
              <w:rPr>
                <w:rFonts w:ascii="Cambria" w:hAnsi="Cambria"/>
                <w:sz w:val="20"/>
                <w:szCs w:val="20"/>
                <w:lang w:val="es-ES"/>
              </w:rPr>
              <w:t>Obligación de respetar los derechos /</w:t>
            </w:r>
            <w:r w:rsidR="002510FC" w:rsidRPr="002510FC">
              <w:rPr>
                <w:lang w:val="es-ES"/>
              </w:rPr>
              <w:t xml:space="preserve"> </w:t>
            </w:r>
            <w:r w:rsidR="002510FC" w:rsidRPr="002510FC">
              <w:rPr>
                <w:rFonts w:ascii="Cambria" w:hAnsi="Cambria"/>
                <w:sz w:val="20"/>
                <w:szCs w:val="20"/>
                <w:lang w:val="es-ES"/>
              </w:rPr>
              <w:t xml:space="preserve">Periodistas y medios de comunicación </w:t>
            </w:r>
            <w:r w:rsidR="002510FC">
              <w:rPr>
                <w:rFonts w:ascii="Cambria" w:hAnsi="Cambria"/>
                <w:sz w:val="20"/>
                <w:szCs w:val="20"/>
                <w:lang w:val="es-ES"/>
              </w:rPr>
              <w:t>/</w:t>
            </w:r>
            <w:r w:rsidRPr="00360B87">
              <w:rPr>
                <w:rFonts w:ascii="Cambria" w:hAnsi="Cambria"/>
                <w:sz w:val="20"/>
                <w:szCs w:val="20"/>
                <w:lang w:val="es-ES"/>
              </w:rPr>
              <w:t xml:space="preserve"> Propiedad privada</w:t>
            </w:r>
          </w:p>
          <w:p w14:paraId="4AF87BB8" w14:textId="77777777" w:rsidR="00B007C2" w:rsidRPr="00360B87" w:rsidRDefault="00B4501B" w:rsidP="00090042">
            <w:pPr>
              <w:spacing w:after="120" w:line="240" w:lineRule="auto"/>
              <w:jc w:val="both"/>
              <w:rPr>
                <w:rFonts w:ascii="Cambria" w:hAnsi="Cambria"/>
                <w:sz w:val="20"/>
                <w:szCs w:val="20"/>
                <w:lang w:val="es-ES"/>
              </w:rPr>
            </w:pPr>
            <w:r w:rsidRPr="00360B87">
              <w:rPr>
                <w:rFonts w:ascii="Cambria" w:hAnsi="Cambria"/>
                <w:b/>
                <w:sz w:val="20"/>
                <w:szCs w:val="20"/>
                <w:lang w:val="es-ES"/>
              </w:rPr>
              <w:t>Hechos</w:t>
            </w:r>
            <w:r w:rsidR="00D70EA9" w:rsidRPr="00360B87">
              <w:rPr>
                <w:rFonts w:ascii="Cambria" w:hAnsi="Cambria"/>
                <w:b/>
                <w:sz w:val="20"/>
                <w:szCs w:val="20"/>
                <w:lang w:val="es-ES"/>
              </w:rPr>
              <w:t xml:space="preserve">: </w:t>
            </w:r>
            <w:r w:rsidR="00B07540" w:rsidRPr="00360B87">
              <w:rPr>
                <w:rFonts w:ascii="Cambria" w:hAnsi="Cambria"/>
                <w:sz w:val="20"/>
                <w:szCs w:val="20"/>
                <w:lang w:val="es-ES"/>
              </w:rPr>
              <w:t>El 13 de abril de 1999, se publ</w:t>
            </w:r>
            <w:r w:rsidR="00924DBD" w:rsidRPr="00360B87">
              <w:rPr>
                <w:rFonts w:ascii="Cambria" w:hAnsi="Cambria"/>
                <w:sz w:val="20"/>
                <w:szCs w:val="20"/>
                <w:lang w:val="es-ES"/>
              </w:rPr>
              <w:t>icó en Chile el libro titulado “</w:t>
            </w:r>
            <w:r w:rsidR="00B07540" w:rsidRPr="00360B87">
              <w:rPr>
                <w:rFonts w:ascii="Cambria" w:hAnsi="Cambria"/>
                <w:sz w:val="20"/>
                <w:szCs w:val="20"/>
                <w:lang w:val="es-ES"/>
              </w:rPr>
              <w:t>El Libro Negro de la Justicia Chilena</w:t>
            </w:r>
            <w:r w:rsidR="00924DBD" w:rsidRPr="00360B87">
              <w:rPr>
                <w:rFonts w:ascii="Cambria" w:hAnsi="Cambria"/>
                <w:sz w:val="20"/>
                <w:szCs w:val="20"/>
                <w:lang w:val="es-ES"/>
              </w:rPr>
              <w:t>”</w:t>
            </w:r>
            <w:r w:rsidR="00B07540" w:rsidRPr="00360B87">
              <w:rPr>
                <w:rFonts w:ascii="Cambria" w:hAnsi="Cambria"/>
                <w:sz w:val="20"/>
                <w:szCs w:val="20"/>
                <w:lang w:val="es-ES"/>
              </w:rPr>
              <w:t xml:space="preserve">, escrito por la periodista Alejandra </w:t>
            </w:r>
            <w:r w:rsidR="00A8092D" w:rsidRPr="00360B87">
              <w:rPr>
                <w:rFonts w:ascii="Cambria" w:hAnsi="Cambria"/>
                <w:sz w:val="20"/>
                <w:szCs w:val="20"/>
                <w:lang w:val="es-ES"/>
              </w:rPr>
              <w:t xml:space="preserve">Marcela </w:t>
            </w:r>
            <w:r w:rsidR="00B07540" w:rsidRPr="00360B87">
              <w:rPr>
                <w:rFonts w:ascii="Cambria" w:hAnsi="Cambria"/>
                <w:sz w:val="20"/>
                <w:szCs w:val="20"/>
                <w:lang w:val="es-ES"/>
              </w:rPr>
              <w:t xml:space="preserve">Matus Acuña, y </w:t>
            </w:r>
            <w:r w:rsidR="00924DBD" w:rsidRPr="00360B87">
              <w:rPr>
                <w:rFonts w:ascii="Cambria" w:hAnsi="Cambria"/>
                <w:sz w:val="20"/>
                <w:szCs w:val="20"/>
                <w:lang w:val="es-ES"/>
              </w:rPr>
              <w:t>editado</w:t>
            </w:r>
            <w:r w:rsidR="00B07540" w:rsidRPr="00360B87">
              <w:rPr>
                <w:rFonts w:ascii="Cambria" w:hAnsi="Cambria"/>
                <w:sz w:val="20"/>
                <w:szCs w:val="20"/>
                <w:lang w:val="es-ES"/>
              </w:rPr>
              <w:t xml:space="preserve"> por la editorial chilena Editorial Planeta. Ese mismo día, </w:t>
            </w:r>
            <w:r w:rsidR="0060236F" w:rsidRPr="00360B87">
              <w:rPr>
                <w:rFonts w:ascii="Cambria" w:hAnsi="Cambria"/>
                <w:sz w:val="20"/>
                <w:szCs w:val="20"/>
                <w:lang w:val="es-ES"/>
              </w:rPr>
              <w:t>un</w:t>
            </w:r>
            <w:r w:rsidR="00973DC4" w:rsidRPr="00360B87">
              <w:rPr>
                <w:rFonts w:ascii="Cambria" w:hAnsi="Cambria"/>
                <w:sz w:val="20"/>
                <w:szCs w:val="20"/>
                <w:lang w:val="es-ES"/>
              </w:rPr>
              <w:t xml:space="preserve"> </w:t>
            </w:r>
            <w:r w:rsidR="00F61F5F" w:rsidRPr="00360B87">
              <w:rPr>
                <w:rFonts w:ascii="Cambria" w:hAnsi="Cambria"/>
                <w:sz w:val="20"/>
                <w:szCs w:val="20"/>
                <w:lang w:val="es-ES"/>
              </w:rPr>
              <w:t>m</w:t>
            </w:r>
            <w:r w:rsidR="00973DC4" w:rsidRPr="00360B87">
              <w:rPr>
                <w:rFonts w:ascii="Cambria" w:hAnsi="Cambria"/>
                <w:sz w:val="20"/>
                <w:szCs w:val="20"/>
                <w:lang w:val="es-ES"/>
              </w:rPr>
              <w:t xml:space="preserve">inistro </w:t>
            </w:r>
            <w:r w:rsidR="00B07540" w:rsidRPr="00360B87">
              <w:rPr>
                <w:rFonts w:ascii="Cambria" w:hAnsi="Cambria"/>
                <w:sz w:val="20"/>
                <w:szCs w:val="20"/>
                <w:lang w:val="es-ES"/>
              </w:rPr>
              <w:t>de la Corte Suprema interpuso un</w:t>
            </w:r>
            <w:r w:rsidR="0013185F" w:rsidRPr="00360B87">
              <w:rPr>
                <w:rFonts w:ascii="Cambria" w:hAnsi="Cambria"/>
                <w:sz w:val="20"/>
                <w:szCs w:val="20"/>
                <w:lang w:val="es-ES"/>
              </w:rPr>
              <w:t>a denuncia</w:t>
            </w:r>
            <w:r w:rsidR="00B07540" w:rsidRPr="00360B87">
              <w:rPr>
                <w:rFonts w:ascii="Cambria" w:hAnsi="Cambria"/>
                <w:sz w:val="20"/>
                <w:szCs w:val="20"/>
                <w:lang w:val="es-ES"/>
              </w:rPr>
              <w:t xml:space="preserve"> contra </w:t>
            </w:r>
            <w:r w:rsidR="00924DBD" w:rsidRPr="00360B87">
              <w:rPr>
                <w:rFonts w:ascii="Cambria" w:hAnsi="Cambria"/>
                <w:sz w:val="20"/>
                <w:szCs w:val="20"/>
                <w:lang w:val="es-ES"/>
              </w:rPr>
              <w:t xml:space="preserve">la </w:t>
            </w:r>
            <w:r w:rsidR="00B07540" w:rsidRPr="00360B87">
              <w:rPr>
                <w:rFonts w:ascii="Cambria" w:hAnsi="Cambria"/>
                <w:sz w:val="20"/>
                <w:szCs w:val="20"/>
                <w:lang w:val="es-ES"/>
              </w:rPr>
              <w:t>autor</w:t>
            </w:r>
            <w:r w:rsidR="00924DBD" w:rsidRPr="00360B87">
              <w:rPr>
                <w:rFonts w:ascii="Cambria" w:hAnsi="Cambria"/>
                <w:sz w:val="20"/>
                <w:szCs w:val="20"/>
                <w:lang w:val="es-ES"/>
              </w:rPr>
              <w:t>a</w:t>
            </w:r>
            <w:r w:rsidR="00B07540" w:rsidRPr="00360B87">
              <w:rPr>
                <w:rFonts w:ascii="Cambria" w:hAnsi="Cambria"/>
                <w:sz w:val="20"/>
                <w:szCs w:val="20"/>
                <w:lang w:val="es-ES"/>
              </w:rPr>
              <w:t xml:space="preserve"> y la </w:t>
            </w:r>
            <w:r w:rsidR="0013185F" w:rsidRPr="00360B87">
              <w:rPr>
                <w:rFonts w:ascii="Cambria" w:hAnsi="Cambria"/>
                <w:sz w:val="20"/>
                <w:szCs w:val="20"/>
                <w:lang w:val="es-ES"/>
              </w:rPr>
              <w:t xml:space="preserve">editorial </w:t>
            </w:r>
            <w:r w:rsidR="00B07540" w:rsidRPr="00360B87">
              <w:rPr>
                <w:rFonts w:ascii="Cambria" w:hAnsi="Cambria"/>
                <w:sz w:val="20"/>
                <w:szCs w:val="20"/>
                <w:lang w:val="es-ES"/>
              </w:rPr>
              <w:t xml:space="preserve">ante </w:t>
            </w:r>
            <w:r w:rsidR="0013185F" w:rsidRPr="00360B87">
              <w:rPr>
                <w:rFonts w:ascii="Cambria" w:hAnsi="Cambria"/>
                <w:sz w:val="20"/>
                <w:szCs w:val="20"/>
                <w:lang w:val="es-ES"/>
              </w:rPr>
              <w:t xml:space="preserve">la Corte de Apelaciones </w:t>
            </w:r>
            <w:r w:rsidR="00B07540" w:rsidRPr="00360B87">
              <w:rPr>
                <w:rFonts w:ascii="Cambria" w:hAnsi="Cambria"/>
                <w:sz w:val="20"/>
                <w:szCs w:val="20"/>
                <w:lang w:val="es-ES"/>
              </w:rPr>
              <w:t xml:space="preserve">de Santiago por </w:t>
            </w:r>
            <w:r w:rsidR="0013185F" w:rsidRPr="00360B87">
              <w:rPr>
                <w:rFonts w:ascii="Cambria" w:hAnsi="Cambria"/>
                <w:sz w:val="20"/>
                <w:szCs w:val="20"/>
                <w:lang w:val="es-ES"/>
              </w:rPr>
              <w:t xml:space="preserve">infracción </w:t>
            </w:r>
            <w:r w:rsidR="00B07540" w:rsidRPr="00360B87">
              <w:rPr>
                <w:rFonts w:ascii="Cambria" w:hAnsi="Cambria"/>
                <w:sz w:val="20"/>
                <w:szCs w:val="20"/>
                <w:lang w:val="es-ES"/>
              </w:rPr>
              <w:t>del artículo 6</w:t>
            </w:r>
            <w:r w:rsidR="00A8092D" w:rsidRPr="00360B87">
              <w:rPr>
                <w:rFonts w:ascii="Cambria" w:hAnsi="Cambria"/>
                <w:sz w:val="20"/>
                <w:szCs w:val="20"/>
                <w:lang w:val="es-ES"/>
              </w:rPr>
              <w:t>(</w:t>
            </w:r>
            <w:r w:rsidR="00B07540" w:rsidRPr="00360B87">
              <w:rPr>
                <w:rFonts w:ascii="Cambria" w:hAnsi="Cambria"/>
                <w:sz w:val="20"/>
                <w:szCs w:val="20"/>
                <w:lang w:val="es-ES"/>
              </w:rPr>
              <w:t xml:space="preserve">b) de la Ley </w:t>
            </w:r>
            <w:r w:rsidR="0013185F" w:rsidRPr="00360B87">
              <w:rPr>
                <w:rFonts w:ascii="Cambria" w:hAnsi="Cambria"/>
                <w:sz w:val="20"/>
                <w:szCs w:val="20"/>
                <w:lang w:val="es-ES"/>
              </w:rPr>
              <w:t xml:space="preserve">Nº 12.927 </w:t>
            </w:r>
            <w:r w:rsidR="00B07540" w:rsidRPr="00360B87">
              <w:rPr>
                <w:rFonts w:ascii="Cambria" w:hAnsi="Cambria"/>
                <w:sz w:val="20"/>
                <w:szCs w:val="20"/>
                <w:lang w:val="es-ES"/>
              </w:rPr>
              <w:t xml:space="preserve">de Seguridad del Estado. Además, otro </w:t>
            </w:r>
            <w:r w:rsidR="00B007C2" w:rsidRPr="00360B87">
              <w:rPr>
                <w:rFonts w:ascii="Cambria" w:hAnsi="Cambria"/>
                <w:sz w:val="20"/>
                <w:szCs w:val="20"/>
                <w:lang w:val="es-ES"/>
              </w:rPr>
              <w:t>ministro</w:t>
            </w:r>
            <w:r w:rsidR="00B07540" w:rsidRPr="00360B87">
              <w:rPr>
                <w:rFonts w:ascii="Cambria" w:hAnsi="Cambria"/>
                <w:sz w:val="20"/>
                <w:szCs w:val="20"/>
                <w:lang w:val="es-ES"/>
              </w:rPr>
              <w:t xml:space="preserve"> de la Corte Suprema ordenó la incautación de tod</w:t>
            </w:r>
            <w:r w:rsidR="00B007C2" w:rsidRPr="00360B87">
              <w:rPr>
                <w:rFonts w:ascii="Cambria" w:hAnsi="Cambria"/>
                <w:sz w:val="20"/>
                <w:szCs w:val="20"/>
                <w:lang w:val="es-ES"/>
              </w:rPr>
              <w:t xml:space="preserve">os los ejemplares existentes </w:t>
            </w:r>
            <w:r w:rsidR="00B07540" w:rsidRPr="00360B87">
              <w:rPr>
                <w:rFonts w:ascii="Cambria" w:hAnsi="Cambria"/>
                <w:sz w:val="20"/>
                <w:szCs w:val="20"/>
                <w:lang w:val="es-ES"/>
              </w:rPr>
              <w:t xml:space="preserve">y prohibió </w:t>
            </w:r>
            <w:r w:rsidR="00B007C2" w:rsidRPr="00360B87">
              <w:rPr>
                <w:rFonts w:ascii="Cambria" w:hAnsi="Cambria"/>
                <w:sz w:val="20"/>
                <w:szCs w:val="20"/>
                <w:lang w:val="es-ES"/>
              </w:rPr>
              <w:t xml:space="preserve">la reedición del libro, con base en lo dispuesto por los artículos 16(1) y 30 de la Ley de Seguridad del Estado. </w:t>
            </w:r>
            <w:r w:rsidR="009B5C64" w:rsidRPr="00360B87">
              <w:rPr>
                <w:rFonts w:ascii="Cambria" w:hAnsi="Cambria"/>
                <w:sz w:val="20"/>
                <w:szCs w:val="20"/>
                <w:lang w:val="es-ES"/>
              </w:rPr>
              <w:t xml:space="preserve">El 16 de junio de 1999 fueron arrestados dentro del mismo juicio los señores Bartolo Ortiz y Carlos Orellana, directivos de Editorial Planeta de Chile. Ambos fueron liberados dos días después, y sobreseídos el 29 de julio de 1999. </w:t>
            </w:r>
            <w:r w:rsidR="00B007C2" w:rsidRPr="00360B87">
              <w:rPr>
                <w:rFonts w:ascii="Cambria" w:hAnsi="Cambria"/>
                <w:sz w:val="20"/>
                <w:szCs w:val="20"/>
                <w:lang w:val="es-ES"/>
              </w:rPr>
              <w:t>La periodista Alejandra Matus Acuña viajó fuera de Chile el mismo 13 de abril de 1999, por temor a ser detenida. El 10 de noviembre de 2000, en el expediente iniciado con motivo de la publicación del “Libro Negro”, se dictó una orden de aprehensión en contra de Alejandra Marcela Matus Acuña.</w:t>
            </w:r>
          </w:p>
          <w:p w14:paraId="3B02BDFF" w14:textId="404B0D6E" w:rsidR="00D70EA9" w:rsidRPr="00360B87" w:rsidRDefault="00B4501B" w:rsidP="00D74A19">
            <w:pPr>
              <w:spacing w:after="120" w:line="240" w:lineRule="auto"/>
              <w:jc w:val="both"/>
              <w:rPr>
                <w:rFonts w:ascii="Cambria" w:hAnsi="Cambria"/>
                <w:sz w:val="20"/>
                <w:szCs w:val="20"/>
                <w:lang w:val="es-ES"/>
              </w:rPr>
            </w:pPr>
            <w:r w:rsidRPr="00360B87">
              <w:rPr>
                <w:rFonts w:ascii="Cambria" w:hAnsi="Cambria"/>
                <w:b/>
                <w:sz w:val="20"/>
                <w:szCs w:val="20"/>
                <w:lang w:val="es-ES"/>
              </w:rPr>
              <w:t>Derechos violados</w:t>
            </w:r>
            <w:r w:rsidR="00D70EA9" w:rsidRPr="00360B87">
              <w:rPr>
                <w:rFonts w:ascii="Cambria" w:hAnsi="Cambria"/>
                <w:b/>
                <w:sz w:val="20"/>
                <w:szCs w:val="20"/>
                <w:lang w:val="es-ES"/>
              </w:rPr>
              <w:t>:</w:t>
            </w:r>
            <w:r w:rsidR="00F97F45" w:rsidRPr="00360B87">
              <w:rPr>
                <w:rFonts w:ascii="Cambria" w:hAnsi="Cambria"/>
                <w:sz w:val="20"/>
                <w:szCs w:val="20"/>
                <w:lang w:val="es-ES"/>
              </w:rPr>
              <w:t xml:space="preserve"> </w:t>
            </w:r>
            <w:r w:rsidR="005D1864" w:rsidRPr="00360B87">
              <w:rPr>
                <w:rFonts w:ascii="Cambria" w:hAnsi="Cambria"/>
                <w:sz w:val="20"/>
                <w:szCs w:val="20"/>
                <w:lang w:val="es-ES"/>
              </w:rPr>
              <w:t>La CIDH concluy</w:t>
            </w:r>
            <w:r w:rsidR="00AC11C3" w:rsidRPr="00360B87">
              <w:rPr>
                <w:rFonts w:ascii="Cambria" w:hAnsi="Cambria"/>
                <w:sz w:val="20"/>
                <w:szCs w:val="20"/>
                <w:lang w:val="es-ES"/>
              </w:rPr>
              <w:t>ó</w:t>
            </w:r>
            <w:r w:rsidR="005D1864" w:rsidRPr="00360B87">
              <w:rPr>
                <w:rFonts w:ascii="Cambria" w:hAnsi="Cambria"/>
                <w:sz w:val="20"/>
                <w:szCs w:val="20"/>
                <w:lang w:val="es-ES"/>
              </w:rPr>
              <w:t xml:space="preserve"> que el “Libro Negro de la Justicia Chilena”, escrito por la señora Alejandra Marcela Matus Acuña, fue incautado por orden judicial y su circulación estuvo prohibida por más de dos años. </w:t>
            </w:r>
            <w:r w:rsidR="00AC11C3" w:rsidRPr="00360B87">
              <w:rPr>
                <w:rFonts w:ascii="Cambria" w:hAnsi="Cambria"/>
                <w:sz w:val="20"/>
                <w:szCs w:val="20"/>
                <w:lang w:val="es-ES"/>
              </w:rPr>
              <w:t>Concluyó</w:t>
            </w:r>
            <w:r w:rsidR="005D1864" w:rsidRPr="00360B87">
              <w:rPr>
                <w:rFonts w:ascii="Cambria" w:hAnsi="Cambria"/>
                <w:sz w:val="20"/>
                <w:szCs w:val="20"/>
                <w:lang w:val="es-ES"/>
              </w:rPr>
              <w:t>, asimismo, que la señora Matus Acuña fue sometida a un proceso judicial que la obligó a salir de su país para evitar ser privada de su libertad. Asimismo, establec</w:t>
            </w:r>
            <w:r w:rsidR="00AC11C3" w:rsidRPr="00360B87">
              <w:rPr>
                <w:rFonts w:ascii="Cambria" w:hAnsi="Cambria"/>
                <w:sz w:val="20"/>
                <w:szCs w:val="20"/>
                <w:lang w:val="es-ES"/>
              </w:rPr>
              <w:t xml:space="preserve">ió </w:t>
            </w:r>
            <w:r w:rsidR="005D1864" w:rsidRPr="00360B87">
              <w:rPr>
                <w:rFonts w:ascii="Cambria" w:hAnsi="Cambria"/>
                <w:sz w:val="20"/>
                <w:szCs w:val="20"/>
                <w:lang w:val="es-ES"/>
              </w:rPr>
              <w:t>que se privó a la sociedad chilena del derecho al acceso a la información. </w:t>
            </w:r>
            <w:r w:rsidR="00AC11C3" w:rsidRPr="00360B87">
              <w:rPr>
                <w:rFonts w:ascii="Cambria" w:hAnsi="Cambria"/>
                <w:sz w:val="20"/>
                <w:szCs w:val="20"/>
                <w:lang w:val="es-ES"/>
              </w:rPr>
              <w:t>La Comisión concluyó</w:t>
            </w:r>
            <w:r w:rsidR="005D1864" w:rsidRPr="00360B87">
              <w:rPr>
                <w:rFonts w:ascii="Cambria" w:hAnsi="Cambria"/>
                <w:sz w:val="20"/>
                <w:szCs w:val="20"/>
                <w:lang w:val="es-ES"/>
              </w:rPr>
              <w:t xml:space="preserve"> que no se respetaron el derecho a la libertad de expresión y el derecho de propiedad. Los hechos establecidos en el presente informe </w:t>
            </w:r>
            <w:r w:rsidR="00AC11C3" w:rsidRPr="00360B87">
              <w:rPr>
                <w:rFonts w:ascii="Cambria" w:hAnsi="Cambria"/>
                <w:sz w:val="20"/>
                <w:szCs w:val="20"/>
                <w:lang w:val="es-ES"/>
              </w:rPr>
              <w:t xml:space="preserve">constituyeron </w:t>
            </w:r>
            <w:r w:rsidR="005D1864" w:rsidRPr="00360B87">
              <w:rPr>
                <w:rFonts w:ascii="Cambria" w:hAnsi="Cambria"/>
                <w:sz w:val="20"/>
                <w:szCs w:val="20"/>
                <w:lang w:val="es-ES"/>
              </w:rPr>
              <w:t>violaciones de los artículos 13 y 21 de la Convención Americana, todo ello en violación del deber de respeto y garantía consagrado en su artículo 1(1) y del deber de adecuar las normas del derecho interno a la misma Convención (artículo 2).</w:t>
            </w:r>
          </w:p>
          <w:p w14:paraId="16401F14" w14:textId="77777777" w:rsidR="001F03BB" w:rsidRDefault="001F03BB" w:rsidP="00467288">
            <w:pPr>
              <w:spacing w:after="0" w:line="240" w:lineRule="auto"/>
              <w:jc w:val="both"/>
              <w:rPr>
                <w:rFonts w:ascii="Cambria" w:hAnsi="Cambria"/>
                <w:sz w:val="20"/>
                <w:szCs w:val="20"/>
                <w:lang w:val="es-ES"/>
              </w:rPr>
            </w:pPr>
            <w:r w:rsidRPr="00360B87">
              <w:rPr>
                <w:rFonts w:ascii="Cambria" w:hAnsi="Cambria"/>
                <w:b/>
                <w:sz w:val="20"/>
                <w:szCs w:val="20"/>
                <w:lang w:val="es-ES"/>
              </w:rPr>
              <w:t>Estado de cumplimiento del caso:</w:t>
            </w:r>
            <w:r w:rsidRPr="00360B87">
              <w:rPr>
                <w:rFonts w:ascii="Cambria" w:hAnsi="Cambria"/>
                <w:sz w:val="20"/>
                <w:szCs w:val="20"/>
                <w:lang w:val="es-ES"/>
              </w:rPr>
              <w:t xml:space="preserve"> Cumplimiento total (</w:t>
            </w:r>
            <w:hyperlink r:id="rId10" w:history="1">
              <w:r w:rsidRPr="00360B87">
                <w:rPr>
                  <w:rStyle w:val="Hyperlink"/>
                  <w:rFonts w:ascii="Cambria" w:hAnsi="Cambria"/>
                  <w:color w:val="auto"/>
                  <w:sz w:val="20"/>
                  <w:szCs w:val="20"/>
                  <w:lang w:val="es-ES"/>
                </w:rPr>
                <w:t>Informe Anual 2008</w:t>
              </w:r>
            </w:hyperlink>
            <w:r w:rsidRPr="00360B87">
              <w:rPr>
                <w:rFonts w:ascii="Cambria" w:hAnsi="Cambria"/>
                <w:sz w:val="20"/>
                <w:szCs w:val="20"/>
                <w:lang w:val="es-ES"/>
              </w:rPr>
              <w:t>)</w:t>
            </w:r>
          </w:p>
          <w:p w14:paraId="39AF0D5F" w14:textId="798FA1D3" w:rsidR="00467288" w:rsidRPr="00360B87" w:rsidRDefault="00467288" w:rsidP="00467288">
            <w:pPr>
              <w:spacing w:after="0" w:line="240" w:lineRule="auto"/>
              <w:jc w:val="both"/>
              <w:rPr>
                <w:rFonts w:ascii="Cambria" w:hAnsi="Cambria"/>
                <w:sz w:val="20"/>
                <w:szCs w:val="20"/>
                <w:lang w:val="es-ES"/>
              </w:rPr>
            </w:pPr>
            <w:bookmarkStart w:id="0" w:name="_GoBack"/>
            <w:bookmarkEnd w:id="0"/>
          </w:p>
        </w:tc>
      </w:tr>
    </w:tbl>
    <w:p w14:paraId="33C97B29" w14:textId="77777777" w:rsidR="00D70EA9" w:rsidRPr="00360B87" w:rsidRDefault="00D70EA9" w:rsidP="00D70EA9">
      <w:pPr>
        <w:spacing w:after="0" w:line="240" w:lineRule="auto"/>
        <w:ind w:left="180"/>
        <w:rPr>
          <w:rFonts w:ascii="Cambria" w:hAnsi="Cambria"/>
          <w:sz w:val="20"/>
          <w:szCs w:val="20"/>
          <w:lang w:val="es-ES"/>
        </w:rPr>
      </w:pPr>
    </w:p>
    <w:p w14:paraId="5386A74A" w14:textId="77777777" w:rsidR="00D70EA9" w:rsidRPr="00360B87" w:rsidRDefault="00B4501B" w:rsidP="00BD2642">
      <w:pPr>
        <w:numPr>
          <w:ilvl w:val="0"/>
          <w:numId w:val="1"/>
        </w:numPr>
        <w:spacing w:after="0" w:line="240" w:lineRule="auto"/>
        <w:ind w:left="1440"/>
        <w:jc w:val="both"/>
        <w:rPr>
          <w:rFonts w:ascii="Cambria" w:hAnsi="Cambria" w:cs="Calibri Light"/>
          <w:b/>
          <w:sz w:val="20"/>
          <w:szCs w:val="20"/>
          <w:lang w:val="es-ES"/>
        </w:rPr>
      </w:pPr>
      <w:r w:rsidRPr="00360B87">
        <w:rPr>
          <w:rFonts w:ascii="Cambria" w:hAnsi="Cambria" w:cs="Calibri Light"/>
          <w:b/>
          <w:sz w:val="20"/>
          <w:szCs w:val="20"/>
          <w:lang w:val="es-ES"/>
        </w:rPr>
        <w:t>Recomendaciones</w:t>
      </w:r>
      <w:r w:rsidR="00D70EA9" w:rsidRPr="00360B87">
        <w:rPr>
          <w:rFonts w:ascii="Cambria" w:hAnsi="Cambria" w:cs="Calibri Light"/>
          <w:b/>
          <w:sz w:val="20"/>
          <w:szCs w:val="20"/>
          <w:lang w:val="es-ES"/>
        </w:rPr>
        <w:t xml:space="preserve"> </w:t>
      </w:r>
    </w:p>
    <w:p w14:paraId="6FCCA217" w14:textId="77777777" w:rsidR="00D70EA9" w:rsidRPr="00360B87" w:rsidRDefault="00D70EA9" w:rsidP="00D70EA9">
      <w:pPr>
        <w:spacing w:after="0" w:line="240" w:lineRule="auto"/>
        <w:ind w:left="1080"/>
        <w:jc w:val="both"/>
        <w:rPr>
          <w:rFonts w:ascii="Cambria" w:hAnsi="Cambria" w:cs="Calibri Light"/>
          <w:sz w:val="20"/>
          <w:szCs w:val="20"/>
          <w:lang w:val="es-E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250"/>
      </w:tblGrid>
      <w:tr w:rsidR="00D70EA9" w:rsidRPr="00360B87" w14:paraId="7CA94F51" w14:textId="77777777" w:rsidTr="00D74A19">
        <w:tc>
          <w:tcPr>
            <w:tcW w:w="7290" w:type="dxa"/>
            <w:shd w:val="clear" w:color="auto" w:fill="auto"/>
            <w:vAlign w:val="center"/>
          </w:tcPr>
          <w:p w14:paraId="18732EE4" w14:textId="77777777" w:rsidR="00D70EA9" w:rsidRPr="00360B87" w:rsidRDefault="00B4501B" w:rsidP="00CB3AFA">
            <w:pPr>
              <w:spacing w:after="0" w:line="240" w:lineRule="auto"/>
              <w:jc w:val="center"/>
              <w:rPr>
                <w:rFonts w:ascii="Cambria" w:hAnsi="Cambria" w:cs="Calibri Light"/>
                <w:b/>
                <w:sz w:val="18"/>
                <w:szCs w:val="18"/>
                <w:lang w:val="es-ES"/>
              </w:rPr>
            </w:pPr>
            <w:r w:rsidRPr="00360B87">
              <w:rPr>
                <w:rFonts w:ascii="Cambria" w:hAnsi="Cambria" w:cs="Calibri Light"/>
                <w:b/>
                <w:sz w:val="18"/>
                <w:szCs w:val="18"/>
                <w:lang w:val="es-ES"/>
              </w:rPr>
              <w:t>Recomendaciones</w:t>
            </w:r>
          </w:p>
        </w:tc>
        <w:tc>
          <w:tcPr>
            <w:tcW w:w="2250" w:type="dxa"/>
            <w:shd w:val="clear" w:color="auto" w:fill="auto"/>
            <w:vAlign w:val="center"/>
          </w:tcPr>
          <w:p w14:paraId="15DA8EE9" w14:textId="15EE2976" w:rsidR="00D70EA9" w:rsidRPr="00360B87" w:rsidRDefault="00B4501B" w:rsidP="00646E46">
            <w:pPr>
              <w:spacing w:after="0" w:line="240" w:lineRule="auto"/>
              <w:jc w:val="center"/>
              <w:rPr>
                <w:rFonts w:ascii="Cambria" w:hAnsi="Cambria" w:cs="Calibri Light"/>
                <w:b/>
                <w:sz w:val="18"/>
                <w:szCs w:val="18"/>
                <w:lang w:val="es-ES"/>
              </w:rPr>
            </w:pPr>
            <w:r w:rsidRPr="00360B87">
              <w:rPr>
                <w:rFonts w:ascii="Cambria" w:hAnsi="Cambria" w:cs="Calibri Light"/>
                <w:b/>
                <w:sz w:val="18"/>
                <w:szCs w:val="18"/>
                <w:lang w:val="es-ES"/>
              </w:rPr>
              <w:t xml:space="preserve">Estado de cumplimiento </w:t>
            </w:r>
          </w:p>
        </w:tc>
      </w:tr>
      <w:tr w:rsidR="00D70EA9" w:rsidRPr="00360B87" w14:paraId="0CF911AF" w14:textId="77777777" w:rsidTr="00D74A19">
        <w:tc>
          <w:tcPr>
            <w:tcW w:w="7290" w:type="dxa"/>
            <w:shd w:val="clear" w:color="auto" w:fill="auto"/>
          </w:tcPr>
          <w:p w14:paraId="0654CBFE" w14:textId="77777777" w:rsidR="00D70EA9" w:rsidRPr="00360B87" w:rsidRDefault="00A8092D" w:rsidP="00CB3AFA">
            <w:pPr>
              <w:spacing w:after="0" w:line="240" w:lineRule="auto"/>
              <w:jc w:val="both"/>
              <w:rPr>
                <w:rFonts w:ascii="Cambria" w:hAnsi="Cambria" w:cs="Calibri"/>
                <w:sz w:val="18"/>
                <w:szCs w:val="18"/>
                <w:lang w:val="es-ES"/>
              </w:rPr>
            </w:pPr>
            <w:r w:rsidRPr="00360B87">
              <w:rPr>
                <w:rFonts w:ascii="Cambria" w:hAnsi="Cambria" w:cs="Calibri"/>
                <w:sz w:val="18"/>
                <w:szCs w:val="18"/>
                <w:lang w:val="es-ES"/>
              </w:rPr>
              <w:t>1.</w:t>
            </w:r>
            <w:r w:rsidR="000D2C99" w:rsidRPr="00360B87">
              <w:rPr>
                <w:rFonts w:ascii="Cambria" w:hAnsi="Cambria"/>
                <w:color w:val="000000"/>
                <w:sz w:val="18"/>
                <w:szCs w:val="18"/>
                <w:lang w:val="es-ES"/>
              </w:rPr>
              <w:t> </w:t>
            </w:r>
            <w:r w:rsidR="00B549E1" w:rsidRPr="00360B87">
              <w:rPr>
                <w:rFonts w:ascii="Cambria" w:hAnsi="Cambria"/>
                <w:sz w:val="18"/>
                <w:szCs w:val="18"/>
                <w:lang w:val="es-ES"/>
              </w:rPr>
              <w:t>Reparar adecuadamente a Alejandra Marcela Matus Acuña por las consecuencias de las violaciones a los derechos de libertad de expresión y de propiedad, en perjuicio de la periodista Alejandra Matus Acuña</w:t>
            </w:r>
            <w:r w:rsidR="00E306C5" w:rsidRPr="00360B87">
              <w:rPr>
                <w:rFonts w:ascii="Cambria" w:hAnsi="Cambria"/>
                <w:sz w:val="18"/>
                <w:szCs w:val="18"/>
                <w:lang w:val="es-ES"/>
              </w:rPr>
              <w:t>.</w:t>
            </w:r>
          </w:p>
        </w:tc>
        <w:tc>
          <w:tcPr>
            <w:tcW w:w="2250" w:type="dxa"/>
            <w:shd w:val="clear" w:color="auto" w:fill="auto"/>
            <w:vAlign w:val="center"/>
          </w:tcPr>
          <w:p w14:paraId="7E228299" w14:textId="58410906" w:rsidR="00D70EA9" w:rsidRPr="00360B87" w:rsidRDefault="00B07540" w:rsidP="00284AB5">
            <w:pPr>
              <w:spacing w:after="0" w:line="240" w:lineRule="auto"/>
              <w:jc w:val="center"/>
              <w:rPr>
                <w:rFonts w:ascii="Cambria" w:hAnsi="Cambria" w:cs="Calibri"/>
                <w:sz w:val="18"/>
                <w:szCs w:val="18"/>
                <w:lang w:val="es-ES"/>
              </w:rPr>
            </w:pPr>
            <w:r w:rsidRPr="00360B87">
              <w:rPr>
                <w:rFonts w:ascii="Cambria" w:hAnsi="Cambria" w:cs="Calibri"/>
                <w:color w:val="000000"/>
                <w:sz w:val="18"/>
                <w:szCs w:val="18"/>
                <w:lang w:val="es-ES"/>
              </w:rPr>
              <w:t>Cumplimiento total</w:t>
            </w:r>
            <w:r w:rsidR="00C90F2B">
              <w:rPr>
                <w:rStyle w:val="FootnoteReference"/>
                <w:rFonts w:ascii="Cambria" w:hAnsi="Cambria" w:cs="Calibri"/>
                <w:color w:val="000000"/>
                <w:sz w:val="18"/>
                <w:szCs w:val="18"/>
                <w:lang w:val="es-ES"/>
              </w:rPr>
              <w:footnoteReference w:id="1"/>
            </w:r>
          </w:p>
        </w:tc>
      </w:tr>
    </w:tbl>
    <w:p w14:paraId="4A2821D8" w14:textId="2EFA21A3" w:rsidR="001551A8" w:rsidRDefault="001551A8" w:rsidP="001551A8">
      <w:pPr>
        <w:pStyle w:val="ListParagraph"/>
        <w:spacing w:after="0" w:line="240" w:lineRule="auto"/>
        <w:ind w:left="1440"/>
        <w:jc w:val="both"/>
        <w:rPr>
          <w:rFonts w:ascii="Cambria" w:hAnsi="Cambria" w:cs="Calibri Light"/>
          <w:sz w:val="20"/>
          <w:szCs w:val="20"/>
          <w:lang w:val="es-ES"/>
        </w:rPr>
      </w:pPr>
    </w:p>
    <w:p w14:paraId="4CE927A8" w14:textId="27A32FC6" w:rsidR="00C90F2B" w:rsidRDefault="00C90F2B" w:rsidP="001551A8">
      <w:pPr>
        <w:pStyle w:val="ListParagraph"/>
        <w:spacing w:after="0" w:line="240" w:lineRule="auto"/>
        <w:ind w:left="1440"/>
        <w:jc w:val="both"/>
        <w:rPr>
          <w:rFonts w:ascii="Cambria" w:hAnsi="Cambria" w:cs="Calibri Light"/>
          <w:sz w:val="20"/>
          <w:szCs w:val="20"/>
          <w:lang w:val="es-ES"/>
        </w:rPr>
      </w:pPr>
    </w:p>
    <w:p w14:paraId="3A6C8D4E" w14:textId="17AC0694" w:rsidR="00C90F2B" w:rsidRDefault="00C90F2B" w:rsidP="001551A8">
      <w:pPr>
        <w:pStyle w:val="ListParagraph"/>
        <w:spacing w:after="0" w:line="240" w:lineRule="auto"/>
        <w:ind w:left="1440"/>
        <w:jc w:val="both"/>
        <w:rPr>
          <w:rFonts w:ascii="Cambria" w:hAnsi="Cambria" w:cs="Calibri Light"/>
          <w:sz w:val="20"/>
          <w:szCs w:val="20"/>
          <w:lang w:val="es-ES"/>
        </w:rPr>
      </w:pPr>
    </w:p>
    <w:p w14:paraId="3D8525DF" w14:textId="77777777" w:rsidR="00C90F2B" w:rsidRPr="00360B87" w:rsidRDefault="00C90F2B" w:rsidP="001551A8">
      <w:pPr>
        <w:pStyle w:val="ListParagraph"/>
        <w:spacing w:after="0" w:line="240" w:lineRule="auto"/>
        <w:ind w:left="1440"/>
        <w:jc w:val="both"/>
        <w:rPr>
          <w:rFonts w:ascii="Cambria" w:hAnsi="Cambria" w:cs="Calibri Light"/>
          <w:sz w:val="20"/>
          <w:szCs w:val="20"/>
          <w:lang w:val="es-ES"/>
        </w:rPr>
      </w:pPr>
    </w:p>
    <w:p w14:paraId="00A728F3" w14:textId="77777777" w:rsidR="00D70EA9" w:rsidRPr="00360B87" w:rsidRDefault="00B4501B" w:rsidP="001924E0">
      <w:pPr>
        <w:pStyle w:val="ListParagraph"/>
        <w:numPr>
          <w:ilvl w:val="0"/>
          <w:numId w:val="1"/>
        </w:numPr>
        <w:spacing w:after="0" w:line="240" w:lineRule="auto"/>
        <w:ind w:left="1440"/>
        <w:jc w:val="both"/>
        <w:rPr>
          <w:rFonts w:ascii="Cambria" w:hAnsi="Cambria" w:cs="Calibri Light"/>
          <w:b/>
          <w:sz w:val="20"/>
          <w:szCs w:val="20"/>
          <w:lang w:val="es-ES"/>
        </w:rPr>
      </w:pPr>
      <w:r w:rsidRPr="00360B87">
        <w:rPr>
          <w:rFonts w:ascii="Cambria" w:hAnsi="Cambria"/>
          <w:b/>
          <w:sz w:val="20"/>
          <w:szCs w:val="20"/>
          <w:lang w:val="es-ES"/>
        </w:rPr>
        <w:t>Actividad Procesal</w:t>
      </w:r>
    </w:p>
    <w:p w14:paraId="27DA9EB6" w14:textId="77777777" w:rsidR="00D74A19" w:rsidRPr="00360B87" w:rsidRDefault="00D74A19" w:rsidP="00D74A19">
      <w:pPr>
        <w:spacing w:after="0" w:line="240" w:lineRule="auto"/>
        <w:ind w:left="720"/>
        <w:jc w:val="both"/>
        <w:rPr>
          <w:rFonts w:ascii="Cambria" w:hAnsi="Cambria" w:cs="Calibri Light"/>
          <w:sz w:val="20"/>
          <w:szCs w:val="20"/>
          <w:lang w:val="es-ES"/>
        </w:rPr>
      </w:pPr>
    </w:p>
    <w:p w14:paraId="438279CA" w14:textId="77777777" w:rsidR="00773DA9" w:rsidRPr="00360B87" w:rsidRDefault="009562AC" w:rsidP="00B4501B">
      <w:pPr>
        <w:numPr>
          <w:ilvl w:val="0"/>
          <w:numId w:val="3"/>
        </w:numPr>
        <w:spacing w:after="0" w:line="240" w:lineRule="auto"/>
        <w:ind w:left="0" w:firstLine="720"/>
        <w:jc w:val="both"/>
        <w:rPr>
          <w:rFonts w:ascii="Cambria" w:hAnsi="Cambria" w:cs="Calibri Light"/>
          <w:sz w:val="20"/>
          <w:szCs w:val="20"/>
          <w:lang w:val="es-ES"/>
        </w:rPr>
      </w:pPr>
      <w:r w:rsidRPr="00360B87">
        <w:rPr>
          <w:rFonts w:ascii="Cambria" w:hAnsi="Cambria"/>
          <w:sz w:val="20"/>
          <w:szCs w:val="20"/>
          <w:lang w:val="es-ES" w:eastAsia="es-ES_tradnl"/>
        </w:rPr>
        <w:t xml:space="preserve">La CIDH solicitó información actualizada sobre el cumplimiento a las partes en 2006, el </w:t>
      </w:r>
      <w:r w:rsidR="00304620" w:rsidRPr="00360B87">
        <w:rPr>
          <w:rFonts w:ascii="Cambria" w:hAnsi="Cambria"/>
          <w:sz w:val="20"/>
          <w:szCs w:val="20"/>
          <w:lang w:val="es-ES" w:eastAsia="es-ES_tradnl"/>
        </w:rPr>
        <w:t>6 de noviembre de 2007</w:t>
      </w:r>
      <w:r w:rsidR="00961BE4" w:rsidRPr="00360B87">
        <w:rPr>
          <w:rFonts w:ascii="Cambria" w:hAnsi="Cambria"/>
          <w:sz w:val="20"/>
          <w:szCs w:val="20"/>
          <w:lang w:val="es-ES" w:eastAsia="es-ES_tradnl"/>
        </w:rPr>
        <w:t xml:space="preserve"> y</w:t>
      </w:r>
      <w:r w:rsidR="00681500" w:rsidRPr="00360B87">
        <w:rPr>
          <w:rFonts w:ascii="Cambria" w:hAnsi="Cambria"/>
          <w:sz w:val="20"/>
          <w:szCs w:val="20"/>
          <w:lang w:val="es-ES" w:eastAsia="es-ES_tradnl"/>
        </w:rPr>
        <w:t xml:space="preserve"> </w:t>
      </w:r>
      <w:r w:rsidRPr="00360B87">
        <w:rPr>
          <w:rFonts w:ascii="Cambria" w:hAnsi="Cambria"/>
          <w:sz w:val="20"/>
          <w:szCs w:val="20"/>
          <w:lang w:val="es-ES" w:eastAsia="es-ES_tradnl"/>
        </w:rPr>
        <w:t xml:space="preserve">el </w:t>
      </w:r>
      <w:r w:rsidR="00681500" w:rsidRPr="00360B87">
        <w:rPr>
          <w:rFonts w:ascii="Cambria" w:hAnsi="Cambria"/>
          <w:sz w:val="20"/>
          <w:szCs w:val="20"/>
          <w:lang w:val="es-ES" w:eastAsia="es-ES_tradnl"/>
        </w:rPr>
        <w:t>10 de noviembre de 2008</w:t>
      </w:r>
      <w:r w:rsidRPr="00360B87">
        <w:rPr>
          <w:rFonts w:ascii="Cambria" w:hAnsi="Cambria"/>
          <w:snapToGrid w:val="0"/>
          <w:sz w:val="20"/>
          <w:szCs w:val="20"/>
          <w:lang w:val="es-ES" w:eastAsia="es-ES_tradnl"/>
        </w:rPr>
        <w:t>.</w:t>
      </w:r>
      <w:r w:rsidR="00284AB5" w:rsidRPr="00360B87">
        <w:rPr>
          <w:rFonts w:ascii="Cambria" w:hAnsi="Cambria"/>
          <w:snapToGrid w:val="0"/>
          <w:sz w:val="20"/>
          <w:szCs w:val="20"/>
          <w:lang w:val="es-ES" w:eastAsia="es-ES_tradnl"/>
        </w:rPr>
        <w:t xml:space="preserve"> El Estado </w:t>
      </w:r>
      <w:r w:rsidR="00773DA9" w:rsidRPr="00360B87">
        <w:rPr>
          <w:rFonts w:ascii="Cambria" w:hAnsi="Cambria"/>
          <w:snapToGrid w:val="0"/>
          <w:sz w:val="20"/>
          <w:szCs w:val="20"/>
          <w:lang w:val="es-ES" w:eastAsia="es-ES_tradnl"/>
        </w:rPr>
        <w:t>proporcionó dicha</w:t>
      </w:r>
      <w:r w:rsidR="00284AB5" w:rsidRPr="00360B87">
        <w:rPr>
          <w:rFonts w:ascii="Cambria" w:hAnsi="Cambria"/>
          <w:snapToGrid w:val="0"/>
          <w:sz w:val="20"/>
          <w:szCs w:val="20"/>
          <w:lang w:val="es-ES" w:eastAsia="es-ES_tradnl"/>
        </w:rPr>
        <w:t xml:space="preserve"> información el</w:t>
      </w:r>
      <w:r w:rsidR="00F45BB2" w:rsidRPr="00360B87">
        <w:rPr>
          <w:rFonts w:ascii="Cambria" w:hAnsi="Cambria"/>
          <w:snapToGrid w:val="0"/>
          <w:sz w:val="20"/>
          <w:szCs w:val="20"/>
          <w:lang w:val="es-ES" w:eastAsia="es-ES_tradnl"/>
        </w:rPr>
        <w:t xml:space="preserve"> 19 de diciembre de 2007</w:t>
      </w:r>
      <w:r w:rsidR="004428C1" w:rsidRPr="00360B87">
        <w:rPr>
          <w:rFonts w:ascii="Cambria" w:hAnsi="Cambria"/>
          <w:snapToGrid w:val="0"/>
          <w:sz w:val="20"/>
          <w:szCs w:val="20"/>
          <w:lang w:val="es-ES" w:eastAsia="es-ES_tradnl"/>
        </w:rPr>
        <w:t xml:space="preserve"> y el</w:t>
      </w:r>
      <w:r w:rsidR="00681500" w:rsidRPr="00360B87">
        <w:rPr>
          <w:rFonts w:ascii="Cambria" w:hAnsi="Cambria"/>
          <w:snapToGrid w:val="0"/>
          <w:sz w:val="20"/>
          <w:szCs w:val="20"/>
          <w:lang w:val="es-ES" w:eastAsia="es-ES_tradnl"/>
        </w:rPr>
        <w:t xml:space="preserve"> 8 de octubre de 2008</w:t>
      </w:r>
      <w:r w:rsidR="00284AB5" w:rsidRPr="00360B87">
        <w:rPr>
          <w:rFonts w:ascii="Cambria" w:hAnsi="Cambria"/>
          <w:snapToGrid w:val="0"/>
          <w:sz w:val="20"/>
          <w:szCs w:val="20"/>
          <w:lang w:val="es-ES" w:eastAsia="es-ES_tradnl"/>
        </w:rPr>
        <w:t xml:space="preserve">. </w:t>
      </w:r>
    </w:p>
    <w:p w14:paraId="7E95240E" w14:textId="77777777" w:rsidR="00773DA9" w:rsidRPr="00360B87" w:rsidRDefault="00773DA9" w:rsidP="00773DA9">
      <w:pPr>
        <w:spacing w:after="0" w:line="240" w:lineRule="auto"/>
        <w:ind w:left="720"/>
        <w:jc w:val="both"/>
        <w:rPr>
          <w:rFonts w:ascii="Cambria" w:hAnsi="Cambria" w:cs="Calibri Light"/>
          <w:sz w:val="20"/>
          <w:szCs w:val="20"/>
          <w:lang w:val="es-ES"/>
        </w:rPr>
      </w:pPr>
    </w:p>
    <w:p w14:paraId="09077AF2" w14:textId="2C4047CE" w:rsidR="008B5BD7" w:rsidRPr="00360B87" w:rsidRDefault="00773DA9" w:rsidP="00B4501B">
      <w:pPr>
        <w:numPr>
          <w:ilvl w:val="0"/>
          <w:numId w:val="3"/>
        </w:numPr>
        <w:spacing w:after="0" w:line="240" w:lineRule="auto"/>
        <w:ind w:left="0" w:firstLine="720"/>
        <w:jc w:val="both"/>
        <w:rPr>
          <w:rFonts w:ascii="Cambria" w:hAnsi="Cambria" w:cs="Calibri Light"/>
          <w:sz w:val="20"/>
          <w:szCs w:val="20"/>
          <w:lang w:val="es-ES"/>
        </w:rPr>
      </w:pPr>
      <w:r w:rsidRPr="00360B87">
        <w:rPr>
          <w:rFonts w:ascii="Cambria" w:hAnsi="Cambria"/>
          <w:sz w:val="20"/>
          <w:szCs w:val="20"/>
          <w:lang w:val="es-ES" w:eastAsia="es-ES_tradnl"/>
        </w:rPr>
        <w:t>Por su parte, l</w:t>
      </w:r>
      <w:r w:rsidR="00284AB5" w:rsidRPr="00360B87">
        <w:rPr>
          <w:rFonts w:ascii="Cambria" w:hAnsi="Cambria"/>
          <w:sz w:val="20"/>
          <w:szCs w:val="20"/>
          <w:lang w:val="es-ES" w:eastAsia="es-ES_tradnl"/>
        </w:rPr>
        <w:t xml:space="preserve">os peticionarios remitieron información el </w:t>
      </w:r>
      <w:r w:rsidR="00681500" w:rsidRPr="00360B87">
        <w:rPr>
          <w:rFonts w:ascii="Cambria" w:hAnsi="Cambria"/>
          <w:sz w:val="20"/>
          <w:szCs w:val="20"/>
          <w:lang w:val="es-ES" w:eastAsia="es-ES_tradnl"/>
        </w:rPr>
        <w:t>5 de mayo de 2008</w:t>
      </w:r>
      <w:r w:rsidR="004428C1" w:rsidRPr="00360B87">
        <w:rPr>
          <w:rFonts w:ascii="Cambria" w:hAnsi="Cambria"/>
          <w:sz w:val="20"/>
          <w:szCs w:val="20"/>
          <w:lang w:val="es-ES" w:eastAsia="es-ES_tradnl"/>
        </w:rPr>
        <w:t xml:space="preserve"> y el 7 de enero de 2009.</w:t>
      </w:r>
    </w:p>
    <w:p w14:paraId="76A36D57" w14:textId="77777777" w:rsidR="00773DA9" w:rsidRPr="00360B87" w:rsidRDefault="00773DA9" w:rsidP="00773DA9">
      <w:pPr>
        <w:spacing w:after="0" w:line="240" w:lineRule="auto"/>
        <w:ind w:left="720"/>
        <w:jc w:val="both"/>
        <w:rPr>
          <w:rFonts w:ascii="Cambria" w:hAnsi="Cambria" w:cs="Calibri Light"/>
          <w:sz w:val="20"/>
          <w:szCs w:val="20"/>
          <w:lang w:val="es-ES"/>
        </w:rPr>
      </w:pPr>
    </w:p>
    <w:p w14:paraId="42327584" w14:textId="106E6849" w:rsidR="00773DA9" w:rsidRPr="00360B87" w:rsidRDefault="00773DA9" w:rsidP="00B4501B">
      <w:pPr>
        <w:numPr>
          <w:ilvl w:val="0"/>
          <w:numId w:val="3"/>
        </w:numPr>
        <w:spacing w:after="0" w:line="240" w:lineRule="auto"/>
        <w:ind w:left="0" w:firstLine="720"/>
        <w:jc w:val="both"/>
        <w:rPr>
          <w:rFonts w:ascii="Cambria" w:hAnsi="Cambria" w:cs="Calibri Light"/>
          <w:sz w:val="20"/>
          <w:szCs w:val="20"/>
          <w:lang w:val="es-ES"/>
        </w:rPr>
      </w:pPr>
      <w:r w:rsidRPr="00360B87">
        <w:rPr>
          <w:rFonts w:ascii="Cambria" w:hAnsi="Cambria" w:cs="Calibri Light"/>
          <w:sz w:val="20"/>
          <w:szCs w:val="20"/>
          <w:lang w:val="es-ES"/>
        </w:rPr>
        <w:t xml:space="preserve">El caso estuvo en la etapa de seguimiento de recomendaciones por 3 años. </w:t>
      </w:r>
    </w:p>
    <w:p w14:paraId="7F04582F" w14:textId="77777777" w:rsidR="00D70EA9" w:rsidRPr="00360B87" w:rsidRDefault="00D70EA9" w:rsidP="00D70EA9">
      <w:pPr>
        <w:spacing w:after="0" w:line="240" w:lineRule="auto"/>
        <w:rPr>
          <w:rFonts w:ascii="Cambria" w:hAnsi="Cambria"/>
          <w:color w:val="7030A0"/>
          <w:sz w:val="20"/>
          <w:szCs w:val="20"/>
          <w:lang w:val="es-ES"/>
        </w:rPr>
      </w:pPr>
    </w:p>
    <w:p w14:paraId="64B80975" w14:textId="77777777" w:rsidR="00BD2642" w:rsidRPr="00360B87" w:rsidRDefault="00B4501B" w:rsidP="00BD2642">
      <w:pPr>
        <w:numPr>
          <w:ilvl w:val="0"/>
          <w:numId w:val="1"/>
        </w:numPr>
        <w:spacing w:after="0" w:line="240" w:lineRule="auto"/>
        <w:ind w:left="1440"/>
        <w:contextualSpacing/>
        <w:jc w:val="both"/>
        <w:rPr>
          <w:rFonts w:ascii="Cambria" w:hAnsi="Cambria" w:cs="Calibri Light"/>
          <w:b/>
          <w:sz w:val="20"/>
          <w:szCs w:val="20"/>
          <w:lang w:val="es-ES"/>
        </w:rPr>
      </w:pPr>
      <w:r w:rsidRPr="00360B87">
        <w:rPr>
          <w:rFonts w:ascii="Cambria" w:hAnsi="Cambria" w:cs="Calibri Light"/>
          <w:b/>
          <w:sz w:val="20"/>
          <w:szCs w:val="20"/>
          <w:lang w:val="es-ES"/>
        </w:rPr>
        <w:t>Nivel del cumplimiento del caso</w:t>
      </w:r>
    </w:p>
    <w:p w14:paraId="034FB1D6" w14:textId="77777777" w:rsidR="008B5BD7" w:rsidRPr="00360B87" w:rsidRDefault="008B5BD7" w:rsidP="008B5BD7">
      <w:pPr>
        <w:spacing w:after="0" w:line="240" w:lineRule="auto"/>
        <w:jc w:val="both"/>
        <w:rPr>
          <w:rFonts w:ascii="Cambria" w:hAnsi="Cambria" w:cs="Calibri Light"/>
          <w:sz w:val="20"/>
          <w:szCs w:val="20"/>
          <w:lang w:val="es-ES"/>
        </w:rPr>
      </w:pPr>
    </w:p>
    <w:p w14:paraId="23661A89" w14:textId="77777777" w:rsidR="00BD27E6" w:rsidRPr="00360B87" w:rsidRDefault="004B43E5" w:rsidP="00E24D66">
      <w:pPr>
        <w:numPr>
          <w:ilvl w:val="0"/>
          <w:numId w:val="3"/>
        </w:numPr>
        <w:spacing w:after="0" w:line="240" w:lineRule="auto"/>
        <w:ind w:left="0" w:firstLine="720"/>
        <w:jc w:val="both"/>
        <w:rPr>
          <w:rFonts w:ascii="Cambria" w:hAnsi="Cambria"/>
          <w:sz w:val="20"/>
          <w:szCs w:val="20"/>
          <w:lang w:val="es-ES"/>
        </w:rPr>
      </w:pPr>
      <w:r w:rsidRPr="00360B87">
        <w:rPr>
          <w:rFonts w:ascii="Cambria" w:hAnsi="Cambria" w:cs="Calibri Light"/>
          <w:color w:val="000000"/>
          <w:sz w:val="20"/>
          <w:szCs w:val="20"/>
          <w:lang w:val="es-ES"/>
        </w:rPr>
        <w:t xml:space="preserve">La Comisión declaró el cumplimiento total del caso y el cese de supervisión de cumplimiento de la recomendación emitida en el Informe de Fondo </w:t>
      </w:r>
      <w:r w:rsidR="00BD27E6" w:rsidRPr="00360B87">
        <w:rPr>
          <w:rFonts w:ascii="Cambria" w:hAnsi="Cambria" w:cs="Calibri Light"/>
          <w:color w:val="000000"/>
          <w:sz w:val="20"/>
          <w:szCs w:val="20"/>
          <w:lang w:val="es-ES"/>
        </w:rPr>
        <w:t>Nº 90/05</w:t>
      </w:r>
      <w:r w:rsidRPr="00360B87">
        <w:rPr>
          <w:rFonts w:ascii="Cambria" w:hAnsi="Cambria" w:cs="Calibri Light"/>
          <w:color w:val="000000"/>
          <w:sz w:val="20"/>
          <w:szCs w:val="20"/>
          <w:lang w:val="es-ES"/>
        </w:rPr>
        <w:t xml:space="preserve"> </w:t>
      </w:r>
      <w:r w:rsidR="00920EF7" w:rsidRPr="00360B87">
        <w:rPr>
          <w:rFonts w:ascii="Cambria" w:hAnsi="Cambria" w:cs="Calibri Light"/>
          <w:color w:val="000000"/>
          <w:sz w:val="20"/>
          <w:szCs w:val="20"/>
          <w:lang w:val="es-ES"/>
        </w:rPr>
        <w:t>en el Informe Anual 2008</w:t>
      </w:r>
      <w:r w:rsidR="00CF1F08" w:rsidRPr="00360B87">
        <w:rPr>
          <w:rStyle w:val="FootnoteReference"/>
          <w:rFonts w:ascii="Cambria" w:hAnsi="Cambria" w:cs="Calibri Light"/>
          <w:color w:val="000000"/>
          <w:sz w:val="20"/>
          <w:szCs w:val="20"/>
          <w:lang w:val="es-ES"/>
        </w:rPr>
        <w:footnoteReference w:id="2"/>
      </w:r>
      <w:r w:rsidR="00CF1F08" w:rsidRPr="00360B87">
        <w:rPr>
          <w:rFonts w:ascii="Cambria" w:hAnsi="Cambria" w:cs="Calibri Light"/>
          <w:color w:val="000000"/>
          <w:sz w:val="20"/>
          <w:szCs w:val="20"/>
          <w:lang w:val="es-ES"/>
        </w:rPr>
        <w:t>.</w:t>
      </w:r>
    </w:p>
    <w:p w14:paraId="1F14D1AA" w14:textId="77777777" w:rsidR="002377B1" w:rsidRPr="00360B87" w:rsidRDefault="002377B1" w:rsidP="002377B1">
      <w:pPr>
        <w:spacing w:after="0" w:line="240" w:lineRule="auto"/>
        <w:ind w:left="720"/>
        <w:jc w:val="both"/>
        <w:rPr>
          <w:rFonts w:ascii="Cambria" w:hAnsi="Cambria"/>
          <w:color w:val="7030A0"/>
          <w:sz w:val="20"/>
          <w:szCs w:val="20"/>
          <w:lang w:val="es-ES"/>
        </w:rPr>
      </w:pPr>
    </w:p>
    <w:p w14:paraId="7CBC33B5" w14:textId="77777777" w:rsidR="00D70EA9" w:rsidRPr="00360B87" w:rsidRDefault="00B4501B" w:rsidP="0092660C">
      <w:pPr>
        <w:numPr>
          <w:ilvl w:val="0"/>
          <w:numId w:val="1"/>
        </w:numPr>
        <w:spacing w:after="0" w:line="240" w:lineRule="auto"/>
        <w:ind w:left="1440"/>
        <w:contextualSpacing/>
        <w:jc w:val="both"/>
        <w:rPr>
          <w:rFonts w:ascii="Cambria" w:hAnsi="Cambria" w:cs="Calibri Light"/>
          <w:b/>
          <w:sz w:val="20"/>
          <w:szCs w:val="20"/>
          <w:lang w:val="es-ES"/>
        </w:rPr>
      </w:pPr>
      <w:r w:rsidRPr="00360B87">
        <w:rPr>
          <w:rFonts w:ascii="Cambria" w:hAnsi="Cambria" w:cs="Calibri Light"/>
          <w:b/>
          <w:sz w:val="20"/>
          <w:szCs w:val="20"/>
          <w:lang w:val="es-ES"/>
        </w:rPr>
        <w:t>Resultados individuales y estructurales del caso</w:t>
      </w:r>
      <w:r w:rsidR="00D70EA9" w:rsidRPr="00360B87">
        <w:rPr>
          <w:rFonts w:ascii="Cambria" w:hAnsi="Cambria" w:cs="Calibri Light"/>
          <w:b/>
          <w:sz w:val="20"/>
          <w:szCs w:val="20"/>
          <w:lang w:val="es-ES"/>
        </w:rPr>
        <w:t xml:space="preserve"> </w:t>
      </w:r>
    </w:p>
    <w:p w14:paraId="5B18957F" w14:textId="77777777" w:rsidR="00BD2642" w:rsidRPr="00360B87" w:rsidRDefault="00BD2642" w:rsidP="00BD2642">
      <w:pPr>
        <w:spacing w:after="0" w:line="240" w:lineRule="auto"/>
        <w:contextualSpacing/>
        <w:jc w:val="both"/>
        <w:rPr>
          <w:rFonts w:ascii="Cambria" w:hAnsi="Cambria" w:cs="Calibri Light"/>
          <w:color w:val="7030A0"/>
          <w:sz w:val="20"/>
          <w:szCs w:val="20"/>
          <w:lang w:val="es-ES"/>
        </w:rPr>
      </w:pPr>
    </w:p>
    <w:p w14:paraId="592C14F5" w14:textId="77777777" w:rsidR="00BD2642" w:rsidRPr="00360B87" w:rsidRDefault="00E24D66" w:rsidP="00BD2642">
      <w:pPr>
        <w:numPr>
          <w:ilvl w:val="0"/>
          <w:numId w:val="13"/>
        </w:numPr>
        <w:spacing w:after="0" w:line="240" w:lineRule="auto"/>
        <w:jc w:val="both"/>
        <w:rPr>
          <w:rFonts w:ascii="Cambria" w:hAnsi="Cambria" w:cs="Calibri Light"/>
          <w:sz w:val="20"/>
          <w:szCs w:val="20"/>
          <w:lang w:val="es-ES"/>
        </w:rPr>
      </w:pPr>
      <w:r w:rsidRPr="00360B87">
        <w:rPr>
          <w:rFonts w:ascii="Cambria" w:hAnsi="Cambria"/>
          <w:sz w:val="20"/>
          <w:szCs w:val="20"/>
          <w:lang w:val="es-ES"/>
        </w:rPr>
        <w:t>En esta sección se destacan los resultados individuales y estructurales del caso que han sido informados por las partes</w:t>
      </w:r>
      <w:r w:rsidR="00BD2642" w:rsidRPr="00360B87">
        <w:rPr>
          <w:rFonts w:ascii="Cambria" w:hAnsi="Cambria" w:cs="Calibri Light"/>
          <w:sz w:val="20"/>
          <w:szCs w:val="20"/>
          <w:lang w:val="es-ES"/>
        </w:rPr>
        <w:t>.</w:t>
      </w:r>
    </w:p>
    <w:p w14:paraId="0B2CE375" w14:textId="77777777" w:rsidR="00D70EA9" w:rsidRPr="00360B87" w:rsidRDefault="00D70EA9" w:rsidP="00D70EA9">
      <w:pPr>
        <w:spacing w:after="0" w:line="240" w:lineRule="auto"/>
        <w:jc w:val="both"/>
        <w:rPr>
          <w:rFonts w:ascii="Cambria" w:hAnsi="Cambria" w:cs="Calibri Light"/>
          <w:b/>
          <w:sz w:val="20"/>
          <w:szCs w:val="20"/>
          <w:lang w:val="es-ES"/>
        </w:rPr>
      </w:pPr>
    </w:p>
    <w:p w14:paraId="541EBAEC" w14:textId="77777777" w:rsidR="00BD2642" w:rsidRPr="00360B87" w:rsidRDefault="00B4501B" w:rsidP="00BD2642">
      <w:pPr>
        <w:numPr>
          <w:ilvl w:val="0"/>
          <w:numId w:val="2"/>
        </w:numPr>
        <w:spacing w:after="0" w:line="240" w:lineRule="auto"/>
        <w:ind w:left="1440" w:hanging="720"/>
        <w:contextualSpacing/>
        <w:jc w:val="both"/>
        <w:rPr>
          <w:rFonts w:ascii="Cambria" w:hAnsi="Cambria" w:cs="Calibri Light"/>
          <w:b/>
          <w:sz w:val="20"/>
          <w:szCs w:val="20"/>
          <w:lang w:val="es-ES"/>
        </w:rPr>
      </w:pPr>
      <w:r w:rsidRPr="00360B87">
        <w:rPr>
          <w:rFonts w:ascii="Cambria" w:hAnsi="Cambria" w:cs="Calibri Light"/>
          <w:b/>
          <w:sz w:val="20"/>
          <w:szCs w:val="20"/>
          <w:lang w:val="es-ES"/>
        </w:rPr>
        <w:t>Resultados individuales del caso</w:t>
      </w:r>
    </w:p>
    <w:p w14:paraId="39F5CB26" w14:textId="77777777" w:rsidR="00D70EA9" w:rsidRPr="00360B87" w:rsidRDefault="00D70EA9" w:rsidP="00D70EA9">
      <w:pPr>
        <w:spacing w:after="0" w:line="240" w:lineRule="auto"/>
        <w:jc w:val="both"/>
        <w:rPr>
          <w:rFonts w:ascii="Cambria" w:hAnsi="Cambria" w:cs="Calibri Light"/>
          <w:sz w:val="20"/>
          <w:szCs w:val="20"/>
          <w:lang w:val="es-ES"/>
        </w:rPr>
      </w:pPr>
    </w:p>
    <w:p w14:paraId="257F3B5C" w14:textId="77777777" w:rsidR="0093147A" w:rsidRPr="00360B87" w:rsidRDefault="0093147A" w:rsidP="0093147A">
      <w:pPr>
        <w:spacing w:after="0" w:line="240" w:lineRule="auto"/>
        <w:jc w:val="both"/>
        <w:rPr>
          <w:rFonts w:ascii="Cambria" w:eastAsiaTheme="minorHAnsi" w:hAnsi="Cambria" w:cstheme="minorBidi"/>
          <w:sz w:val="20"/>
          <w:szCs w:val="20"/>
          <w:lang w:val="es-ES"/>
        </w:rPr>
      </w:pPr>
      <w:r w:rsidRPr="00360B87">
        <w:rPr>
          <w:rFonts w:ascii="Cambria" w:hAnsi="Cambria"/>
          <w:i/>
          <w:sz w:val="20"/>
          <w:szCs w:val="20"/>
          <w:lang w:val="es-ES"/>
        </w:rPr>
        <w:t>Medidas de restitución en el ejercicio del derecho</w:t>
      </w:r>
    </w:p>
    <w:p w14:paraId="1D150800" w14:textId="4DE831BD" w:rsidR="00E306C5" w:rsidRPr="00360B87" w:rsidRDefault="00E306C5" w:rsidP="0093147A">
      <w:pPr>
        <w:pStyle w:val="ListParagraph"/>
        <w:numPr>
          <w:ilvl w:val="0"/>
          <w:numId w:val="16"/>
        </w:numPr>
        <w:spacing w:after="0" w:line="240" w:lineRule="auto"/>
        <w:jc w:val="both"/>
        <w:rPr>
          <w:rFonts w:ascii="Cambria" w:hAnsi="Cambria"/>
          <w:sz w:val="20"/>
          <w:szCs w:val="20"/>
          <w:lang w:val="es-ES"/>
        </w:rPr>
      </w:pPr>
      <w:r w:rsidRPr="00360B87">
        <w:rPr>
          <w:rFonts w:ascii="Cambria" w:hAnsi="Cambria"/>
          <w:sz w:val="20"/>
          <w:szCs w:val="20"/>
          <w:lang w:val="es-ES"/>
        </w:rPr>
        <w:t>El Estado promulgó la Ley Nº 19.733 por la que se derogó el delito del artículo 6(b) y las medidas de los artículos 16 de la Ley Nº 12.927</w:t>
      </w:r>
      <w:r w:rsidR="00DC2C76" w:rsidRPr="00360B87">
        <w:rPr>
          <w:rFonts w:ascii="Cambria" w:hAnsi="Cambria"/>
          <w:sz w:val="20"/>
          <w:szCs w:val="20"/>
          <w:lang w:val="es-ES"/>
        </w:rPr>
        <w:t xml:space="preserve"> </w:t>
      </w:r>
      <w:r w:rsidRPr="00360B87">
        <w:rPr>
          <w:rFonts w:ascii="Cambria" w:hAnsi="Cambria"/>
          <w:sz w:val="20"/>
          <w:szCs w:val="20"/>
          <w:lang w:val="es-ES"/>
        </w:rPr>
        <w:t>de Seguridad Interior del Estado y el artículo 41 de la Ley Nº 16.643 sobre Abusos de Publicidad, lo que posibilitó el sobreseimiento definitivo dictado en la causa penal en contra de Alejandra Marcela Matus Acuña y el levantamiento de las medidas de incautación y de prohibición que afectaron al libro de su autoría y dominio.</w:t>
      </w:r>
    </w:p>
    <w:p w14:paraId="4AE097BB" w14:textId="77777777" w:rsidR="00BD2642" w:rsidRPr="00360B87" w:rsidRDefault="00BD2642" w:rsidP="00BD2642">
      <w:pPr>
        <w:spacing w:after="0" w:line="240" w:lineRule="auto"/>
        <w:jc w:val="both"/>
        <w:rPr>
          <w:rFonts w:ascii="Cambria" w:hAnsi="Cambria" w:cs="Calibri Light"/>
          <w:sz w:val="20"/>
          <w:szCs w:val="20"/>
          <w:lang w:val="es-ES"/>
        </w:rPr>
      </w:pPr>
    </w:p>
    <w:p w14:paraId="2529AF76" w14:textId="77777777" w:rsidR="00BD2642" w:rsidRPr="00360B87" w:rsidRDefault="00E24D66" w:rsidP="00BD2642">
      <w:pPr>
        <w:spacing w:after="0" w:line="240" w:lineRule="auto"/>
        <w:jc w:val="both"/>
        <w:rPr>
          <w:rFonts w:ascii="Cambria" w:hAnsi="Cambria"/>
          <w:i/>
          <w:sz w:val="20"/>
          <w:szCs w:val="20"/>
          <w:lang w:val="es-ES"/>
        </w:rPr>
      </w:pPr>
      <w:r w:rsidRPr="00360B87">
        <w:rPr>
          <w:rFonts w:ascii="Cambria" w:hAnsi="Cambria"/>
          <w:i/>
          <w:sz w:val="20"/>
          <w:szCs w:val="20"/>
          <w:lang w:val="es-ES"/>
        </w:rPr>
        <w:t>Med</w:t>
      </w:r>
      <w:r w:rsidR="00E01C86" w:rsidRPr="00360B87">
        <w:rPr>
          <w:rFonts w:ascii="Cambria" w:hAnsi="Cambria"/>
          <w:i/>
          <w:sz w:val="20"/>
          <w:szCs w:val="20"/>
          <w:lang w:val="es-ES"/>
        </w:rPr>
        <w:t>idas de compensación pecuniaria</w:t>
      </w:r>
    </w:p>
    <w:p w14:paraId="4B3D0321" w14:textId="77777777" w:rsidR="002D5153" w:rsidRPr="00360B87" w:rsidRDefault="00FB6B75" w:rsidP="00FB6B75">
      <w:pPr>
        <w:numPr>
          <w:ilvl w:val="0"/>
          <w:numId w:val="5"/>
        </w:numPr>
        <w:spacing w:after="0" w:line="240" w:lineRule="auto"/>
        <w:jc w:val="both"/>
        <w:rPr>
          <w:rFonts w:ascii="Cambria" w:hAnsi="Cambria"/>
          <w:sz w:val="20"/>
          <w:szCs w:val="20"/>
          <w:lang w:val="es-ES"/>
        </w:rPr>
      </w:pPr>
      <w:r w:rsidRPr="00360B87">
        <w:rPr>
          <w:rFonts w:ascii="Cambria" w:hAnsi="Cambria"/>
          <w:sz w:val="20"/>
          <w:szCs w:val="20"/>
          <w:lang w:val="es-ES"/>
        </w:rPr>
        <w:t>Mediante Resolución N</w:t>
      </w:r>
      <w:r w:rsidR="00BB38DF" w:rsidRPr="00360B87">
        <w:rPr>
          <w:rFonts w:ascii="Cambria" w:hAnsi="Cambria"/>
          <w:sz w:val="20"/>
          <w:szCs w:val="20"/>
          <w:lang w:val="es-ES"/>
        </w:rPr>
        <w:t>º</w:t>
      </w:r>
      <w:r w:rsidRPr="00360B87">
        <w:rPr>
          <w:rFonts w:ascii="Cambria" w:hAnsi="Cambria"/>
          <w:sz w:val="20"/>
          <w:szCs w:val="20"/>
          <w:lang w:val="es-ES"/>
        </w:rPr>
        <w:t xml:space="preserve"> 3849 de</w:t>
      </w:r>
      <w:r w:rsidR="00BB38DF" w:rsidRPr="00360B87">
        <w:rPr>
          <w:rFonts w:ascii="Cambria" w:hAnsi="Cambria"/>
          <w:sz w:val="20"/>
          <w:szCs w:val="20"/>
          <w:lang w:val="es-ES"/>
        </w:rPr>
        <w:t>l</w:t>
      </w:r>
      <w:r w:rsidRPr="00360B87">
        <w:rPr>
          <w:rFonts w:ascii="Cambria" w:hAnsi="Cambria"/>
          <w:sz w:val="20"/>
          <w:szCs w:val="20"/>
          <w:lang w:val="es-ES"/>
        </w:rPr>
        <w:t xml:space="preserve"> 31 de diciembre de 2008, se otorg</w:t>
      </w:r>
      <w:r w:rsidR="00BB38DF" w:rsidRPr="00360B87">
        <w:rPr>
          <w:rFonts w:ascii="Cambria" w:hAnsi="Cambria"/>
          <w:sz w:val="20"/>
          <w:szCs w:val="20"/>
          <w:lang w:val="es-ES"/>
        </w:rPr>
        <w:t>ó a Alejandra Marcela Matus Acuñ</w:t>
      </w:r>
      <w:r w:rsidRPr="00360B87">
        <w:rPr>
          <w:rFonts w:ascii="Cambria" w:hAnsi="Cambria"/>
          <w:sz w:val="20"/>
          <w:szCs w:val="20"/>
          <w:lang w:val="es-ES"/>
        </w:rPr>
        <w:t>a 30 millones peso</w:t>
      </w:r>
      <w:r w:rsidR="00BB38DF" w:rsidRPr="00360B87">
        <w:rPr>
          <w:rFonts w:ascii="Cambria" w:hAnsi="Cambria"/>
          <w:sz w:val="20"/>
          <w:szCs w:val="20"/>
          <w:lang w:val="es-ES"/>
        </w:rPr>
        <w:t>s</w:t>
      </w:r>
      <w:r w:rsidRPr="00360B87">
        <w:rPr>
          <w:rFonts w:ascii="Cambria" w:hAnsi="Cambria"/>
          <w:sz w:val="20"/>
          <w:szCs w:val="20"/>
          <w:lang w:val="es-ES"/>
        </w:rPr>
        <w:t xml:space="preserve"> chilenos </w:t>
      </w:r>
      <w:r w:rsidR="00BB38DF" w:rsidRPr="00360B87">
        <w:rPr>
          <w:rFonts w:ascii="Cambria" w:hAnsi="Cambria"/>
          <w:sz w:val="20"/>
          <w:szCs w:val="20"/>
          <w:lang w:val="es-ES"/>
        </w:rPr>
        <w:t xml:space="preserve">como </w:t>
      </w:r>
      <w:r w:rsidRPr="00360B87">
        <w:rPr>
          <w:rFonts w:ascii="Cambria" w:hAnsi="Cambria"/>
          <w:sz w:val="20"/>
          <w:szCs w:val="20"/>
          <w:lang w:val="es-ES"/>
        </w:rPr>
        <w:t>indemnización</w:t>
      </w:r>
      <w:r w:rsidR="002D5153" w:rsidRPr="00360B87">
        <w:rPr>
          <w:rFonts w:ascii="Cambria" w:hAnsi="Cambria"/>
          <w:sz w:val="20"/>
          <w:szCs w:val="20"/>
          <w:lang w:val="es-ES"/>
        </w:rPr>
        <w:t>.</w:t>
      </w:r>
    </w:p>
    <w:p w14:paraId="7EADEAD7" w14:textId="77777777" w:rsidR="00486EDF" w:rsidRPr="00360B87" w:rsidRDefault="00486EDF" w:rsidP="002D5153">
      <w:pPr>
        <w:spacing w:after="0" w:line="240" w:lineRule="auto"/>
        <w:jc w:val="both"/>
        <w:rPr>
          <w:rFonts w:ascii="Cambria" w:hAnsi="Cambria" w:cs="Calibri Light"/>
          <w:sz w:val="20"/>
          <w:szCs w:val="20"/>
          <w:lang w:val="es-ES"/>
        </w:rPr>
      </w:pPr>
    </w:p>
    <w:p w14:paraId="711742D9" w14:textId="77777777" w:rsidR="00BD2642" w:rsidRPr="00360B87" w:rsidRDefault="00B4501B" w:rsidP="00E01C86">
      <w:pPr>
        <w:numPr>
          <w:ilvl w:val="0"/>
          <w:numId w:val="2"/>
        </w:numPr>
        <w:spacing w:after="0" w:line="240" w:lineRule="auto"/>
        <w:ind w:left="1440" w:hanging="720"/>
        <w:contextualSpacing/>
        <w:jc w:val="both"/>
        <w:rPr>
          <w:rFonts w:ascii="Cambria" w:hAnsi="Cambria" w:cs="Calibri Light"/>
          <w:b/>
          <w:sz w:val="20"/>
          <w:szCs w:val="20"/>
          <w:lang w:val="es-ES"/>
        </w:rPr>
      </w:pPr>
      <w:r w:rsidRPr="00360B87">
        <w:rPr>
          <w:rFonts w:ascii="Cambria" w:hAnsi="Cambria" w:cs="Calibri Light"/>
          <w:b/>
          <w:sz w:val="20"/>
          <w:szCs w:val="20"/>
          <w:lang w:val="es-ES"/>
        </w:rPr>
        <w:t>Resultados estructurales del caso</w:t>
      </w:r>
    </w:p>
    <w:p w14:paraId="246C6BB4" w14:textId="77777777" w:rsidR="00F733F6" w:rsidRPr="00360B87" w:rsidRDefault="00F733F6" w:rsidP="00423BAA">
      <w:pPr>
        <w:spacing w:after="0" w:line="240" w:lineRule="auto"/>
        <w:contextualSpacing/>
        <w:jc w:val="both"/>
        <w:rPr>
          <w:rFonts w:ascii="Cambria" w:hAnsi="Cambria"/>
          <w:sz w:val="20"/>
          <w:szCs w:val="20"/>
          <w:lang w:val="es-ES"/>
        </w:rPr>
      </w:pPr>
    </w:p>
    <w:p w14:paraId="6E6CAF61" w14:textId="77777777" w:rsidR="00F733F6" w:rsidRPr="00360B87" w:rsidRDefault="00E24D66" w:rsidP="00F733F6">
      <w:pPr>
        <w:spacing w:after="0" w:line="240" w:lineRule="auto"/>
        <w:contextualSpacing/>
        <w:jc w:val="both"/>
        <w:rPr>
          <w:rFonts w:ascii="Cambria" w:hAnsi="Cambria"/>
          <w:i/>
          <w:sz w:val="20"/>
          <w:szCs w:val="20"/>
          <w:lang w:val="es-ES"/>
        </w:rPr>
      </w:pPr>
      <w:r w:rsidRPr="00360B87">
        <w:rPr>
          <w:rFonts w:ascii="Cambria" w:hAnsi="Cambria"/>
          <w:i/>
          <w:sz w:val="20"/>
          <w:szCs w:val="20"/>
          <w:lang w:val="es-ES"/>
        </w:rPr>
        <w:t>Legislación/</w:t>
      </w:r>
      <w:r w:rsidR="00D90DC5" w:rsidRPr="00360B87">
        <w:rPr>
          <w:rFonts w:ascii="Cambria" w:hAnsi="Cambria"/>
          <w:i/>
          <w:sz w:val="20"/>
          <w:szCs w:val="20"/>
          <w:lang w:val="es-ES"/>
        </w:rPr>
        <w:t>Normativa</w:t>
      </w:r>
    </w:p>
    <w:p w14:paraId="5A911805" w14:textId="77777777" w:rsidR="00E24D66" w:rsidRPr="00360B87" w:rsidRDefault="00E00A4E" w:rsidP="00FB6B75">
      <w:pPr>
        <w:pStyle w:val="ListParagraph"/>
        <w:numPr>
          <w:ilvl w:val="0"/>
          <w:numId w:val="10"/>
        </w:numPr>
        <w:spacing w:after="0" w:line="240" w:lineRule="auto"/>
        <w:jc w:val="both"/>
        <w:rPr>
          <w:rFonts w:ascii="Cambria" w:hAnsi="Cambria"/>
          <w:b/>
          <w:sz w:val="20"/>
          <w:szCs w:val="20"/>
          <w:lang w:val="es-ES"/>
        </w:rPr>
      </w:pPr>
      <w:r w:rsidRPr="00360B87">
        <w:rPr>
          <w:rFonts w:ascii="Cambria" w:hAnsi="Cambria"/>
          <w:sz w:val="20"/>
          <w:szCs w:val="20"/>
          <w:lang w:val="es-ES"/>
        </w:rPr>
        <w:t>El Estado promulgó la Ley Nº 19.733 por la que se derogó el delito del artículo 6(b)</w:t>
      </w:r>
      <w:r w:rsidR="000F4616" w:rsidRPr="00360B87">
        <w:rPr>
          <w:rStyle w:val="FootnoteReference"/>
          <w:rFonts w:ascii="Cambria" w:hAnsi="Cambria"/>
          <w:sz w:val="20"/>
          <w:szCs w:val="20"/>
          <w:lang w:val="es-ES"/>
        </w:rPr>
        <w:footnoteReference w:id="3"/>
      </w:r>
      <w:r w:rsidRPr="00360B87">
        <w:rPr>
          <w:rFonts w:ascii="Cambria" w:hAnsi="Cambria"/>
          <w:sz w:val="20"/>
          <w:szCs w:val="20"/>
          <w:lang w:val="es-ES"/>
        </w:rPr>
        <w:t xml:space="preserve"> y las medidas de</w:t>
      </w:r>
      <w:r w:rsidR="000F4616" w:rsidRPr="00360B87">
        <w:rPr>
          <w:rFonts w:ascii="Cambria" w:hAnsi="Cambria"/>
          <w:sz w:val="20"/>
          <w:szCs w:val="20"/>
          <w:lang w:val="es-ES"/>
        </w:rPr>
        <w:t>l</w:t>
      </w:r>
      <w:r w:rsidRPr="00360B87">
        <w:rPr>
          <w:rFonts w:ascii="Cambria" w:hAnsi="Cambria"/>
          <w:sz w:val="20"/>
          <w:szCs w:val="20"/>
          <w:lang w:val="es-ES"/>
        </w:rPr>
        <w:t xml:space="preserve"> artículo 16 de la Ley Nº 12.927</w:t>
      </w:r>
      <w:r w:rsidR="000F4616" w:rsidRPr="00360B87">
        <w:rPr>
          <w:rFonts w:ascii="Cambria" w:hAnsi="Cambria"/>
          <w:sz w:val="20"/>
          <w:szCs w:val="20"/>
          <w:lang w:val="es-ES"/>
        </w:rPr>
        <w:t xml:space="preserve"> </w:t>
      </w:r>
      <w:r w:rsidRPr="00360B87">
        <w:rPr>
          <w:rFonts w:ascii="Cambria" w:hAnsi="Cambria"/>
          <w:sz w:val="20"/>
          <w:szCs w:val="20"/>
          <w:lang w:val="es-ES"/>
        </w:rPr>
        <w:t>de Seguridad Interior del Estado</w:t>
      </w:r>
      <w:r w:rsidR="000F4616" w:rsidRPr="00360B87">
        <w:rPr>
          <w:rStyle w:val="FootnoteReference"/>
          <w:rFonts w:ascii="Cambria" w:hAnsi="Cambria"/>
          <w:sz w:val="20"/>
          <w:szCs w:val="20"/>
          <w:lang w:val="es-ES"/>
        </w:rPr>
        <w:footnoteReference w:id="4"/>
      </w:r>
      <w:r w:rsidRPr="00360B87">
        <w:rPr>
          <w:rFonts w:ascii="Cambria" w:hAnsi="Cambria"/>
          <w:sz w:val="20"/>
          <w:szCs w:val="20"/>
          <w:lang w:val="es-ES"/>
        </w:rPr>
        <w:t xml:space="preserve"> y el artículo 41 de la Ley Nº </w:t>
      </w:r>
      <w:r w:rsidRPr="00360B87">
        <w:rPr>
          <w:rFonts w:ascii="Cambria" w:hAnsi="Cambria"/>
          <w:sz w:val="20"/>
          <w:szCs w:val="20"/>
          <w:lang w:val="es-ES"/>
        </w:rPr>
        <w:lastRenderedPageBreak/>
        <w:t xml:space="preserve">16.643 sobre Abusos de Publicidad, armonizando </w:t>
      </w:r>
      <w:r w:rsidR="00FB6B75" w:rsidRPr="00360B87">
        <w:rPr>
          <w:rFonts w:ascii="Cambria" w:hAnsi="Cambria"/>
          <w:sz w:val="20"/>
          <w:szCs w:val="20"/>
          <w:lang w:val="es-ES"/>
        </w:rPr>
        <w:t xml:space="preserve">la legislación nacional del </w:t>
      </w:r>
      <w:r w:rsidRPr="00360B87">
        <w:rPr>
          <w:rFonts w:ascii="Cambria" w:hAnsi="Cambria"/>
          <w:sz w:val="20"/>
          <w:szCs w:val="20"/>
          <w:lang w:val="es-ES"/>
        </w:rPr>
        <w:t>E</w:t>
      </w:r>
      <w:r w:rsidR="00FB6B75" w:rsidRPr="00360B87">
        <w:rPr>
          <w:rFonts w:ascii="Cambria" w:hAnsi="Cambria"/>
          <w:sz w:val="20"/>
          <w:szCs w:val="20"/>
          <w:lang w:val="es-ES"/>
        </w:rPr>
        <w:t>stado con la Convención Americana sobre Derechos Humanos en materia de libertad de expresión.</w:t>
      </w:r>
    </w:p>
    <w:sectPr w:rsidR="00E24D66" w:rsidRPr="00360B87" w:rsidSect="00156256">
      <w:headerReference w:type="default" r:id="rId11"/>
      <w:footerReference w:type="default" r:id="rId12"/>
      <w:headerReference w:type="first" r:id="rId13"/>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9D1C7" w14:textId="77777777" w:rsidR="002A7DE0" w:rsidRDefault="002A7DE0" w:rsidP="00D70EA9">
      <w:pPr>
        <w:spacing w:after="0" w:line="240" w:lineRule="auto"/>
      </w:pPr>
      <w:r>
        <w:separator/>
      </w:r>
    </w:p>
  </w:endnote>
  <w:endnote w:type="continuationSeparator" w:id="0">
    <w:p w14:paraId="6B5D5EB9" w14:textId="77777777" w:rsidR="002A7DE0" w:rsidRDefault="002A7DE0" w:rsidP="00D7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ECA7" w14:textId="570E2A60" w:rsidR="00B15841" w:rsidRPr="0028191C" w:rsidRDefault="009C6AF2" w:rsidP="0028191C">
    <w:pPr>
      <w:pStyle w:val="Footer"/>
      <w:spacing w:after="0" w:line="240" w:lineRule="auto"/>
      <w:jc w:val="center"/>
      <w:rPr>
        <w:sz w:val="16"/>
        <w:szCs w:val="16"/>
      </w:rPr>
    </w:pPr>
    <w:r w:rsidRPr="0028191C">
      <w:rPr>
        <w:sz w:val="16"/>
        <w:szCs w:val="16"/>
      </w:rPr>
      <w:fldChar w:fldCharType="begin"/>
    </w:r>
    <w:r w:rsidRPr="0028191C">
      <w:rPr>
        <w:sz w:val="16"/>
        <w:szCs w:val="16"/>
      </w:rPr>
      <w:instrText xml:space="preserve"> PAGE   \* MERGEFORMAT </w:instrText>
    </w:r>
    <w:r w:rsidRPr="0028191C">
      <w:rPr>
        <w:sz w:val="16"/>
        <w:szCs w:val="16"/>
      </w:rPr>
      <w:fldChar w:fldCharType="separate"/>
    </w:r>
    <w:r w:rsidR="00467288">
      <w:rPr>
        <w:noProof/>
        <w:sz w:val="16"/>
        <w:szCs w:val="16"/>
      </w:rPr>
      <w:t>2</w:t>
    </w:r>
    <w:r w:rsidRPr="0028191C">
      <w:rPr>
        <w:noProof/>
        <w:sz w:val="16"/>
        <w:szCs w:val="16"/>
      </w:rPr>
      <w:fldChar w:fldCharType="end"/>
    </w:r>
  </w:p>
  <w:p w14:paraId="44A0A712" w14:textId="77777777" w:rsidR="00B15841" w:rsidRDefault="00467288" w:rsidP="00A245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A5252" w14:textId="77777777" w:rsidR="002A7DE0" w:rsidRDefault="002A7DE0" w:rsidP="00D70EA9">
      <w:pPr>
        <w:spacing w:after="0" w:line="240" w:lineRule="auto"/>
      </w:pPr>
      <w:r>
        <w:separator/>
      </w:r>
    </w:p>
  </w:footnote>
  <w:footnote w:type="continuationSeparator" w:id="0">
    <w:p w14:paraId="1D3A41FF" w14:textId="77777777" w:rsidR="002A7DE0" w:rsidRDefault="002A7DE0" w:rsidP="00D70EA9">
      <w:pPr>
        <w:spacing w:after="0" w:line="240" w:lineRule="auto"/>
      </w:pPr>
      <w:r>
        <w:continuationSeparator/>
      </w:r>
    </w:p>
  </w:footnote>
  <w:footnote w:id="1">
    <w:p w14:paraId="520415F4" w14:textId="099CC460" w:rsidR="00C90F2B" w:rsidRPr="00C90F2B" w:rsidRDefault="00C90F2B" w:rsidP="00C90F2B">
      <w:pPr>
        <w:pStyle w:val="FootnoteText"/>
        <w:spacing w:after="120"/>
        <w:ind w:firstLine="720"/>
        <w:jc w:val="both"/>
        <w:rPr>
          <w:rFonts w:ascii="Cambria" w:hAnsi="Cambria"/>
          <w:sz w:val="16"/>
          <w:szCs w:val="16"/>
          <w:lang w:val="es-ES"/>
        </w:rPr>
      </w:pPr>
      <w:r>
        <w:rPr>
          <w:rStyle w:val="FootnoteReference"/>
        </w:rPr>
        <w:footnoteRef/>
      </w:r>
      <w:r w:rsidRPr="00C90F2B">
        <w:rPr>
          <w:lang w:val="es-CO"/>
        </w:rPr>
        <w:t xml:space="preserve"> </w:t>
      </w:r>
      <w:r w:rsidRPr="00DC174C">
        <w:rPr>
          <w:rFonts w:ascii="Cambria" w:hAnsi="Cambria"/>
          <w:sz w:val="16"/>
          <w:szCs w:val="16"/>
          <w:lang w:val="es-US"/>
        </w:rPr>
        <w:t xml:space="preserve">CIDH, Informe Anual 2008, </w:t>
      </w:r>
      <w:hyperlink r:id="rId1" w:history="1">
        <w:r w:rsidRPr="00DC174C">
          <w:rPr>
            <w:rStyle w:val="Hyperlink"/>
            <w:rFonts w:ascii="Cambria" w:hAnsi="Cambria"/>
            <w:bCs/>
            <w:color w:val="auto"/>
            <w:sz w:val="16"/>
            <w:szCs w:val="16"/>
            <w:lang w:val="es-US"/>
          </w:rPr>
          <w:t>Capítulo III, D: Estado de cumplimento de la recomendaciones de la CIDH</w:t>
        </w:r>
      </w:hyperlink>
      <w:r w:rsidRPr="00DC174C">
        <w:rPr>
          <w:rFonts w:ascii="Cambria" w:hAnsi="Cambria"/>
          <w:bCs/>
          <w:sz w:val="16"/>
          <w:szCs w:val="16"/>
          <w:lang w:val="es-US"/>
        </w:rPr>
        <w:t xml:space="preserve">, párr. 223. </w:t>
      </w:r>
    </w:p>
  </w:footnote>
  <w:footnote w:id="2">
    <w:p w14:paraId="633B02ED" w14:textId="77777777" w:rsidR="00CF1F08" w:rsidRPr="00DC174C" w:rsidRDefault="00CF1F08" w:rsidP="00AB5098">
      <w:pPr>
        <w:pStyle w:val="FootnoteText"/>
        <w:spacing w:after="120"/>
        <w:ind w:firstLine="720"/>
        <w:jc w:val="both"/>
        <w:rPr>
          <w:rFonts w:ascii="Cambria" w:hAnsi="Cambria"/>
          <w:sz w:val="16"/>
          <w:szCs w:val="16"/>
          <w:lang w:val="es-ES"/>
        </w:rPr>
      </w:pPr>
      <w:r w:rsidRPr="00DC174C">
        <w:rPr>
          <w:rStyle w:val="FootnoteReference"/>
          <w:rFonts w:ascii="Cambria" w:hAnsi="Cambria"/>
          <w:sz w:val="16"/>
          <w:szCs w:val="16"/>
        </w:rPr>
        <w:footnoteRef/>
      </w:r>
      <w:r w:rsidRPr="00DC174C">
        <w:rPr>
          <w:rFonts w:ascii="Cambria" w:hAnsi="Cambria"/>
          <w:sz w:val="16"/>
          <w:szCs w:val="16"/>
          <w:lang w:val="es-US"/>
        </w:rPr>
        <w:t xml:space="preserve"> CIDH, Informe Anual 2008, </w:t>
      </w:r>
      <w:hyperlink r:id="rId2" w:history="1">
        <w:r w:rsidRPr="00DC174C">
          <w:rPr>
            <w:rStyle w:val="Hyperlink"/>
            <w:rFonts w:ascii="Cambria" w:hAnsi="Cambria"/>
            <w:bCs/>
            <w:color w:val="auto"/>
            <w:sz w:val="16"/>
            <w:szCs w:val="16"/>
            <w:lang w:val="es-US"/>
          </w:rPr>
          <w:t>Capítulo III, D: Estado de cumplimento de la recomendaciones de la CIDH</w:t>
        </w:r>
      </w:hyperlink>
      <w:r w:rsidRPr="00DC174C">
        <w:rPr>
          <w:rFonts w:ascii="Cambria" w:hAnsi="Cambria"/>
          <w:bCs/>
          <w:sz w:val="16"/>
          <w:szCs w:val="16"/>
          <w:lang w:val="es-US"/>
        </w:rPr>
        <w:t xml:space="preserve">, párr. 223. </w:t>
      </w:r>
    </w:p>
  </w:footnote>
  <w:footnote w:id="3">
    <w:p w14:paraId="69EC2DD0" w14:textId="2A52E081" w:rsidR="000F4616" w:rsidRPr="00DC174C" w:rsidRDefault="000F4616" w:rsidP="000F4616">
      <w:pPr>
        <w:pStyle w:val="FootnoteText"/>
        <w:spacing w:after="120"/>
        <w:ind w:firstLine="720"/>
        <w:jc w:val="both"/>
        <w:rPr>
          <w:rFonts w:ascii="Cambria" w:hAnsi="Cambria"/>
          <w:sz w:val="16"/>
          <w:szCs w:val="16"/>
          <w:lang w:val="es-ES"/>
        </w:rPr>
      </w:pPr>
      <w:r w:rsidRPr="00DC174C">
        <w:rPr>
          <w:rStyle w:val="FootnoteReference"/>
          <w:rFonts w:ascii="Cambria" w:hAnsi="Cambria"/>
          <w:sz w:val="16"/>
          <w:szCs w:val="16"/>
        </w:rPr>
        <w:footnoteRef/>
      </w:r>
      <w:r w:rsidRPr="00DC174C">
        <w:rPr>
          <w:rFonts w:ascii="Cambria" w:hAnsi="Cambria"/>
          <w:sz w:val="16"/>
          <w:szCs w:val="16"/>
          <w:lang w:val="es-ES"/>
        </w:rPr>
        <w:t xml:space="preserve"> El artículo 6 de la Ley de Seguridad del Estado establecía:  Los que ultrajaren públicamente la bandera, el escudo o el nombre de la patria, himno nacional y los que difamen, injurien o calumnien al Presidente de la República, Ministros de Estado, Senadores o Diputados, miembros de los Tribunales Superiores de Justicia, Contralor General de la República, Comandantes en Jefes de las Fuerzas Armadas, o General Director de Carabineros, sea que la difamación, la injuria o la calumnia se cometa con motivo o no del ejercicio de funciones del ofendido. CIDH, </w:t>
      </w:r>
      <w:hyperlink r:id="rId3" w:history="1">
        <w:r w:rsidRPr="00DC174C">
          <w:rPr>
            <w:rStyle w:val="Hyperlink"/>
            <w:rFonts w:ascii="Cambria" w:hAnsi="Cambria"/>
            <w:color w:val="auto"/>
            <w:sz w:val="16"/>
            <w:szCs w:val="16"/>
            <w:lang w:val="es-ES"/>
          </w:rPr>
          <w:t>Caso 12.142, Informe Nº 90/05, Alejandra Marcela Matus Acuña y otros (Chile)</w:t>
        </w:r>
      </w:hyperlink>
      <w:r w:rsidRPr="00DC174C">
        <w:rPr>
          <w:rFonts w:ascii="Cambria" w:hAnsi="Cambria"/>
          <w:sz w:val="16"/>
          <w:szCs w:val="16"/>
          <w:lang w:val="es-ES"/>
        </w:rPr>
        <w:t xml:space="preserve">, </w:t>
      </w:r>
      <w:r w:rsidR="007612BB">
        <w:rPr>
          <w:rFonts w:ascii="Cambria" w:hAnsi="Cambria"/>
          <w:sz w:val="16"/>
          <w:szCs w:val="16"/>
          <w:lang w:val="es-ES"/>
        </w:rPr>
        <w:t>p</w:t>
      </w:r>
      <w:r w:rsidRPr="00DC174C">
        <w:rPr>
          <w:rFonts w:ascii="Cambria" w:hAnsi="Cambria"/>
          <w:sz w:val="16"/>
          <w:szCs w:val="16"/>
          <w:lang w:val="es-ES"/>
        </w:rPr>
        <w:t xml:space="preserve">ie de </w:t>
      </w:r>
      <w:r w:rsidR="007612BB">
        <w:rPr>
          <w:rFonts w:ascii="Cambria" w:hAnsi="Cambria"/>
          <w:sz w:val="16"/>
          <w:szCs w:val="16"/>
          <w:lang w:val="es-ES"/>
        </w:rPr>
        <w:t>p</w:t>
      </w:r>
      <w:r w:rsidRPr="00DC174C">
        <w:rPr>
          <w:rFonts w:ascii="Cambria" w:hAnsi="Cambria"/>
          <w:sz w:val="16"/>
          <w:szCs w:val="16"/>
          <w:lang w:val="es-ES"/>
        </w:rPr>
        <w:t xml:space="preserve">ágina No. 4. </w:t>
      </w:r>
    </w:p>
  </w:footnote>
  <w:footnote w:id="4">
    <w:p w14:paraId="24A67E19" w14:textId="2F071B59" w:rsidR="000F4616" w:rsidRPr="000F4616" w:rsidRDefault="000F4616" w:rsidP="000F4616">
      <w:pPr>
        <w:pStyle w:val="FootnoteText"/>
        <w:spacing w:after="120"/>
        <w:ind w:firstLine="720"/>
        <w:jc w:val="both"/>
        <w:rPr>
          <w:lang w:val="es-ES"/>
        </w:rPr>
      </w:pPr>
      <w:r w:rsidRPr="00DC174C">
        <w:rPr>
          <w:rStyle w:val="FootnoteReference"/>
          <w:rFonts w:ascii="Cambria" w:hAnsi="Cambria"/>
          <w:sz w:val="16"/>
          <w:szCs w:val="16"/>
        </w:rPr>
        <w:footnoteRef/>
      </w:r>
      <w:r w:rsidRPr="00DC174C">
        <w:rPr>
          <w:rFonts w:ascii="Cambria" w:hAnsi="Cambria"/>
          <w:sz w:val="16"/>
          <w:szCs w:val="16"/>
          <w:lang w:val="es-ES"/>
        </w:rPr>
        <w:t xml:space="preserve"> El artículo 16 de la Ley de Seguridad del Estado disponía: 1) Si, por medio de la imprenta, de la radio o de la televisión, se cometiere algún delito contra la seguridad del Estado, el Tribunal competente podrá suspender la publicación de hasta 10 ediciones del diario o revistas culpables y hasta por 10 días las transmisiones de la emisora radial o del canal de televisión infractores.  Sin perjuicio de ello, en casos graves, podrá el Tribunal ordenar el requisamiento inmediato de toda emisión en que aparezca de manifiesto algún abuso de publicidad penado por esta ley. Iguales facultades podrá ejercer el Tribunal respecto de cualquiera otra edición que ostensiblemente se emitiere con el objeto de reemplazar la que hubiere sido sancionada con arreglo a este precepto. CIDH, </w:t>
      </w:r>
      <w:hyperlink r:id="rId4" w:history="1">
        <w:r w:rsidRPr="00DC174C">
          <w:rPr>
            <w:rStyle w:val="Hyperlink"/>
            <w:rFonts w:ascii="Cambria" w:hAnsi="Cambria"/>
            <w:color w:val="auto"/>
            <w:sz w:val="16"/>
            <w:szCs w:val="16"/>
            <w:lang w:val="es-ES"/>
          </w:rPr>
          <w:t>Caso 12.142, Informe Nº 90/05, Alejandra Marcela Matus Acuña y otros (Chile)</w:t>
        </w:r>
      </w:hyperlink>
      <w:r w:rsidRPr="00DC174C">
        <w:rPr>
          <w:rFonts w:ascii="Cambria" w:hAnsi="Cambria"/>
          <w:sz w:val="16"/>
          <w:szCs w:val="16"/>
          <w:lang w:val="es-ES"/>
        </w:rPr>
        <w:t xml:space="preserve">, </w:t>
      </w:r>
      <w:r w:rsidR="007612BB">
        <w:rPr>
          <w:rFonts w:ascii="Cambria" w:hAnsi="Cambria"/>
          <w:sz w:val="16"/>
          <w:szCs w:val="16"/>
          <w:lang w:val="es-ES"/>
        </w:rPr>
        <w:t>p</w:t>
      </w:r>
      <w:r w:rsidRPr="00DC174C">
        <w:rPr>
          <w:rFonts w:ascii="Cambria" w:hAnsi="Cambria"/>
          <w:sz w:val="16"/>
          <w:szCs w:val="16"/>
          <w:lang w:val="es-ES"/>
        </w:rPr>
        <w:t xml:space="preserve">ie de </w:t>
      </w:r>
      <w:r w:rsidR="007612BB">
        <w:rPr>
          <w:rFonts w:ascii="Cambria" w:hAnsi="Cambria"/>
          <w:sz w:val="16"/>
          <w:szCs w:val="16"/>
          <w:lang w:val="es-ES"/>
        </w:rPr>
        <w:t>p</w:t>
      </w:r>
      <w:r w:rsidRPr="00DC174C">
        <w:rPr>
          <w:rFonts w:ascii="Cambria" w:hAnsi="Cambria"/>
          <w:sz w:val="16"/>
          <w:szCs w:val="16"/>
          <w:lang w:val="es-ES"/>
        </w:rPr>
        <w:t>ágina No. 5.</w:t>
      </w:r>
      <w:r w:rsidRPr="000F4616">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6B83" w14:textId="77777777" w:rsidR="00CE5BC3" w:rsidRDefault="00CE5BC3" w:rsidP="00CE5BC3">
    <w:pPr>
      <w:pStyle w:val="Header"/>
      <w:spacing w:after="0" w:line="240" w:lineRule="auto"/>
    </w:pPr>
  </w:p>
  <w:p w14:paraId="499170E8" w14:textId="77777777" w:rsidR="00CE5BC3" w:rsidRDefault="00CE5BC3" w:rsidP="00CE5BC3">
    <w:pPr>
      <w:pStyle w:val="Header"/>
      <w:spacing w:after="0" w:line="240" w:lineRule="auto"/>
      <w:jc w:val="center"/>
      <w:rPr>
        <w:noProof/>
        <w:lang w:val="en-US"/>
      </w:rPr>
    </w:pPr>
    <w:r>
      <w:rPr>
        <w:noProof/>
        <w:lang w:val="en-US"/>
      </w:rPr>
      <w:drawing>
        <wp:anchor distT="0" distB="0" distL="114300" distR="114300" simplePos="0" relativeHeight="251670528" behindDoc="1" locked="0" layoutInCell="1" allowOverlap="1" wp14:anchorId="1BAB2B2B" wp14:editId="10A3C6CC">
          <wp:simplePos x="0" y="0"/>
          <wp:positionH relativeFrom="column">
            <wp:posOffset>1819910</wp:posOffset>
          </wp:positionH>
          <wp:positionV relativeFrom="paragraph">
            <wp:posOffset>54610</wp:posOffset>
          </wp:positionV>
          <wp:extent cx="2296795" cy="116840"/>
          <wp:effectExtent l="0" t="0" r="8255" b="0"/>
          <wp:wrapTight wrapText="bothSides">
            <wp:wrapPolygon edited="0">
              <wp:start x="0" y="0"/>
              <wp:lineTo x="0" y="17609"/>
              <wp:lineTo x="21498" y="17609"/>
              <wp:lineTo x="21498" y="0"/>
              <wp:lineTo x="0" y="0"/>
            </wp:wrapPolygon>
          </wp:wrapTight>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558D5" w14:textId="77777777" w:rsidR="00B15841" w:rsidRDefault="00467288" w:rsidP="00CE5BC3">
    <w:pPr>
      <w:pStyle w:val="Header"/>
    </w:pPr>
    <w:r>
      <w:pict w14:anchorId="760E4018">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BB87" w14:textId="77777777" w:rsidR="00B15841" w:rsidRPr="00A3127D" w:rsidRDefault="00A3127D" w:rsidP="00A3127D">
    <w:pPr>
      <w:pStyle w:val="Header"/>
    </w:pPr>
    <w:r>
      <w:rPr>
        <w:noProof/>
        <w:lang w:val="en-US"/>
      </w:rPr>
      <w:drawing>
        <wp:anchor distT="0" distB="0" distL="114300" distR="114300" simplePos="0" relativeHeight="251661312" behindDoc="1" locked="0" layoutInCell="1" allowOverlap="1" wp14:anchorId="1BBDDD92" wp14:editId="5DE9DF76">
          <wp:simplePos x="0" y="0"/>
          <wp:positionH relativeFrom="column">
            <wp:posOffset>4000500</wp:posOffset>
          </wp:positionH>
          <wp:positionV relativeFrom="paragraph">
            <wp:posOffset>2491</wp:posOffset>
          </wp:positionV>
          <wp:extent cx="1943100" cy="495300"/>
          <wp:effectExtent l="0" t="0" r="0" b="0"/>
          <wp:wrapThrough wrapText="bothSides">
            <wp:wrapPolygon edited="0">
              <wp:start x="1271" y="0"/>
              <wp:lineTo x="0" y="3323"/>
              <wp:lineTo x="0" y="17446"/>
              <wp:lineTo x="1271" y="20769"/>
              <wp:lineTo x="4235" y="20769"/>
              <wp:lineTo x="21388" y="18277"/>
              <wp:lineTo x="21388" y="3323"/>
              <wp:lineTo x="4235" y="0"/>
              <wp:lineTo x="1271" y="0"/>
            </wp:wrapPolygon>
          </wp:wrapThrough>
          <wp:docPr id="5" name="Picture 5"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SP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CB5">
      <w:rPr>
        <w:noProof/>
        <w:lang w:val="en-US"/>
      </w:rPr>
      <w:drawing>
        <wp:inline distT="0" distB="0" distL="0" distR="0" wp14:anchorId="702E9F43" wp14:editId="47A0AEAC">
          <wp:extent cx="2352675" cy="457200"/>
          <wp:effectExtent l="0" t="0" r="9525" b="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rsidR="00467288">
      <w:pict w14:anchorId="7A59D486">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E11"/>
    <w:multiLevelType w:val="hybridMultilevel"/>
    <w:tmpl w:val="938AB30C"/>
    <w:lvl w:ilvl="0" w:tplc="511E6C8C">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55F586B"/>
    <w:multiLevelType w:val="hybridMultilevel"/>
    <w:tmpl w:val="EF58BB18"/>
    <w:lvl w:ilvl="0" w:tplc="31BE9A18">
      <w:start w:val="1"/>
      <w:numFmt w:val="decimal"/>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E60B5"/>
    <w:multiLevelType w:val="hybridMultilevel"/>
    <w:tmpl w:val="1C985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3D75D5"/>
    <w:multiLevelType w:val="hybridMultilevel"/>
    <w:tmpl w:val="7CD8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87E74"/>
    <w:multiLevelType w:val="hybridMultilevel"/>
    <w:tmpl w:val="D834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54333"/>
    <w:multiLevelType w:val="hybridMultilevel"/>
    <w:tmpl w:val="ED6E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30D6A"/>
    <w:multiLevelType w:val="hybridMultilevel"/>
    <w:tmpl w:val="7D90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A07D1"/>
    <w:multiLevelType w:val="hybridMultilevel"/>
    <w:tmpl w:val="337C975E"/>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75E59"/>
    <w:multiLevelType w:val="hybridMultilevel"/>
    <w:tmpl w:val="B0401F8E"/>
    <w:lvl w:ilvl="0" w:tplc="015EC7A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B7C6B"/>
    <w:multiLevelType w:val="hybridMultilevel"/>
    <w:tmpl w:val="24DE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0B6A2B"/>
    <w:multiLevelType w:val="hybridMultilevel"/>
    <w:tmpl w:val="A76087D8"/>
    <w:lvl w:ilvl="0" w:tplc="6BF056EA">
      <w:start w:val="1"/>
      <w:numFmt w:val="decimal"/>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B5259C"/>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A62BA2"/>
    <w:multiLevelType w:val="hybridMultilevel"/>
    <w:tmpl w:val="4FE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4"/>
  </w:num>
  <w:num w:numId="6">
    <w:abstractNumId w:val="12"/>
  </w:num>
  <w:num w:numId="7">
    <w:abstractNumId w:val="0"/>
  </w:num>
  <w:num w:numId="8">
    <w:abstractNumId w:val="2"/>
  </w:num>
  <w:num w:numId="9">
    <w:abstractNumId w:val="11"/>
  </w:num>
  <w:num w:numId="10">
    <w:abstractNumId w:val="9"/>
  </w:num>
  <w:num w:numId="11">
    <w:abstractNumId w:val="8"/>
  </w:num>
  <w:num w:numId="12">
    <w:abstractNumId w:val="5"/>
  </w:num>
  <w:num w:numId="13">
    <w:abstractNumId w:val="1"/>
    <w:lvlOverride w:ilvl="0">
      <w:lvl w:ilvl="0" w:tplc="31BE9A18">
        <w:start w:val="1"/>
        <w:numFmt w:val="decimal"/>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9"/>
    <w:rsid w:val="0002212E"/>
    <w:rsid w:val="00023213"/>
    <w:rsid w:val="00027554"/>
    <w:rsid w:val="00031C03"/>
    <w:rsid w:val="00034E03"/>
    <w:rsid w:val="00067E71"/>
    <w:rsid w:val="00067F70"/>
    <w:rsid w:val="00090042"/>
    <w:rsid w:val="000960E0"/>
    <w:rsid w:val="000A30C8"/>
    <w:rsid w:val="000C1B1C"/>
    <w:rsid w:val="000C7237"/>
    <w:rsid w:val="000D23FC"/>
    <w:rsid w:val="000D2C99"/>
    <w:rsid w:val="000E1520"/>
    <w:rsid w:val="000E24C6"/>
    <w:rsid w:val="000F05D9"/>
    <w:rsid w:val="000F4616"/>
    <w:rsid w:val="00112122"/>
    <w:rsid w:val="001136FD"/>
    <w:rsid w:val="0013185F"/>
    <w:rsid w:val="00137AA9"/>
    <w:rsid w:val="00147518"/>
    <w:rsid w:val="001523D5"/>
    <w:rsid w:val="0015396C"/>
    <w:rsid w:val="001551A8"/>
    <w:rsid w:val="0016250A"/>
    <w:rsid w:val="00166A0F"/>
    <w:rsid w:val="0017133B"/>
    <w:rsid w:val="001850CD"/>
    <w:rsid w:val="001924E0"/>
    <w:rsid w:val="001A058A"/>
    <w:rsid w:val="001B3D97"/>
    <w:rsid w:val="001E7338"/>
    <w:rsid w:val="001F03BB"/>
    <w:rsid w:val="00200CF2"/>
    <w:rsid w:val="00235154"/>
    <w:rsid w:val="002377B1"/>
    <w:rsid w:val="002510FC"/>
    <w:rsid w:val="00284AB5"/>
    <w:rsid w:val="00285A01"/>
    <w:rsid w:val="002922DE"/>
    <w:rsid w:val="0029500C"/>
    <w:rsid w:val="0029757C"/>
    <w:rsid w:val="002A711F"/>
    <w:rsid w:val="002A7DE0"/>
    <w:rsid w:val="002B2581"/>
    <w:rsid w:val="002C4198"/>
    <w:rsid w:val="002D5153"/>
    <w:rsid w:val="002E54C6"/>
    <w:rsid w:val="00304620"/>
    <w:rsid w:val="00312E9E"/>
    <w:rsid w:val="00336CDA"/>
    <w:rsid w:val="00360B87"/>
    <w:rsid w:val="003A06A3"/>
    <w:rsid w:val="003B2F71"/>
    <w:rsid w:val="00421F0D"/>
    <w:rsid w:val="00423BAA"/>
    <w:rsid w:val="00435ABF"/>
    <w:rsid w:val="004428C1"/>
    <w:rsid w:val="00447159"/>
    <w:rsid w:val="00450120"/>
    <w:rsid w:val="00467288"/>
    <w:rsid w:val="00475F1E"/>
    <w:rsid w:val="00481AE4"/>
    <w:rsid w:val="00486EDF"/>
    <w:rsid w:val="004A352F"/>
    <w:rsid w:val="004B43E5"/>
    <w:rsid w:val="004C377A"/>
    <w:rsid w:val="004D3F10"/>
    <w:rsid w:val="004F2906"/>
    <w:rsid w:val="00503E93"/>
    <w:rsid w:val="00526A04"/>
    <w:rsid w:val="00536593"/>
    <w:rsid w:val="00550841"/>
    <w:rsid w:val="0056224B"/>
    <w:rsid w:val="005A62ED"/>
    <w:rsid w:val="005C2923"/>
    <w:rsid w:val="005D1864"/>
    <w:rsid w:val="005D4047"/>
    <w:rsid w:val="005E04D6"/>
    <w:rsid w:val="0060236F"/>
    <w:rsid w:val="00611ECD"/>
    <w:rsid w:val="00630EEA"/>
    <w:rsid w:val="00633094"/>
    <w:rsid w:val="00642976"/>
    <w:rsid w:val="00646E46"/>
    <w:rsid w:val="00681500"/>
    <w:rsid w:val="006A20A9"/>
    <w:rsid w:val="00731599"/>
    <w:rsid w:val="0074241F"/>
    <w:rsid w:val="007519B7"/>
    <w:rsid w:val="007612BB"/>
    <w:rsid w:val="00770DA0"/>
    <w:rsid w:val="00773DA9"/>
    <w:rsid w:val="007A6375"/>
    <w:rsid w:val="007B6891"/>
    <w:rsid w:val="00804A63"/>
    <w:rsid w:val="0087798B"/>
    <w:rsid w:val="0088189D"/>
    <w:rsid w:val="00897B00"/>
    <w:rsid w:val="008A0CD6"/>
    <w:rsid w:val="008A63E0"/>
    <w:rsid w:val="008A7495"/>
    <w:rsid w:val="008B5880"/>
    <w:rsid w:val="008B5BD7"/>
    <w:rsid w:val="008D5638"/>
    <w:rsid w:val="008E6D09"/>
    <w:rsid w:val="008F4BDE"/>
    <w:rsid w:val="0091365A"/>
    <w:rsid w:val="00920EF7"/>
    <w:rsid w:val="00924DBD"/>
    <w:rsid w:val="0092660C"/>
    <w:rsid w:val="0093147A"/>
    <w:rsid w:val="00934680"/>
    <w:rsid w:val="009438B7"/>
    <w:rsid w:val="009562AC"/>
    <w:rsid w:val="00961BE4"/>
    <w:rsid w:val="009640FC"/>
    <w:rsid w:val="0096488F"/>
    <w:rsid w:val="00973DC4"/>
    <w:rsid w:val="009831DA"/>
    <w:rsid w:val="009A6722"/>
    <w:rsid w:val="009B5C64"/>
    <w:rsid w:val="009C6AF2"/>
    <w:rsid w:val="009C74EE"/>
    <w:rsid w:val="009E7502"/>
    <w:rsid w:val="00A10285"/>
    <w:rsid w:val="00A11849"/>
    <w:rsid w:val="00A1347B"/>
    <w:rsid w:val="00A3127D"/>
    <w:rsid w:val="00A51F11"/>
    <w:rsid w:val="00A5757C"/>
    <w:rsid w:val="00A728E1"/>
    <w:rsid w:val="00A8092D"/>
    <w:rsid w:val="00AA681F"/>
    <w:rsid w:val="00AB5098"/>
    <w:rsid w:val="00AC11C3"/>
    <w:rsid w:val="00AC126A"/>
    <w:rsid w:val="00AE515A"/>
    <w:rsid w:val="00AE68AF"/>
    <w:rsid w:val="00B007C2"/>
    <w:rsid w:val="00B07540"/>
    <w:rsid w:val="00B4099F"/>
    <w:rsid w:val="00B4501B"/>
    <w:rsid w:val="00B54361"/>
    <w:rsid w:val="00B549E1"/>
    <w:rsid w:val="00B74928"/>
    <w:rsid w:val="00B871EA"/>
    <w:rsid w:val="00B91FBB"/>
    <w:rsid w:val="00BA17EC"/>
    <w:rsid w:val="00BB38DF"/>
    <w:rsid w:val="00BD2642"/>
    <w:rsid w:val="00BD27E6"/>
    <w:rsid w:val="00BD3BD3"/>
    <w:rsid w:val="00BE01C5"/>
    <w:rsid w:val="00BE4EFC"/>
    <w:rsid w:val="00BF62B4"/>
    <w:rsid w:val="00C16D39"/>
    <w:rsid w:val="00C27CCC"/>
    <w:rsid w:val="00C82B7C"/>
    <w:rsid w:val="00C90F2B"/>
    <w:rsid w:val="00C9355B"/>
    <w:rsid w:val="00C93CB2"/>
    <w:rsid w:val="00CE17C6"/>
    <w:rsid w:val="00CE5BC3"/>
    <w:rsid w:val="00CF1F08"/>
    <w:rsid w:val="00D15A49"/>
    <w:rsid w:val="00D51F18"/>
    <w:rsid w:val="00D613BA"/>
    <w:rsid w:val="00D64F50"/>
    <w:rsid w:val="00D70EA9"/>
    <w:rsid w:val="00D74A19"/>
    <w:rsid w:val="00D8442E"/>
    <w:rsid w:val="00D90DC5"/>
    <w:rsid w:val="00D92F83"/>
    <w:rsid w:val="00D92FFD"/>
    <w:rsid w:val="00DA04BC"/>
    <w:rsid w:val="00DA4FAE"/>
    <w:rsid w:val="00DC07A7"/>
    <w:rsid w:val="00DC174C"/>
    <w:rsid w:val="00DC2C76"/>
    <w:rsid w:val="00DD13F8"/>
    <w:rsid w:val="00DE0BDE"/>
    <w:rsid w:val="00E00A4E"/>
    <w:rsid w:val="00E01C86"/>
    <w:rsid w:val="00E24D66"/>
    <w:rsid w:val="00E306C5"/>
    <w:rsid w:val="00E41D90"/>
    <w:rsid w:val="00E4419F"/>
    <w:rsid w:val="00E44916"/>
    <w:rsid w:val="00E57E52"/>
    <w:rsid w:val="00E628BE"/>
    <w:rsid w:val="00E62E8A"/>
    <w:rsid w:val="00E74446"/>
    <w:rsid w:val="00EB2FBA"/>
    <w:rsid w:val="00EB70CE"/>
    <w:rsid w:val="00ED2B02"/>
    <w:rsid w:val="00EF14E5"/>
    <w:rsid w:val="00F45BB2"/>
    <w:rsid w:val="00F5584F"/>
    <w:rsid w:val="00F61F5F"/>
    <w:rsid w:val="00F733F6"/>
    <w:rsid w:val="00F85BE5"/>
    <w:rsid w:val="00F97F45"/>
    <w:rsid w:val="00FA51BD"/>
    <w:rsid w:val="00FB6B75"/>
    <w:rsid w:val="00FD29A3"/>
    <w:rsid w:val="00FE1C87"/>
    <w:rsid w:val="00FE54D4"/>
    <w:rsid w:val="00FF04EF"/>
    <w:rsid w:val="00F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1FE3164A"/>
  <w15:docId w15:val="{26DB41E7-BDBD-420A-A3F8-230A156C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A9"/>
    <w:pPr>
      <w:spacing w:after="200" w:line="276" w:lineRule="auto"/>
    </w:pPr>
    <w:rPr>
      <w:rFonts w:ascii="Calibri" w:eastAsia="Calibri" w:hAnsi="Calibri"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D70EA9"/>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D70EA9"/>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D70EA9"/>
    <w:rPr>
      <w:vertAlign w:val="superscript"/>
    </w:rPr>
  </w:style>
  <w:style w:type="paragraph" w:customStyle="1" w:styleId="Appelnotedebasde">
    <w:name w:val="Appel note de bas de..."/>
    <w:basedOn w:val="Normal"/>
    <w:link w:val="FootnoteReference"/>
    <w:rsid w:val="00D70EA9"/>
    <w:pPr>
      <w:spacing w:after="160" w:line="240" w:lineRule="exact"/>
    </w:pPr>
    <w:rPr>
      <w:rFonts w:asciiTheme="minorHAnsi" w:eastAsiaTheme="minorHAnsi" w:hAnsiTheme="minorHAnsi" w:cstheme="minorBidi"/>
      <w:vertAlign w:val="superscript"/>
      <w:lang w:val="en-US"/>
    </w:rPr>
  </w:style>
  <w:style w:type="character" w:styleId="Hyperlink">
    <w:name w:val="Hyperlink"/>
    <w:uiPriority w:val="99"/>
    <w:unhideWhenUsed/>
    <w:rsid w:val="00D70EA9"/>
    <w:rPr>
      <w:color w:val="0000FF"/>
      <w:u w:val="single"/>
    </w:rPr>
  </w:style>
  <w:style w:type="paragraph" w:styleId="Header">
    <w:name w:val="header"/>
    <w:basedOn w:val="Normal"/>
    <w:link w:val="HeaderChar"/>
    <w:uiPriority w:val="99"/>
    <w:unhideWhenUsed/>
    <w:rsid w:val="00D70EA9"/>
    <w:pPr>
      <w:tabs>
        <w:tab w:val="center" w:pos="4513"/>
        <w:tab w:val="right" w:pos="9026"/>
      </w:tabs>
    </w:pPr>
  </w:style>
  <w:style w:type="character" w:customStyle="1" w:styleId="HeaderChar">
    <w:name w:val="Header Char"/>
    <w:basedOn w:val="DefaultParagraphFont"/>
    <w:link w:val="Header"/>
    <w:uiPriority w:val="99"/>
    <w:rsid w:val="00D70EA9"/>
    <w:rPr>
      <w:rFonts w:ascii="Calibri" w:eastAsia="Calibri" w:hAnsi="Calibri" w:cs="Times New Roman"/>
      <w:lang w:val="pt-BR"/>
    </w:rPr>
  </w:style>
  <w:style w:type="paragraph" w:styleId="Footer">
    <w:name w:val="footer"/>
    <w:basedOn w:val="Normal"/>
    <w:link w:val="FooterChar"/>
    <w:uiPriority w:val="99"/>
    <w:unhideWhenUsed/>
    <w:rsid w:val="00D70EA9"/>
    <w:pPr>
      <w:tabs>
        <w:tab w:val="center" w:pos="4513"/>
        <w:tab w:val="right" w:pos="9026"/>
      </w:tabs>
    </w:pPr>
  </w:style>
  <w:style w:type="character" w:customStyle="1" w:styleId="FooterChar">
    <w:name w:val="Footer Char"/>
    <w:basedOn w:val="DefaultParagraphFont"/>
    <w:link w:val="Footer"/>
    <w:uiPriority w:val="99"/>
    <w:rsid w:val="00D70EA9"/>
    <w:rPr>
      <w:rFonts w:ascii="Calibri" w:eastAsia="Calibri" w:hAnsi="Calibri" w:cs="Times New Roman"/>
      <w:lang w:val="pt-BR"/>
    </w:rPr>
  </w:style>
  <w:style w:type="character" w:styleId="FollowedHyperlink">
    <w:name w:val="FollowedHyperlink"/>
    <w:basedOn w:val="DefaultParagraphFont"/>
    <w:uiPriority w:val="99"/>
    <w:semiHidden/>
    <w:unhideWhenUsed/>
    <w:rsid w:val="00C16D39"/>
    <w:rPr>
      <w:color w:val="954F72" w:themeColor="followedHyperlink"/>
      <w:u w:val="single"/>
    </w:rPr>
  </w:style>
  <w:style w:type="paragraph" w:styleId="ListParagraph">
    <w:name w:val="List Paragraph"/>
    <w:aliases w:val="Párrafo de lista1,List Paragraph1,Colorful List - Accent 11,List Paragraph11"/>
    <w:basedOn w:val="Normal"/>
    <w:link w:val="ListParagraphChar"/>
    <w:uiPriority w:val="34"/>
    <w:qFormat/>
    <w:rsid w:val="00C16D39"/>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336CDA"/>
  </w:style>
  <w:style w:type="character" w:styleId="CommentReference">
    <w:name w:val="annotation reference"/>
    <w:basedOn w:val="DefaultParagraphFont"/>
    <w:uiPriority w:val="99"/>
    <w:semiHidden/>
    <w:unhideWhenUsed/>
    <w:rsid w:val="005C2923"/>
    <w:rPr>
      <w:sz w:val="16"/>
      <w:szCs w:val="16"/>
    </w:rPr>
  </w:style>
  <w:style w:type="paragraph" w:styleId="CommentText">
    <w:name w:val="annotation text"/>
    <w:basedOn w:val="Normal"/>
    <w:link w:val="CommentTextChar"/>
    <w:uiPriority w:val="99"/>
    <w:semiHidden/>
    <w:unhideWhenUsed/>
    <w:rsid w:val="005C2923"/>
    <w:pPr>
      <w:spacing w:line="240" w:lineRule="auto"/>
    </w:pPr>
    <w:rPr>
      <w:sz w:val="20"/>
      <w:szCs w:val="20"/>
    </w:rPr>
  </w:style>
  <w:style w:type="character" w:customStyle="1" w:styleId="CommentTextChar">
    <w:name w:val="Comment Text Char"/>
    <w:basedOn w:val="DefaultParagraphFont"/>
    <w:link w:val="CommentText"/>
    <w:uiPriority w:val="99"/>
    <w:semiHidden/>
    <w:rsid w:val="005C2923"/>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5C2923"/>
    <w:rPr>
      <w:b/>
      <w:bCs/>
    </w:rPr>
  </w:style>
  <w:style w:type="character" w:customStyle="1" w:styleId="CommentSubjectChar">
    <w:name w:val="Comment Subject Char"/>
    <w:basedOn w:val="CommentTextChar"/>
    <w:link w:val="CommentSubject"/>
    <w:uiPriority w:val="99"/>
    <w:semiHidden/>
    <w:rsid w:val="005C2923"/>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5C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23"/>
    <w:rPr>
      <w:rFonts w:ascii="Tahoma" w:eastAsia="Calibri" w:hAnsi="Tahoma" w:cs="Tahoma"/>
      <w:sz w:val="16"/>
      <w:szCs w:val="16"/>
      <w:lang w:val="pt-BR"/>
    </w:rPr>
  </w:style>
  <w:style w:type="paragraph" w:styleId="NoSpacing">
    <w:name w:val="No Spacing"/>
    <w:uiPriority w:val="1"/>
    <w:qFormat/>
    <w:rsid w:val="00B07540"/>
    <w:pPr>
      <w:spacing w:after="0" w:line="240" w:lineRule="auto"/>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387">
      <w:bodyDiv w:val="1"/>
      <w:marLeft w:val="0"/>
      <w:marRight w:val="0"/>
      <w:marTop w:val="0"/>
      <w:marBottom w:val="0"/>
      <w:divBdr>
        <w:top w:val="none" w:sz="0" w:space="0" w:color="auto"/>
        <w:left w:val="none" w:sz="0" w:space="0" w:color="auto"/>
        <w:bottom w:val="none" w:sz="0" w:space="0" w:color="auto"/>
        <w:right w:val="none" w:sz="0" w:space="0" w:color="auto"/>
      </w:divBdr>
    </w:div>
    <w:div w:id="584803665">
      <w:bodyDiv w:val="1"/>
      <w:marLeft w:val="0"/>
      <w:marRight w:val="0"/>
      <w:marTop w:val="0"/>
      <w:marBottom w:val="0"/>
      <w:divBdr>
        <w:top w:val="none" w:sz="0" w:space="0" w:color="auto"/>
        <w:left w:val="none" w:sz="0" w:space="0" w:color="auto"/>
        <w:bottom w:val="none" w:sz="0" w:space="0" w:color="auto"/>
        <w:right w:val="none" w:sz="0" w:space="0" w:color="auto"/>
      </w:divBdr>
    </w:div>
    <w:div w:id="1088621814">
      <w:bodyDiv w:val="1"/>
      <w:marLeft w:val="0"/>
      <w:marRight w:val="0"/>
      <w:marTop w:val="0"/>
      <w:marBottom w:val="0"/>
      <w:divBdr>
        <w:top w:val="none" w:sz="0" w:space="0" w:color="auto"/>
        <w:left w:val="none" w:sz="0" w:space="0" w:color="auto"/>
        <w:bottom w:val="none" w:sz="0" w:space="0" w:color="auto"/>
        <w:right w:val="none" w:sz="0" w:space="0" w:color="auto"/>
      </w:divBdr>
    </w:div>
    <w:div w:id="1278487196">
      <w:bodyDiv w:val="1"/>
      <w:marLeft w:val="0"/>
      <w:marRight w:val="0"/>
      <w:marTop w:val="0"/>
      <w:marBottom w:val="0"/>
      <w:divBdr>
        <w:top w:val="none" w:sz="0" w:space="0" w:color="auto"/>
        <w:left w:val="none" w:sz="0" w:space="0" w:color="auto"/>
        <w:bottom w:val="none" w:sz="0" w:space="0" w:color="auto"/>
        <w:right w:val="none" w:sz="0" w:space="0" w:color="auto"/>
      </w:divBdr>
    </w:div>
    <w:div w:id="1567835089">
      <w:bodyDiv w:val="1"/>
      <w:marLeft w:val="0"/>
      <w:marRight w:val="0"/>
      <w:marTop w:val="0"/>
      <w:marBottom w:val="0"/>
      <w:divBdr>
        <w:top w:val="none" w:sz="0" w:space="0" w:color="auto"/>
        <w:left w:val="none" w:sz="0" w:space="0" w:color="auto"/>
        <w:bottom w:val="none" w:sz="0" w:space="0" w:color="auto"/>
        <w:right w:val="none" w:sz="0" w:space="0" w:color="auto"/>
      </w:divBdr>
      <w:divsChild>
        <w:div w:id="584189034">
          <w:marLeft w:val="0"/>
          <w:marRight w:val="0"/>
          <w:marTop w:val="0"/>
          <w:marBottom w:val="0"/>
          <w:divBdr>
            <w:top w:val="none" w:sz="0" w:space="0" w:color="auto"/>
            <w:left w:val="none" w:sz="0" w:space="0" w:color="auto"/>
            <w:bottom w:val="none" w:sz="0" w:space="0" w:color="auto"/>
            <w:right w:val="none" w:sz="0" w:space="0" w:color="auto"/>
          </w:divBdr>
          <w:divsChild>
            <w:div w:id="1333407485">
              <w:marLeft w:val="0"/>
              <w:marRight w:val="0"/>
              <w:marTop w:val="0"/>
              <w:marBottom w:val="0"/>
              <w:divBdr>
                <w:top w:val="none" w:sz="0" w:space="0" w:color="auto"/>
                <w:left w:val="none" w:sz="0" w:space="0" w:color="auto"/>
                <w:bottom w:val="none" w:sz="0" w:space="0" w:color="auto"/>
                <w:right w:val="none" w:sz="0" w:space="0" w:color="auto"/>
              </w:divBdr>
              <w:divsChild>
                <w:div w:id="2016153700">
                  <w:marLeft w:val="0"/>
                  <w:marRight w:val="0"/>
                  <w:marTop w:val="0"/>
                  <w:marBottom w:val="0"/>
                  <w:divBdr>
                    <w:top w:val="none" w:sz="0" w:space="0" w:color="auto"/>
                    <w:left w:val="none" w:sz="0" w:space="0" w:color="auto"/>
                    <w:bottom w:val="none" w:sz="0" w:space="0" w:color="auto"/>
                    <w:right w:val="none" w:sz="0" w:space="0" w:color="auto"/>
                  </w:divBdr>
                  <w:divsChild>
                    <w:div w:id="1306350090">
                      <w:marLeft w:val="0"/>
                      <w:marRight w:val="0"/>
                      <w:marTop w:val="0"/>
                      <w:marBottom w:val="0"/>
                      <w:divBdr>
                        <w:top w:val="none" w:sz="0" w:space="0" w:color="auto"/>
                        <w:left w:val="none" w:sz="0" w:space="0" w:color="auto"/>
                        <w:bottom w:val="none" w:sz="0" w:space="0" w:color="auto"/>
                        <w:right w:val="none" w:sz="0" w:space="0" w:color="auto"/>
                      </w:divBdr>
                      <w:divsChild>
                        <w:div w:id="287322431">
                          <w:marLeft w:val="0"/>
                          <w:marRight w:val="0"/>
                          <w:marTop w:val="0"/>
                          <w:marBottom w:val="0"/>
                          <w:divBdr>
                            <w:top w:val="none" w:sz="0" w:space="0" w:color="auto"/>
                            <w:left w:val="none" w:sz="0" w:space="0" w:color="auto"/>
                            <w:bottom w:val="none" w:sz="0" w:space="0" w:color="auto"/>
                            <w:right w:val="none" w:sz="0" w:space="0" w:color="auto"/>
                          </w:divBdr>
                          <w:divsChild>
                            <w:div w:id="1353728919">
                              <w:marLeft w:val="0"/>
                              <w:marRight w:val="0"/>
                              <w:marTop w:val="0"/>
                              <w:marBottom w:val="0"/>
                              <w:divBdr>
                                <w:top w:val="none" w:sz="0" w:space="0" w:color="auto"/>
                                <w:left w:val="none" w:sz="0" w:space="0" w:color="auto"/>
                                <w:bottom w:val="none" w:sz="0" w:space="0" w:color="auto"/>
                                <w:right w:val="none" w:sz="0" w:space="0" w:color="auto"/>
                              </w:divBdr>
                              <w:divsChild>
                                <w:div w:id="369913983">
                                  <w:marLeft w:val="0"/>
                                  <w:marRight w:val="0"/>
                                  <w:marTop w:val="0"/>
                                  <w:marBottom w:val="0"/>
                                  <w:divBdr>
                                    <w:top w:val="none" w:sz="0" w:space="0" w:color="auto"/>
                                    <w:left w:val="none" w:sz="0" w:space="0" w:color="auto"/>
                                    <w:bottom w:val="none" w:sz="0" w:space="0" w:color="auto"/>
                                    <w:right w:val="none" w:sz="0" w:space="0" w:color="auto"/>
                                  </w:divBdr>
                                  <w:divsChild>
                                    <w:div w:id="418986005">
                                      <w:marLeft w:val="0"/>
                                      <w:marRight w:val="0"/>
                                      <w:marTop w:val="0"/>
                                      <w:marBottom w:val="0"/>
                                      <w:divBdr>
                                        <w:top w:val="none" w:sz="0" w:space="0" w:color="auto"/>
                                        <w:left w:val="none" w:sz="0" w:space="0" w:color="auto"/>
                                        <w:bottom w:val="none" w:sz="0" w:space="0" w:color="auto"/>
                                        <w:right w:val="none" w:sz="0" w:space="0" w:color="auto"/>
                                      </w:divBdr>
                                      <w:divsChild>
                                        <w:div w:id="1083721710">
                                          <w:marLeft w:val="0"/>
                                          <w:marRight w:val="0"/>
                                          <w:marTop w:val="0"/>
                                          <w:marBottom w:val="495"/>
                                          <w:divBdr>
                                            <w:top w:val="none" w:sz="0" w:space="0" w:color="auto"/>
                                            <w:left w:val="none" w:sz="0" w:space="0" w:color="auto"/>
                                            <w:bottom w:val="none" w:sz="0" w:space="0" w:color="auto"/>
                                            <w:right w:val="none" w:sz="0" w:space="0" w:color="auto"/>
                                          </w:divBdr>
                                          <w:divsChild>
                                            <w:div w:id="17245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5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dh.oas.org/annualrep/2005sp/Chile12142.sp.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h.oas.org/annualrep/2008sp/cap3.D.4sp.htm" TargetMode="External"/><Relationship Id="rId4" Type="http://schemas.openxmlformats.org/officeDocument/2006/relationships/settings" Target="settings.xml"/><Relationship Id="rId9" Type="http://schemas.openxmlformats.org/officeDocument/2006/relationships/hyperlink" Target="http://www.cidh.oas.org/annualrep/2000sp/CapituloIII/Admisible/Chile12.142.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idh.oas.org/annualrep/2005sp/Chile12142.sp.htm" TargetMode="External"/><Relationship Id="rId2" Type="http://schemas.openxmlformats.org/officeDocument/2006/relationships/hyperlink" Target="http://www.cidh.oas.org/annualrep/2008sp/cap3.D.4sp.htm" TargetMode="External"/><Relationship Id="rId1" Type="http://schemas.openxmlformats.org/officeDocument/2006/relationships/hyperlink" Target="http://www.cidh.oas.org/annualrep/2008sp/cap3.D.4sp.htm" TargetMode="External"/><Relationship Id="rId4" Type="http://schemas.openxmlformats.org/officeDocument/2006/relationships/hyperlink" Target="https://www.cidh.oas.org/annualrep/2005sp/Chile12142.s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D775-FF0A-4471-A250-ADE31C75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(Gourier, Madeleine)</dc:creator>
  <cp:lastModifiedBy>CIDH Becario 16 (Paez, Catalina)</cp:lastModifiedBy>
  <cp:revision>125</cp:revision>
  <dcterms:created xsi:type="dcterms:W3CDTF">2019-03-22T20:29:00Z</dcterms:created>
  <dcterms:modified xsi:type="dcterms:W3CDTF">2019-07-30T14:50:00Z</dcterms:modified>
</cp:coreProperties>
</file>