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09" w:rsidRPr="0009735A" w:rsidRDefault="00CD3709" w:rsidP="00F43C85">
      <w:pPr>
        <w:jc w:val="center"/>
        <w:rPr>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6" type="#_x0000_t75" alt="logo_XIXCIMT" style="position:absolute;left:0;text-align:left;margin-left:417.6pt;margin-top:-36pt;width:46.15pt;height:80.8pt;z-index:-251658752;visibility:visible">
            <v:imagedata r:id="rId7" o:title="" cropbottom="10486f" cropleft="23656f" cropright="23027f"/>
          </v:shape>
        </w:pict>
      </w:r>
      <w:r>
        <w:rPr>
          <w:noProof/>
        </w:rPr>
        <w:pict>
          <v:shape id="Picture 18" o:spid="_x0000_s1027" type="#_x0000_t75" alt="OAS_eng_2015" style="position:absolute;left:0;text-align:left;margin-left:-9pt;margin-top:-36pt;width:225pt;height:48.6pt;z-index:-251659776;visibility:visible">
            <v:imagedata r:id="rId8" o:title=""/>
          </v:shape>
        </w:pict>
      </w:r>
    </w:p>
    <w:p w:rsidR="00CD3709" w:rsidRPr="0009735A" w:rsidRDefault="00CD3709" w:rsidP="00F43C85">
      <w:pPr>
        <w:jc w:val="center"/>
        <w:rPr>
          <w:b/>
          <w:sz w:val="26"/>
          <w:szCs w:val="26"/>
        </w:rPr>
      </w:pPr>
    </w:p>
    <w:p w:rsidR="00CD3709" w:rsidRPr="0009735A" w:rsidRDefault="00CD3709" w:rsidP="00F43C85">
      <w:pPr>
        <w:jc w:val="center"/>
        <w:rPr>
          <w:rFonts w:ascii="Calibri" w:hAnsi="Calibri"/>
          <w:b/>
          <w:sz w:val="26"/>
          <w:szCs w:val="26"/>
        </w:rPr>
      </w:pPr>
    </w:p>
    <w:p w:rsidR="00CD3709" w:rsidRPr="0009735A" w:rsidRDefault="00CD3709" w:rsidP="00531463">
      <w:pPr>
        <w:jc w:val="center"/>
        <w:rPr>
          <w:rFonts w:ascii="Calibri" w:hAnsi="Calibri"/>
          <w:b/>
          <w:caps/>
          <w:sz w:val="26"/>
          <w:szCs w:val="26"/>
        </w:rPr>
      </w:pPr>
      <w:r>
        <w:rPr>
          <w:rFonts w:ascii="Calibri" w:hAnsi="Calibri"/>
          <w:b/>
          <w:caps/>
          <w:sz w:val="26"/>
          <w:szCs w:val="26"/>
        </w:rPr>
        <w:t>2016 – 2017</w:t>
      </w:r>
      <w:r w:rsidRPr="0009735A">
        <w:rPr>
          <w:rFonts w:ascii="Calibri" w:hAnsi="Calibri"/>
          <w:b/>
          <w:caps/>
          <w:sz w:val="26"/>
          <w:szCs w:val="26"/>
        </w:rPr>
        <w:t xml:space="preserve"> CALENDAR OF ACTIVITIES </w:t>
      </w:r>
    </w:p>
    <w:p w:rsidR="00CD3709" w:rsidRPr="0009735A" w:rsidRDefault="00CD3709" w:rsidP="00531463">
      <w:pPr>
        <w:jc w:val="center"/>
        <w:rPr>
          <w:rFonts w:ascii="Calibri" w:hAnsi="Calibri"/>
          <w:b/>
          <w:caps/>
          <w:sz w:val="12"/>
          <w:szCs w:val="12"/>
        </w:rPr>
      </w:pPr>
    </w:p>
    <w:p w:rsidR="00CD3709" w:rsidRPr="0009735A" w:rsidRDefault="00CD3709" w:rsidP="00531463">
      <w:pPr>
        <w:jc w:val="center"/>
        <w:rPr>
          <w:rFonts w:ascii="Calibri" w:hAnsi="Calibri"/>
          <w:b/>
          <w:caps/>
          <w:sz w:val="26"/>
          <w:szCs w:val="26"/>
        </w:rPr>
      </w:pPr>
      <w:r w:rsidRPr="0009735A">
        <w:rPr>
          <w:rFonts w:ascii="Calibri" w:hAnsi="Calibri"/>
          <w:b/>
          <w:caps/>
          <w:sz w:val="26"/>
          <w:szCs w:val="26"/>
        </w:rPr>
        <w:t>OF THE INTER-AMERICAN CONFERENCE OF MINISTERS OF LABOR (IACML)</w:t>
      </w:r>
    </w:p>
    <w:p w:rsidR="00CD3709" w:rsidRPr="0009735A" w:rsidRDefault="00CD3709" w:rsidP="00531463">
      <w:pPr>
        <w:rPr>
          <w:rFonts w:ascii="Calibri" w:hAnsi="Calibri"/>
          <w:b/>
          <w:bCs/>
          <w:sz w:val="22"/>
          <w:szCs w:val="22"/>
        </w:rPr>
      </w:pPr>
    </w:p>
    <w:p w:rsidR="00CD3709" w:rsidRPr="007753D3" w:rsidRDefault="00CD3709" w:rsidP="007753D3">
      <w:pPr>
        <w:jc w:val="center"/>
        <w:rPr>
          <w:rFonts w:ascii="Calibri" w:hAnsi="Calibri"/>
          <w:bCs/>
          <w:i/>
          <w:sz w:val="22"/>
          <w:szCs w:val="22"/>
        </w:rPr>
      </w:pPr>
      <w:r w:rsidRPr="0016181F">
        <w:rPr>
          <w:rFonts w:ascii="Calibri" w:hAnsi="Calibri"/>
          <w:bCs/>
          <w:i/>
          <w:sz w:val="22"/>
          <w:szCs w:val="22"/>
        </w:rPr>
        <w:t xml:space="preserve">(Conclusions and Results of the </w:t>
      </w:r>
      <w:r>
        <w:rPr>
          <w:rFonts w:ascii="Calibri" w:hAnsi="Calibri"/>
          <w:bCs/>
          <w:i/>
          <w:sz w:val="22"/>
          <w:szCs w:val="22"/>
        </w:rPr>
        <w:t>2016 – 2017</w:t>
      </w:r>
      <w:r w:rsidRPr="0016181F">
        <w:rPr>
          <w:rFonts w:ascii="Calibri" w:hAnsi="Calibri"/>
          <w:bCs/>
          <w:i/>
          <w:sz w:val="22"/>
          <w:szCs w:val="22"/>
        </w:rPr>
        <w:t xml:space="preserve"> Planning Meeting)</w:t>
      </w:r>
    </w:p>
    <w:p w:rsidR="00CD3709" w:rsidRPr="00896953" w:rsidRDefault="00CD3709" w:rsidP="00F43C85">
      <w:pPr>
        <w:rPr>
          <w:rFonts w:ascii="Calibri" w:hAnsi="Calibri"/>
          <w:b/>
          <w:bCs/>
          <w:sz w:val="22"/>
          <w:szCs w:val="22"/>
        </w:rPr>
      </w:pPr>
    </w:p>
    <w:p w:rsidR="00CD3709" w:rsidRPr="0009735A" w:rsidRDefault="00CD3709" w:rsidP="00476029">
      <w:pPr>
        <w:jc w:val="both"/>
        <w:rPr>
          <w:rFonts w:ascii="Calibri" w:hAnsi="Calibri"/>
          <w:b/>
          <w:sz w:val="22"/>
          <w:szCs w:val="22"/>
        </w:rPr>
      </w:pPr>
      <w:r w:rsidRPr="0009735A">
        <w:rPr>
          <w:rFonts w:ascii="Calibri" w:hAnsi="Calibri"/>
          <w:b/>
          <w:sz w:val="22"/>
          <w:szCs w:val="22"/>
        </w:rPr>
        <w:t>INDEX</w:t>
      </w:r>
    </w:p>
    <w:p w:rsidR="00CD3709" w:rsidRPr="0009735A" w:rsidRDefault="00CD3709" w:rsidP="00476029">
      <w:pPr>
        <w:jc w:val="both"/>
        <w:rPr>
          <w:rFonts w:ascii="Calibri" w:hAnsi="Calibri"/>
          <w:b/>
          <w:color w:val="0000FF"/>
          <w:sz w:val="22"/>
          <w:szCs w:val="22"/>
        </w:rPr>
      </w:pPr>
    </w:p>
    <w:p w:rsidR="00CD3709" w:rsidRPr="00DD7896" w:rsidRDefault="00CD3709" w:rsidP="00476029">
      <w:pPr>
        <w:spacing w:after="120"/>
        <w:jc w:val="both"/>
        <w:rPr>
          <w:rFonts w:ascii="Calibri" w:hAnsi="Calibri"/>
          <w:sz w:val="22"/>
          <w:szCs w:val="22"/>
        </w:rPr>
      </w:pPr>
      <w:r w:rsidRPr="00DD7896">
        <w:rPr>
          <w:rFonts w:ascii="Calibri" w:hAnsi="Calibri"/>
          <w:sz w:val="22"/>
          <w:szCs w:val="22"/>
        </w:rPr>
        <w:t>I.</w:t>
      </w:r>
      <w:r w:rsidRPr="00DD7896">
        <w:rPr>
          <w:rFonts w:ascii="Calibri" w:hAnsi="Calibri"/>
          <w:sz w:val="22"/>
          <w:szCs w:val="22"/>
        </w:rPr>
        <w:tab/>
        <w:t>Introduction………………………………………………………………………..………..…………….…....</w:t>
      </w:r>
      <w:r w:rsidRPr="00DD7896">
        <w:rPr>
          <w:rFonts w:ascii="Calibri" w:hAnsi="Calibri"/>
          <w:sz w:val="22"/>
          <w:szCs w:val="22"/>
        </w:rPr>
        <w:tab/>
        <w:t>1</w:t>
      </w:r>
    </w:p>
    <w:p w:rsidR="00CD3709" w:rsidRPr="00DD7896" w:rsidRDefault="00CD3709" w:rsidP="00476029">
      <w:pPr>
        <w:spacing w:after="120"/>
        <w:jc w:val="both"/>
        <w:rPr>
          <w:rFonts w:ascii="Calibri" w:hAnsi="Calibri"/>
          <w:sz w:val="22"/>
          <w:szCs w:val="22"/>
        </w:rPr>
      </w:pPr>
      <w:r w:rsidRPr="00DD7896">
        <w:rPr>
          <w:rFonts w:ascii="Calibri" w:hAnsi="Calibri"/>
          <w:sz w:val="22"/>
          <w:szCs w:val="22"/>
        </w:rPr>
        <w:t>II.</w:t>
      </w:r>
      <w:r w:rsidRPr="00DD7896">
        <w:rPr>
          <w:rFonts w:ascii="Calibri" w:hAnsi="Calibri"/>
          <w:sz w:val="22"/>
          <w:szCs w:val="22"/>
        </w:rPr>
        <w:tab/>
        <w:t>201</w:t>
      </w:r>
      <w:r>
        <w:rPr>
          <w:rFonts w:ascii="Calibri" w:hAnsi="Calibri"/>
          <w:sz w:val="22"/>
          <w:szCs w:val="22"/>
        </w:rPr>
        <w:t>6</w:t>
      </w:r>
      <w:r w:rsidRPr="00DD7896">
        <w:rPr>
          <w:rFonts w:ascii="Calibri" w:hAnsi="Calibri"/>
          <w:sz w:val="22"/>
          <w:szCs w:val="22"/>
        </w:rPr>
        <w:t xml:space="preserve"> – 201</w:t>
      </w:r>
      <w:r>
        <w:rPr>
          <w:rFonts w:ascii="Calibri" w:hAnsi="Calibri"/>
          <w:sz w:val="22"/>
          <w:szCs w:val="22"/>
        </w:rPr>
        <w:t>7</w:t>
      </w:r>
      <w:r w:rsidRPr="00DD7896">
        <w:rPr>
          <w:rFonts w:ascii="Calibri" w:hAnsi="Calibri"/>
          <w:sz w:val="22"/>
          <w:szCs w:val="22"/>
        </w:rPr>
        <w:t xml:space="preserve"> Calendar of the IACML ……………………….............................................</w:t>
      </w:r>
      <w:r w:rsidRPr="00DD7896">
        <w:rPr>
          <w:rFonts w:ascii="Calibri" w:hAnsi="Calibri"/>
          <w:sz w:val="22"/>
          <w:szCs w:val="22"/>
        </w:rPr>
        <w:tab/>
        <w:t>2</w:t>
      </w:r>
    </w:p>
    <w:p w:rsidR="00CD3709" w:rsidRPr="00DD7896" w:rsidRDefault="00CD3709" w:rsidP="00476029">
      <w:pPr>
        <w:spacing w:after="120"/>
        <w:jc w:val="both"/>
        <w:rPr>
          <w:rFonts w:ascii="Calibri" w:hAnsi="Calibri"/>
          <w:sz w:val="22"/>
          <w:szCs w:val="22"/>
        </w:rPr>
      </w:pPr>
      <w:r w:rsidRPr="00DD7896">
        <w:rPr>
          <w:rFonts w:ascii="Calibri" w:hAnsi="Calibri"/>
          <w:sz w:val="22"/>
          <w:szCs w:val="22"/>
        </w:rPr>
        <w:t>III.</w:t>
      </w:r>
      <w:r w:rsidRPr="00DD7896">
        <w:rPr>
          <w:rFonts w:ascii="Calibri" w:hAnsi="Calibri"/>
          <w:sz w:val="22"/>
          <w:szCs w:val="22"/>
        </w:rPr>
        <w:tab/>
        <w:t xml:space="preserve">Priority Topics for the Working Groups </w:t>
      </w:r>
      <w:r>
        <w:rPr>
          <w:rFonts w:ascii="Calibri" w:hAnsi="Calibri"/>
          <w:sz w:val="22"/>
          <w:szCs w:val="22"/>
        </w:rPr>
        <w:t>……..</w:t>
      </w:r>
      <w:r w:rsidRPr="00DD7896">
        <w:rPr>
          <w:rFonts w:ascii="Calibri" w:hAnsi="Calibri"/>
          <w:sz w:val="22"/>
          <w:szCs w:val="22"/>
        </w:rPr>
        <w:t>…....................................................</w:t>
      </w:r>
      <w:r>
        <w:rPr>
          <w:rFonts w:ascii="Calibri" w:hAnsi="Calibri"/>
          <w:sz w:val="22"/>
          <w:szCs w:val="22"/>
        </w:rPr>
        <w:t>...</w:t>
      </w:r>
      <w:r>
        <w:rPr>
          <w:rFonts w:ascii="Calibri" w:hAnsi="Calibri"/>
          <w:sz w:val="22"/>
          <w:szCs w:val="22"/>
        </w:rPr>
        <w:tab/>
        <w:t>5</w:t>
      </w:r>
    </w:p>
    <w:p w:rsidR="00CD3709" w:rsidRPr="00DD7896" w:rsidRDefault="00CD3709" w:rsidP="00476029">
      <w:pPr>
        <w:spacing w:after="120"/>
        <w:jc w:val="both"/>
        <w:rPr>
          <w:rFonts w:ascii="Calibri" w:hAnsi="Calibri"/>
          <w:sz w:val="22"/>
          <w:szCs w:val="22"/>
        </w:rPr>
      </w:pPr>
      <w:r w:rsidRPr="00DD7896">
        <w:rPr>
          <w:rFonts w:ascii="Calibri" w:hAnsi="Calibri"/>
          <w:sz w:val="22"/>
          <w:szCs w:val="22"/>
        </w:rPr>
        <w:t>IV.</w:t>
      </w:r>
      <w:r w:rsidRPr="00DD7896">
        <w:rPr>
          <w:rFonts w:ascii="Calibri" w:hAnsi="Calibri"/>
          <w:sz w:val="22"/>
          <w:szCs w:val="22"/>
        </w:rPr>
        <w:tab/>
        <w:t>Resources of the Inter-American Network for Labor Administration (RIAL)………</w:t>
      </w:r>
      <w:r>
        <w:rPr>
          <w:rFonts w:ascii="Calibri" w:hAnsi="Calibri"/>
          <w:sz w:val="22"/>
          <w:szCs w:val="22"/>
        </w:rPr>
        <w:t>..</w:t>
      </w:r>
      <w:r>
        <w:rPr>
          <w:rFonts w:ascii="Calibri" w:hAnsi="Calibri"/>
          <w:sz w:val="22"/>
          <w:szCs w:val="22"/>
        </w:rPr>
        <w:tab/>
        <w:t>5</w:t>
      </w:r>
    </w:p>
    <w:p w:rsidR="00CD3709" w:rsidRPr="00DD7896" w:rsidRDefault="00CD3709" w:rsidP="00476029">
      <w:pPr>
        <w:spacing w:after="120"/>
        <w:jc w:val="both"/>
        <w:rPr>
          <w:rFonts w:ascii="Calibri" w:hAnsi="Calibri"/>
          <w:sz w:val="22"/>
          <w:szCs w:val="22"/>
        </w:rPr>
      </w:pPr>
      <w:r w:rsidRPr="00DD7896">
        <w:rPr>
          <w:rFonts w:ascii="Calibri" w:hAnsi="Calibri"/>
          <w:sz w:val="22"/>
          <w:szCs w:val="22"/>
        </w:rPr>
        <w:t>V.</w:t>
      </w:r>
      <w:r w:rsidRPr="00DD7896">
        <w:rPr>
          <w:rFonts w:ascii="Calibri" w:hAnsi="Calibri"/>
          <w:sz w:val="22"/>
          <w:szCs w:val="22"/>
        </w:rPr>
        <w:tab/>
        <w:t xml:space="preserve">Other activities and proposals related </w:t>
      </w:r>
      <w:r>
        <w:rPr>
          <w:rFonts w:ascii="Calibri" w:hAnsi="Calibri"/>
          <w:sz w:val="22"/>
          <w:szCs w:val="22"/>
        </w:rPr>
        <w:t>to the IACML………………………….…………….…</w:t>
      </w:r>
      <w:r>
        <w:rPr>
          <w:rFonts w:ascii="Calibri" w:hAnsi="Calibri"/>
          <w:sz w:val="22"/>
          <w:szCs w:val="22"/>
        </w:rPr>
        <w:tab/>
        <w:t>7</w:t>
      </w:r>
    </w:p>
    <w:p w:rsidR="00CD3709" w:rsidRPr="00DD7896" w:rsidRDefault="00CD3709" w:rsidP="00476029">
      <w:pPr>
        <w:jc w:val="both"/>
        <w:rPr>
          <w:rFonts w:ascii="Calibri" w:hAnsi="Calibri"/>
          <w:sz w:val="22"/>
          <w:szCs w:val="22"/>
        </w:rPr>
      </w:pPr>
      <w:r w:rsidRPr="00DD7896">
        <w:rPr>
          <w:rFonts w:ascii="Calibri" w:hAnsi="Calibri"/>
          <w:sz w:val="22"/>
          <w:szCs w:val="22"/>
        </w:rPr>
        <w:tab/>
        <w:t xml:space="preserve">6.1  International events </w:t>
      </w:r>
    </w:p>
    <w:p w:rsidR="00CD3709" w:rsidRPr="00DD7896" w:rsidRDefault="00CD3709" w:rsidP="00975652">
      <w:pPr>
        <w:ind w:firstLine="720"/>
        <w:jc w:val="both"/>
        <w:rPr>
          <w:rFonts w:ascii="Calibri" w:hAnsi="Calibri"/>
          <w:sz w:val="22"/>
          <w:szCs w:val="22"/>
        </w:rPr>
      </w:pPr>
      <w:r w:rsidRPr="00DD7896">
        <w:rPr>
          <w:rFonts w:ascii="Calibri" w:hAnsi="Calibri"/>
          <w:sz w:val="22"/>
          <w:szCs w:val="22"/>
        </w:rPr>
        <w:t xml:space="preserve">6.2  Initiatives of International organizations </w:t>
      </w:r>
    </w:p>
    <w:p w:rsidR="00CD3709" w:rsidRPr="00DD7896" w:rsidRDefault="00CD3709" w:rsidP="004D6F80">
      <w:pPr>
        <w:spacing w:after="120"/>
        <w:jc w:val="both"/>
        <w:rPr>
          <w:rFonts w:ascii="Calibri" w:hAnsi="Calibri"/>
          <w:sz w:val="22"/>
          <w:szCs w:val="22"/>
        </w:rPr>
      </w:pPr>
    </w:p>
    <w:p w:rsidR="00CD3709" w:rsidRPr="008A302D" w:rsidRDefault="00CD3709" w:rsidP="00423FB3">
      <w:pPr>
        <w:spacing w:after="120"/>
        <w:jc w:val="both"/>
        <w:rPr>
          <w:rFonts w:ascii="Calibri" w:hAnsi="Calibri"/>
          <w:sz w:val="22"/>
          <w:szCs w:val="22"/>
        </w:rPr>
      </w:pPr>
      <w:r>
        <w:rPr>
          <w:rFonts w:ascii="Calibri" w:hAnsi="Calibri"/>
          <w:sz w:val="22"/>
          <w:szCs w:val="22"/>
        </w:rPr>
        <w:t>APPENDIX  1 – 2016-2017</w:t>
      </w:r>
      <w:r w:rsidRPr="008A302D">
        <w:rPr>
          <w:rFonts w:ascii="Calibri" w:hAnsi="Calibri"/>
          <w:sz w:val="22"/>
          <w:szCs w:val="22"/>
        </w:rPr>
        <w:t xml:space="preserve"> Timetable of A</w:t>
      </w:r>
      <w:r>
        <w:rPr>
          <w:rFonts w:ascii="Calibri" w:hAnsi="Calibri"/>
          <w:sz w:val="22"/>
          <w:szCs w:val="22"/>
        </w:rPr>
        <w:t>ctivities of the IACML …………………………..……..</w:t>
      </w:r>
      <w:r w:rsidRPr="008A302D">
        <w:rPr>
          <w:rFonts w:ascii="Calibri" w:hAnsi="Calibri"/>
          <w:sz w:val="22"/>
          <w:szCs w:val="22"/>
        </w:rPr>
        <w:t>….</w:t>
      </w:r>
      <w:r w:rsidRPr="008A302D">
        <w:rPr>
          <w:rFonts w:ascii="Calibri" w:hAnsi="Calibri"/>
          <w:sz w:val="22"/>
          <w:szCs w:val="22"/>
        </w:rPr>
        <w:tab/>
        <w:t xml:space="preserve">11 </w:t>
      </w:r>
    </w:p>
    <w:p w:rsidR="00CD3709" w:rsidRPr="009D3EC7" w:rsidRDefault="00CD3709" w:rsidP="00476029">
      <w:pPr>
        <w:ind w:firstLine="720"/>
        <w:jc w:val="both"/>
        <w:rPr>
          <w:rFonts w:ascii="Calibri" w:hAnsi="Calibri"/>
          <w:sz w:val="22"/>
          <w:szCs w:val="22"/>
        </w:rPr>
      </w:pPr>
    </w:p>
    <w:p w:rsidR="00CD3709" w:rsidRPr="009D3EC7" w:rsidRDefault="00CD3709" w:rsidP="00476029">
      <w:pPr>
        <w:jc w:val="both"/>
        <w:rPr>
          <w:rFonts w:ascii="Calibri" w:hAnsi="Calibri"/>
          <w:b/>
          <w:sz w:val="22"/>
          <w:szCs w:val="22"/>
        </w:rPr>
      </w:pPr>
    </w:p>
    <w:p w:rsidR="00CD3709" w:rsidRPr="0009735A" w:rsidRDefault="00CD3709" w:rsidP="00476029">
      <w:pPr>
        <w:jc w:val="both"/>
        <w:rPr>
          <w:rFonts w:ascii="Calibri" w:hAnsi="Calibri"/>
          <w:b/>
          <w:sz w:val="22"/>
          <w:szCs w:val="22"/>
        </w:rPr>
      </w:pPr>
      <w:r w:rsidRPr="0009735A">
        <w:rPr>
          <w:rFonts w:ascii="Calibri" w:hAnsi="Calibri"/>
          <w:b/>
          <w:sz w:val="22"/>
          <w:szCs w:val="22"/>
        </w:rPr>
        <w:t>I. INTRODUCTION</w:t>
      </w:r>
    </w:p>
    <w:p w:rsidR="00CD3709" w:rsidRPr="0009735A" w:rsidRDefault="00CD3709" w:rsidP="00476029">
      <w:pPr>
        <w:pStyle w:val="BodyText"/>
        <w:spacing w:after="0"/>
        <w:jc w:val="both"/>
        <w:rPr>
          <w:rFonts w:ascii="Calibri" w:hAnsi="Calibri"/>
          <w:szCs w:val="22"/>
          <w:lang w:val="en-US"/>
        </w:rPr>
      </w:pPr>
    </w:p>
    <w:p w:rsidR="00CD3709" w:rsidRPr="006A695F" w:rsidRDefault="00CD3709" w:rsidP="002D4312">
      <w:pPr>
        <w:pStyle w:val="BodyText"/>
        <w:spacing w:after="0"/>
        <w:jc w:val="both"/>
        <w:rPr>
          <w:rFonts w:ascii="Calibri" w:hAnsi="Calibri"/>
          <w:szCs w:val="22"/>
          <w:lang w:val="en-US"/>
        </w:rPr>
      </w:pPr>
      <w:r w:rsidRPr="006A695F">
        <w:rPr>
          <w:rFonts w:ascii="Calibri" w:hAnsi="Calibri"/>
          <w:szCs w:val="22"/>
          <w:lang w:val="en-US"/>
        </w:rPr>
        <w:t xml:space="preserve">The 2016 - 2017 Planning Meeting of the Inter-American Conference of Ministers of Labor (IACML) took place on February 25 and 26, 2016 at the headquarters of the OAS in Washington, D.C. with the following objectives: Establish the IACML Calendar of Activities for 2016-2017 to implement the Declaration and Plan of Action of Cancun (XIX IACML); ensure coordination among the main actors of the IACML and define their financial or in-kind contributions; and review the financial situation of the RIAL and decide on the use of contributions received to date. </w:t>
      </w:r>
      <w:r w:rsidRPr="00F036D0">
        <w:rPr>
          <w:rFonts w:ascii="Calibri" w:hAnsi="Calibri"/>
          <w:szCs w:val="22"/>
          <w:lang w:val="en-US"/>
        </w:rPr>
        <w:t>All objectives were fully accomplished.</w:t>
      </w:r>
      <w:r>
        <w:rPr>
          <w:rFonts w:ascii="Calibri" w:hAnsi="Calibri"/>
          <w:szCs w:val="22"/>
          <w:lang w:val="en-US"/>
        </w:rPr>
        <w:t xml:space="preserve"> </w:t>
      </w:r>
    </w:p>
    <w:p w:rsidR="00CD3709" w:rsidRPr="006A695F" w:rsidRDefault="00CD3709" w:rsidP="002D4312">
      <w:pPr>
        <w:jc w:val="both"/>
        <w:rPr>
          <w:rFonts w:ascii="Calibri" w:hAnsi="Calibri"/>
          <w:sz w:val="22"/>
          <w:szCs w:val="22"/>
        </w:rPr>
      </w:pPr>
    </w:p>
    <w:p w:rsidR="00CD3709" w:rsidRPr="007753D3" w:rsidRDefault="00CD3709" w:rsidP="00FC4AD6">
      <w:pPr>
        <w:rPr>
          <w:rFonts w:ascii="Calibri" w:hAnsi="Calibri"/>
          <w:sz w:val="22"/>
          <w:szCs w:val="22"/>
        </w:rPr>
      </w:pPr>
      <w:r w:rsidRPr="006A695F">
        <w:rPr>
          <w:rFonts w:ascii="Calibri" w:hAnsi="Calibri"/>
          <w:sz w:val="22"/>
          <w:szCs w:val="22"/>
        </w:rPr>
        <w:t>The meeting was chaired by the Secretariat</w:t>
      </w:r>
      <w:r>
        <w:rPr>
          <w:rFonts w:ascii="Calibri" w:hAnsi="Calibri"/>
          <w:sz w:val="22"/>
          <w:szCs w:val="22"/>
        </w:rPr>
        <w:t xml:space="preserve"> </w:t>
      </w:r>
      <w:r w:rsidRPr="006A695F">
        <w:rPr>
          <w:rFonts w:ascii="Calibri" w:hAnsi="Calibri"/>
          <w:sz w:val="22"/>
          <w:szCs w:val="22"/>
        </w:rPr>
        <w:t>of Labor and Social Welfare of Mexico,</w:t>
      </w:r>
      <w:r>
        <w:rPr>
          <w:rFonts w:ascii="Calibri" w:hAnsi="Calibri"/>
          <w:sz w:val="22"/>
          <w:szCs w:val="22"/>
        </w:rPr>
        <w:t xml:space="preserve"> </w:t>
      </w:r>
      <w:r w:rsidRPr="00F036D0">
        <w:rPr>
          <w:rFonts w:ascii="Calibri" w:hAnsi="Calibri"/>
          <w:sz w:val="22"/>
          <w:szCs w:val="22"/>
        </w:rPr>
        <w:t>as Chair of the XIX</w:t>
      </w:r>
      <w:r w:rsidRPr="008A5C15">
        <w:rPr>
          <w:rFonts w:ascii="Calibri" w:hAnsi="Calibri"/>
          <w:color w:val="0000FF"/>
          <w:sz w:val="22"/>
          <w:szCs w:val="22"/>
        </w:rPr>
        <w:t xml:space="preserve"> </w:t>
      </w:r>
      <w:r w:rsidRPr="007753D3">
        <w:rPr>
          <w:rFonts w:ascii="Calibri" w:hAnsi="Calibri"/>
          <w:sz w:val="22"/>
          <w:szCs w:val="22"/>
        </w:rPr>
        <w:t xml:space="preserve">IACML, which was represented by Alejandra Medina, Sub coordinator of Hemispheric Labor Policy, and included the participation of representatives of the Ministries of Labor that lead the IACML process: </w:t>
      </w:r>
    </w:p>
    <w:p w:rsidR="00CD3709" w:rsidRPr="006A695F" w:rsidRDefault="00CD3709" w:rsidP="002D4312">
      <w:pPr>
        <w:numPr>
          <w:ilvl w:val="0"/>
          <w:numId w:val="1"/>
        </w:numPr>
        <w:jc w:val="both"/>
        <w:rPr>
          <w:rFonts w:ascii="Calibri" w:hAnsi="Calibri"/>
          <w:sz w:val="22"/>
          <w:szCs w:val="22"/>
        </w:rPr>
      </w:pPr>
      <w:r w:rsidRPr="007753D3">
        <w:rPr>
          <w:rFonts w:ascii="Calibri" w:hAnsi="Calibri"/>
          <w:sz w:val="22"/>
          <w:szCs w:val="22"/>
        </w:rPr>
        <w:t xml:space="preserve">Troika:  </w:t>
      </w:r>
      <w:smartTag w:uri="urn:schemas-microsoft-com:office:smarttags" w:element="country-region">
        <w:r w:rsidRPr="007753D3">
          <w:rPr>
            <w:rFonts w:ascii="Calibri" w:hAnsi="Calibri"/>
            <w:sz w:val="22"/>
            <w:szCs w:val="22"/>
          </w:rPr>
          <w:t>Mexico</w:t>
        </w:r>
      </w:smartTag>
      <w:r w:rsidRPr="006A695F">
        <w:rPr>
          <w:rFonts w:ascii="Calibri" w:hAnsi="Calibri"/>
          <w:sz w:val="22"/>
          <w:szCs w:val="22"/>
        </w:rPr>
        <w:t xml:space="preserve"> (Current Chair - XIX IACML), </w:t>
      </w:r>
      <w:smartTag w:uri="urn:schemas-microsoft-com:office:smarttags" w:element="country-region">
        <w:r w:rsidRPr="006A695F">
          <w:rPr>
            <w:rFonts w:ascii="Calibri" w:hAnsi="Calibri"/>
            <w:sz w:val="22"/>
            <w:szCs w:val="22"/>
          </w:rPr>
          <w:t>Colombia</w:t>
        </w:r>
      </w:smartTag>
      <w:r w:rsidRPr="006A695F">
        <w:rPr>
          <w:rFonts w:ascii="Calibri" w:hAnsi="Calibri"/>
          <w:sz w:val="22"/>
          <w:szCs w:val="22"/>
        </w:rPr>
        <w:t xml:space="preserve"> (Previous Chair - XVIII IACML), </w:t>
      </w:r>
      <w:smartTag w:uri="urn:schemas-microsoft-com:office:smarttags" w:element="country-region">
        <w:smartTag w:uri="urn:schemas-microsoft-com:office:smarttags" w:element="place">
          <w:r w:rsidRPr="006A695F">
            <w:rPr>
              <w:rFonts w:ascii="Calibri" w:hAnsi="Calibri"/>
              <w:sz w:val="22"/>
              <w:szCs w:val="22"/>
            </w:rPr>
            <w:t>Barbados</w:t>
          </w:r>
        </w:smartTag>
      </w:smartTag>
      <w:r w:rsidRPr="006A695F">
        <w:rPr>
          <w:rFonts w:ascii="Calibri" w:hAnsi="Calibri"/>
          <w:sz w:val="22"/>
          <w:szCs w:val="22"/>
        </w:rPr>
        <w:t xml:space="preserve"> (Future Chair - XX IACML)</w:t>
      </w:r>
    </w:p>
    <w:p w:rsidR="00CD3709" w:rsidRPr="006A695F" w:rsidRDefault="00CD3709" w:rsidP="002D4312">
      <w:pPr>
        <w:numPr>
          <w:ilvl w:val="0"/>
          <w:numId w:val="1"/>
        </w:numPr>
        <w:jc w:val="both"/>
        <w:rPr>
          <w:rFonts w:ascii="Calibri" w:hAnsi="Calibri"/>
          <w:sz w:val="22"/>
          <w:szCs w:val="22"/>
        </w:rPr>
      </w:pPr>
      <w:r w:rsidRPr="006A695F">
        <w:rPr>
          <w:rFonts w:ascii="Calibri" w:hAnsi="Calibri"/>
          <w:sz w:val="22"/>
          <w:szCs w:val="22"/>
        </w:rPr>
        <w:t xml:space="preserve">Authorities from Working Group 1: </w:t>
      </w:r>
      <w:smartTag w:uri="urn:schemas-microsoft-com:office:smarttags" w:element="country-region">
        <w:r w:rsidRPr="006A695F">
          <w:rPr>
            <w:rFonts w:ascii="Calibri" w:hAnsi="Calibri"/>
            <w:sz w:val="22"/>
            <w:szCs w:val="22"/>
          </w:rPr>
          <w:t>Brazil</w:t>
        </w:r>
      </w:smartTag>
      <w:r w:rsidRPr="006A695F">
        <w:rPr>
          <w:rFonts w:ascii="Calibri" w:hAnsi="Calibri"/>
          <w:sz w:val="22"/>
          <w:szCs w:val="22"/>
        </w:rPr>
        <w:t xml:space="preserve"> (Chair), </w:t>
      </w:r>
      <w:smartTag w:uri="urn:schemas-microsoft-com:office:smarttags" w:element="country-region">
        <w:r w:rsidRPr="006A695F">
          <w:rPr>
            <w:rFonts w:ascii="Calibri" w:hAnsi="Calibri"/>
            <w:sz w:val="22"/>
            <w:szCs w:val="22"/>
          </w:rPr>
          <w:t>Chile</w:t>
        </w:r>
      </w:smartTag>
      <w:r w:rsidRPr="006A695F">
        <w:rPr>
          <w:rFonts w:ascii="Calibri" w:hAnsi="Calibri"/>
          <w:sz w:val="22"/>
          <w:szCs w:val="22"/>
        </w:rPr>
        <w:t xml:space="preserve"> and </w:t>
      </w:r>
      <w:smartTag w:uri="urn:schemas-microsoft-com:office:smarttags" w:element="country-region">
        <w:smartTag w:uri="urn:schemas-microsoft-com:office:smarttags" w:element="place">
          <w:r w:rsidRPr="006A695F">
            <w:rPr>
              <w:rFonts w:ascii="Calibri" w:hAnsi="Calibri"/>
              <w:sz w:val="22"/>
              <w:szCs w:val="22"/>
            </w:rPr>
            <w:t>Panama</w:t>
          </w:r>
        </w:smartTag>
      </w:smartTag>
      <w:r w:rsidRPr="006A695F">
        <w:rPr>
          <w:rFonts w:ascii="Calibri" w:hAnsi="Calibri"/>
          <w:sz w:val="22"/>
          <w:szCs w:val="22"/>
        </w:rPr>
        <w:t xml:space="preserve"> (Vice-Chairs)</w:t>
      </w:r>
    </w:p>
    <w:p w:rsidR="00CD3709" w:rsidRDefault="00CD3709" w:rsidP="002D4312">
      <w:pPr>
        <w:numPr>
          <w:ilvl w:val="0"/>
          <w:numId w:val="1"/>
        </w:numPr>
        <w:jc w:val="both"/>
        <w:rPr>
          <w:rFonts w:ascii="Calibri" w:hAnsi="Calibri"/>
          <w:sz w:val="22"/>
          <w:szCs w:val="22"/>
        </w:rPr>
      </w:pPr>
      <w:r w:rsidRPr="006A695F">
        <w:rPr>
          <w:rFonts w:ascii="Calibri" w:hAnsi="Calibri"/>
          <w:sz w:val="22"/>
          <w:szCs w:val="22"/>
        </w:rPr>
        <w:t xml:space="preserve">Authorities of Working Group 2: </w:t>
      </w:r>
      <w:smartTag w:uri="urn:schemas-microsoft-com:office:smarttags" w:element="country-region">
        <w:r w:rsidRPr="006A695F">
          <w:rPr>
            <w:rFonts w:ascii="Calibri" w:hAnsi="Calibri"/>
            <w:sz w:val="22"/>
            <w:szCs w:val="22"/>
          </w:rPr>
          <w:t>Paraguay</w:t>
        </w:r>
      </w:smartTag>
      <w:r w:rsidRPr="006A695F">
        <w:rPr>
          <w:rFonts w:ascii="Calibri" w:hAnsi="Calibri"/>
          <w:sz w:val="22"/>
          <w:szCs w:val="22"/>
        </w:rPr>
        <w:t xml:space="preserve"> (Chair), </w:t>
      </w:r>
      <w:smartTag w:uri="urn:schemas-microsoft-com:office:smarttags" w:element="country-region">
        <w:r w:rsidRPr="006A695F">
          <w:rPr>
            <w:rFonts w:ascii="Calibri" w:hAnsi="Calibri"/>
            <w:sz w:val="22"/>
            <w:szCs w:val="22"/>
          </w:rPr>
          <w:t>Canada</w:t>
        </w:r>
      </w:smartTag>
      <w:r w:rsidRPr="006A695F">
        <w:rPr>
          <w:rFonts w:ascii="Calibri" w:hAnsi="Calibri"/>
          <w:sz w:val="22"/>
          <w:szCs w:val="22"/>
        </w:rPr>
        <w:t xml:space="preserve"> and </w:t>
      </w:r>
      <w:smartTag w:uri="urn:schemas-microsoft-com:office:smarttags" w:element="country-region">
        <w:smartTag w:uri="urn:schemas-microsoft-com:office:smarttags" w:element="place">
          <w:r w:rsidRPr="006A695F">
            <w:rPr>
              <w:rFonts w:ascii="Calibri" w:hAnsi="Calibri"/>
              <w:sz w:val="22"/>
              <w:szCs w:val="22"/>
            </w:rPr>
            <w:t>Costa Rica</w:t>
          </w:r>
        </w:smartTag>
      </w:smartTag>
      <w:r w:rsidRPr="006A695F">
        <w:rPr>
          <w:rFonts w:ascii="Calibri" w:hAnsi="Calibri"/>
          <w:sz w:val="22"/>
          <w:szCs w:val="22"/>
        </w:rPr>
        <w:t xml:space="preserve"> (Vice-Chairs)</w:t>
      </w:r>
      <w:r>
        <w:rPr>
          <w:rFonts w:ascii="Calibri" w:hAnsi="Calibri"/>
          <w:sz w:val="22"/>
          <w:szCs w:val="22"/>
        </w:rPr>
        <w:t>.</w:t>
      </w:r>
    </w:p>
    <w:p w:rsidR="00CD3709" w:rsidRPr="006A695F" w:rsidRDefault="00CD3709" w:rsidP="00440744">
      <w:pPr>
        <w:ind w:left="360"/>
        <w:jc w:val="both"/>
        <w:rPr>
          <w:rFonts w:ascii="Calibri" w:hAnsi="Calibri"/>
          <w:sz w:val="22"/>
          <w:szCs w:val="22"/>
        </w:rPr>
      </w:pPr>
    </w:p>
    <w:p w:rsidR="00CD3709" w:rsidRPr="006A695F" w:rsidRDefault="00CD3709" w:rsidP="00476029">
      <w:pPr>
        <w:jc w:val="both"/>
        <w:rPr>
          <w:rFonts w:ascii="Calibri" w:hAnsi="Calibri"/>
          <w:sz w:val="22"/>
          <w:szCs w:val="22"/>
        </w:rPr>
      </w:pPr>
      <w:r w:rsidRPr="006A695F">
        <w:rPr>
          <w:rFonts w:ascii="Calibri" w:hAnsi="Calibri"/>
          <w:sz w:val="22"/>
          <w:szCs w:val="22"/>
        </w:rPr>
        <w:t xml:space="preserve">In addition, </w:t>
      </w:r>
      <w:r>
        <w:rPr>
          <w:rFonts w:ascii="Calibri" w:hAnsi="Calibri"/>
          <w:sz w:val="22"/>
          <w:szCs w:val="22"/>
        </w:rPr>
        <w:t xml:space="preserve">representatives of </w:t>
      </w:r>
      <w:smartTag w:uri="urn:schemas-microsoft-com:office:smarttags" w:element="country-region">
        <w:r w:rsidRPr="006A695F">
          <w:rPr>
            <w:rFonts w:ascii="Calibri" w:hAnsi="Calibri"/>
            <w:sz w:val="22"/>
            <w:szCs w:val="22"/>
          </w:rPr>
          <w:t>United States</w:t>
        </w:r>
      </w:smartTag>
      <w:r w:rsidRPr="006A695F">
        <w:rPr>
          <w:rFonts w:ascii="Calibri" w:hAnsi="Calibri"/>
          <w:sz w:val="22"/>
          <w:szCs w:val="22"/>
        </w:rPr>
        <w:t xml:space="preserve">, </w:t>
      </w:r>
      <w:smartTag w:uri="urn:schemas-microsoft-com:office:smarttags" w:element="country-region">
        <w:r w:rsidRPr="006A695F">
          <w:rPr>
            <w:rFonts w:ascii="Calibri" w:hAnsi="Calibri"/>
            <w:sz w:val="22"/>
            <w:szCs w:val="22"/>
          </w:rPr>
          <w:t>Uruguay</w:t>
        </w:r>
      </w:smartTag>
      <w:r w:rsidRPr="006A695F">
        <w:rPr>
          <w:rFonts w:ascii="Calibri" w:hAnsi="Calibri"/>
          <w:sz w:val="22"/>
          <w:szCs w:val="22"/>
        </w:rPr>
        <w:t xml:space="preserve">, </w:t>
      </w:r>
      <w:smartTag w:uri="urn:schemas-microsoft-com:office:smarttags" w:element="country-region">
        <w:r w:rsidRPr="006A695F">
          <w:rPr>
            <w:rFonts w:ascii="Calibri" w:hAnsi="Calibri"/>
            <w:sz w:val="22"/>
            <w:szCs w:val="22"/>
          </w:rPr>
          <w:t>El Salvador</w:t>
        </w:r>
      </w:smartTag>
      <w:r w:rsidRPr="006A695F">
        <w:rPr>
          <w:rFonts w:ascii="Calibri" w:hAnsi="Calibri"/>
          <w:sz w:val="22"/>
          <w:szCs w:val="22"/>
        </w:rPr>
        <w:t xml:space="preserve"> and </w:t>
      </w:r>
      <w:smartTag w:uri="urn:schemas-microsoft-com:office:smarttags" w:element="country-region">
        <w:smartTag w:uri="urn:schemas-microsoft-com:office:smarttags" w:element="place">
          <w:r w:rsidRPr="006A695F">
            <w:rPr>
              <w:rFonts w:ascii="Calibri" w:hAnsi="Calibri"/>
              <w:sz w:val="22"/>
              <w:szCs w:val="22"/>
            </w:rPr>
            <w:t>Hon</w:t>
          </w:r>
          <w:r>
            <w:rPr>
              <w:rFonts w:ascii="Calibri" w:hAnsi="Calibri"/>
              <w:sz w:val="22"/>
              <w:szCs w:val="22"/>
            </w:rPr>
            <w:t>duras</w:t>
          </w:r>
        </w:smartTag>
      </w:smartTag>
      <w:r>
        <w:rPr>
          <w:rFonts w:ascii="Calibri" w:hAnsi="Calibri"/>
          <w:sz w:val="22"/>
          <w:szCs w:val="22"/>
        </w:rPr>
        <w:t xml:space="preserve"> participated as observers. </w:t>
      </w:r>
    </w:p>
    <w:p w:rsidR="00CD3709" w:rsidRPr="006A695F" w:rsidRDefault="00CD3709" w:rsidP="00476029">
      <w:pPr>
        <w:jc w:val="both"/>
        <w:rPr>
          <w:rFonts w:ascii="Calibri" w:hAnsi="Calibri"/>
          <w:sz w:val="22"/>
          <w:szCs w:val="22"/>
        </w:rPr>
      </w:pPr>
    </w:p>
    <w:p w:rsidR="00CD3709" w:rsidRPr="0009735A" w:rsidRDefault="00CD3709" w:rsidP="00476029">
      <w:pPr>
        <w:jc w:val="both"/>
        <w:rPr>
          <w:rFonts w:ascii="Calibri" w:hAnsi="Calibri"/>
          <w:sz w:val="22"/>
          <w:szCs w:val="22"/>
        </w:rPr>
      </w:pPr>
      <w:r w:rsidRPr="006A695F">
        <w:rPr>
          <w:rFonts w:ascii="Calibri" w:hAnsi="Calibri"/>
          <w:sz w:val="22"/>
          <w:szCs w:val="22"/>
        </w:rPr>
        <w:t>The Trade Union Technical Advisory Council (COSATE) and the Business Technical Advisory Committee on Labor Matters (CEATAL), as consultative bodies of the IACML, participated in the meeting, as well as authorities of the International Labour Organization (ILO), the Pan American Health Organization (PAHO), the Inter-American Conference on Social Security (CISS), the Inter-American Development Bank (IDB), and the Economic Commission for Latin America and the Caribbean (ECLAC)</w:t>
      </w:r>
      <w:r>
        <w:rPr>
          <w:rFonts w:ascii="Calibri" w:hAnsi="Calibri"/>
          <w:sz w:val="22"/>
          <w:szCs w:val="22"/>
        </w:rPr>
        <w:t>.</w:t>
      </w:r>
      <w:r w:rsidRPr="0009735A">
        <w:rPr>
          <w:rFonts w:ascii="Calibri" w:hAnsi="Calibri"/>
          <w:sz w:val="22"/>
          <w:szCs w:val="22"/>
        </w:rPr>
        <w:t xml:space="preserve"> </w:t>
      </w:r>
    </w:p>
    <w:p w:rsidR="00CD3709" w:rsidRPr="0009735A" w:rsidRDefault="00CD3709" w:rsidP="00476029">
      <w:pPr>
        <w:jc w:val="both"/>
        <w:rPr>
          <w:rFonts w:ascii="Calibri" w:hAnsi="Calibri"/>
          <w:sz w:val="22"/>
          <w:szCs w:val="22"/>
        </w:rPr>
      </w:pPr>
    </w:p>
    <w:p w:rsidR="00CD3709" w:rsidRPr="0009735A" w:rsidRDefault="00CD3709" w:rsidP="00AB0999">
      <w:pPr>
        <w:jc w:val="both"/>
        <w:rPr>
          <w:rFonts w:ascii="Calibri" w:hAnsi="Calibri" w:cs="Arial"/>
          <w:sz w:val="22"/>
          <w:szCs w:val="22"/>
        </w:rPr>
      </w:pPr>
      <w:r w:rsidRPr="006A695F">
        <w:rPr>
          <w:rFonts w:ascii="Calibri" w:hAnsi="Calibri" w:cs="Arial"/>
          <w:sz w:val="22"/>
          <w:szCs w:val="22"/>
        </w:rPr>
        <w:t>Before the meeting, the Technical Secretari</w:t>
      </w:r>
      <w:r>
        <w:rPr>
          <w:rFonts w:ascii="Calibri" w:hAnsi="Calibri" w:cs="Arial"/>
          <w:sz w:val="22"/>
          <w:szCs w:val="22"/>
        </w:rPr>
        <w:t xml:space="preserve">at sent a questionnaire to all </w:t>
      </w:r>
      <w:r w:rsidRPr="006A695F">
        <w:rPr>
          <w:rFonts w:ascii="Calibri" w:hAnsi="Calibri" w:cs="Arial"/>
          <w:sz w:val="22"/>
          <w:szCs w:val="22"/>
        </w:rPr>
        <w:t xml:space="preserve"> the members of the IACML regarding their</w:t>
      </w:r>
      <w:r w:rsidRPr="0009735A">
        <w:rPr>
          <w:rFonts w:ascii="Calibri" w:hAnsi="Calibri" w:cs="Arial"/>
          <w:sz w:val="22"/>
          <w:szCs w:val="22"/>
        </w:rPr>
        <w:t xml:space="preserve"> priorities, expectations and suggestions within the framework of the Conference and its cooperation mechanism, the Inter-American Network for Labor Administration (RIAL), and to guarantee that in developing the Calendar of Activities all of the members’ perspectives would be taken into account. The </w:t>
      </w:r>
      <w:r>
        <w:rPr>
          <w:rFonts w:ascii="Calibri" w:hAnsi="Calibri" w:cs="Arial"/>
          <w:sz w:val="22"/>
          <w:szCs w:val="22"/>
        </w:rPr>
        <w:t>answers received, from 22</w:t>
      </w:r>
      <w:r w:rsidRPr="0009735A">
        <w:rPr>
          <w:rFonts w:ascii="Calibri" w:hAnsi="Calibri" w:cs="Arial"/>
          <w:sz w:val="22"/>
          <w:szCs w:val="22"/>
        </w:rPr>
        <w:t xml:space="preserve"> Ministries of Labor, COSATE and CEATAL, and compiled in the document “Inp</w:t>
      </w:r>
      <w:r>
        <w:rPr>
          <w:rFonts w:ascii="Calibri" w:hAnsi="Calibri" w:cs="Arial"/>
          <w:sz w:val="22"/>
          <w:szCs w:val="22"/>
        </w:rPr>
        <w:t>ut for the Planning Meeting 2016-2017</w:t>
      </w:r>
      <w:r w:rsidRPr="0009735A">
        <w:rPr>
          <w:rFonts w:ascii="Calibri" w:hAnsi="Calibri" w:cs="Arial"/>
          <w:sz w:val="22"/>
          <w:szCs w:val="22"/>
        </w:rPr>
        <w:t xml:space="preserve"> of the IACML” served as a base for discussion.</w:t>
      </w:r>
    </w:p>
    <w:p w:rsidR="00CD3709" w:rsidRPr="0009735A" w:rsidRDefault="00CD3709" w:rsidP="00336BC2">
      <w:pPr>
        <w:tabs>
          <w:tab w:val="num" w:pos="540"/>
        </w:tabs>
        <w:rPr>
          <w:rFonts w:ascii="Calibri" w:hAnsi="Calibri"/>
          <w:sz w:val="22"/>
          <w:szCs w:val="22"/>
        </w:rPr>
      </w:pPr>
    </w:p>
    <w:p w:rsidR="00CD3709" w:rsidRDefault="00CD3709" w:rsidP="00222639">
      <w:pPr>
        <w:jc w:val="both"/>
        <w:rPr>
          <w:rFonts w:ascii="Calibri" w:hAnsi="Calibri"/>
          <w:sz w:val="22"/>
          <w:szCs w:val="22"/>
        </w:rPr>
      </w:pPr>
      <w:r w:rsidRPr="0009735A">
        <w:rPr>
          <w:rFonts w:ascii="Calibri" w:hAnsi="Calibri"/>
          <w:sz w:val="22"/>
          <w:szCs w:val="22"/>
        </w:rPr>
        <w:t xml:space="preserve">This document presents the conclusions and results of the </w:t>
      </w:r>
      <w:r w:rsidRPr="006B2992">
        <w:rPr>
          <w:rFonts w:ascii="Calibri" w:hAnsi="Calibri"/>
          <w:sz w:val="22"/>
          <w:szCs w:val="22"/>
        </w:rPr>
        <w:t xml:space="preserve">Planning Meeting. Other relevant information, including the list of participants and supporting documents, can be found on the Web page: </w:t>
      </w:r>
      <w:r>
        <w:rPr>
          <w:rFonts w:ascii="Calibri" w:hAnsi="Calibri"/>
          <w:sz w:val="22"/>
          <w:szCs w:val="22"/>
        </w:rPr>
        <w:t xml:space="preserve"> </w:t>
      </w:r>
      <w:hyperlink r:id="rId9" w:history="1">
        <w:r w:rsidRPr="004C7EB3">
          <w:rPr>
            <w:rStyle w:val="Hyperlink"/>
            <w:rFonts w:ascii="Calibri" w:hAnsi="Calibri"/>
            <w:sz w:val="22"/>
            <w:szCs w:val="22"/>
          </w:rPr>
          <w:t>http://www.oas.org/en/sedi/dhdee/labor_and_employment/pages/cpo_trab_planningmeeting2016-2017.asp</w:t>
        </w:r>
      </w:hyperlink>
    </w:p>
    <w:p w:rsidR="00CD3709" w:rsidRPr="0009735A" w:rsidRDefault="00CD3709" w:rsidP="00222639">
      <w:pPr>
        <w:jc w:val="both"/>
        <w:rPr>
          <w:rFonts w:ascii="Calibri" w:hAnsi="Calibri"/>
          <w:sz w:val="22"/>
          <w:szCs w:val="22"/>
        </w:rPr>
      </w:pPr>
    </w:p>
    <w:p w:rsidR="00CD3709" w:rsidRPr="0009735A" w:rsidRDefault="00CD3709" w:rsidP="00336BC2">
      <w:pPr>
        <w:tabs>
          <w:tab w:val="num" w:pos="540"/>
        </w:tabs>
        <w:ind w:left="360"/>
        <w:rPr>
          <w:rFonts w:ascii="Calibri" w:hAnsi="Calibri"/>
          <w:sz w:val="22"/>
          <w:szCs w:val="22"/>
        </w:rPr>
      </w:pPr>
    </w:p>
    <w:p w:rsidR="00CD3709" w:rsidRPr="00222639" w:rsidRDefault="00CD3709" w:rsidP="006A695F">
      <w:pPr>
        <w:numPr>
          <w:ilvl w:val="0"/>
          <w:numId w:val="2"/>
        </w:numPr>
        <w:tabs>
          <w:tab w:val="num" w:pos="360"/>
        </w:tabs>
        <w:ind w:hanging="1080"/>
        <w:rPr>
          <w:rFonts w:ascii="Calibri" w:hAnsi="Calibri"/>
          <w:sz w:val="22"/>
          <w:szCs w:val="22"/>
          <w:lang w:val="es-CO"/>
        </w:rPr>
      </w:pPr>
      <w:r w:rsidRPr="00337828">
        <w:rPr>
          <w:rFonts w:ascii="Calibri" w:hAnsi="Calibri"/>
          <w:sz w:val="22"/>
          <w:szCs w:val="22"/>
        </w:rPr>
        <w:t xml:space="preserve"> </w:t>
      </w:r>
      <w:r w:rsidRPr="007C0E37">
        <w:rPr>
          <w:rFonts w:ascii="Calibri" w:hAnsi="Calibri"/>
          <w:b/>
          <w:bCs/>
          <w:caps/>
          <w:sz w:val="22"/>
          <w:szCs w:val="22"/>
          <w:lang w:val="es-CO"/>
        </w:rPr>
        <w:t xml:space="preserve">2016 – 2017 CALENDAR OF THE IACML </w:t>
      </w:r>
    </w:p>
    <w:p w:rsidR="00CD3709" w:rsidRPr="007C0E37" w:rsidRDefault="00CD3709" w:rsidP="00222639">
      <w:pPr>
        <w:ind w:left="1080"/>
        <w:rPr>
          <w:rFonts w:ascii="Calibri" w:hAnsi="Calibri"/>
          <w:sz w:val="22"/>
          <w:szCs w:val="22"/>
          <w:lang w:val="es-CO"/>
        </w:rPr>
      </w:pPr>
    </w:p>
    <w:p w:rsidR="00CD3709" w:rsidRDefault="00CD3709" w:rsidP="00336BC2">
      <w:pPr>
        <w:jc w:val="both"/>
        <w:rPr>
          <w:rFonts w:ascii="Calibri" w:hAnsi="Calibri"/>
          <w:sz w:val="22"/>
          <w:szCs w:val="22"/>
        </w:rPr>
      </w:pPr>
      <w:r>
        <w:rPr>
          <w:rFonts w:ascii="Calibri" w:hAnsi="Calibri"/>
          <w:sz w:val="22"/>
          <w:szCs w:val="22"/>
        </w:rPr>
        <w:t>The</w:t>
      </w:r>
      <w:r w:rsidRPr="0009735A">
        <w:rPr>
          <w:rFonts w:ascii="Calibri" w:hAnsi="Calibri"/>
          <w:sz w:val="22"/>
          <w:szCs w:val="22"/>
        </w:rPr>
        <w:t xml:space="preserve"> activities </w:t>
      </w:r>
      <w:r>
        <w:rPr>
          <w:rFonts w:ascii="Calibri" w:hAnsi="Calibri"/>
          <w:sz w:val="22"/>
          <w:szCs w:val="22"/>
        </w:rPr>
        <w:t xml:space="preserve">of the Calendar of the IACML, which were </w:t>
      </w:r>
      <w:r w:rsidRPr="0009735A">
        <w:rPr>
          <w:rFonts w:ascii="Calibri" w:hAnsi="Calibri"/>
          <w:sz w:val="22"/>
          <w:szCs w:val="22"/>
        </w:rPr>
        <w:t>approved by the participants of the meeting for the next two years</w:t>
      </w:r>
      <w:r>
        <w:rPr>
          <w:rFonts w:ascii="Calibri" w:hAnsi="Calibri"/>
          <w:sz w:val="22"/>
          <w:szCs w:val="22"/>
        </w:rPr>
        <w:t xml:space="preserve">, </w:t>
      </w:r>
      <w:r w:rsidRPr="0009735A">
        <w:rPr>
          <w:rFonts w:ascii="Calibri" w:hAnsi="Calibri"/>
          <w:sz w:val="22"/>
          <w:szCs w:val="22"/>
        </w:rPr>
        <w:t xml:space="preserve">are presented below. The activities include political meetings and RIAL events, which are of a technical nature. Appendix 1 displays the Calendar in chart format. </w:t>
      </w:r>
    </w:p>
    <w:p w:rsidR="00CD3709" w:rsidRPr="000C2F3F" w:rsidRDefault="00CD3709" w:rsidP="00B76A07">
      <w:pPr>
        <w:spacing w:after="120"/>
        <w:ind w:left="720"/>
        <w:jc w:val="both"/>
        <w:rPr>
          <w:rFonts w:ascii="Calibri" w:hAnsi="Calibri"/>
          <w:sz w:val="22"/>
          <w:szCs w:val="22"/>
          <w:lang w:val="es-CO"/>
        </w:rPr>
      </w:pPr>
    </w:p>
    <w:p w:rsidR="00CD3709" w:rsidRPr="00B76A07" w:rsidRDefault="00CD3709" w:rsidP="008921B6">
      <w:pPr>
        <w:numPr>
          <w:ilvl w:val="0"/>
          <w:numId w:val="4"/>
        </w:numPr>
        <w:tabs>
          <w:tab w:val="clear" w:pos="720"/>
          <w:tab w:val="num" w:pos="360"/>
        </w:tabs>
        <w:spacing w:after="120"/>
        <w:ind w:left="360"/>
        <w:jc w:val="both"/>
        <w:rPr>
          <w:rFonts w:ascii="Calibri" w:hAnsi="Calibri"/>
          <w:b/>
          <w:sz w:val="22"/>
          <w:szCs w:val="22"/>
          <w:u w:val="single"/>
        </w:rPr>
      </w:pPr>
      <w:r>
        <w:rPr>
          <w:rFonts w:ascii="Calibri" w:hAnsi="Calibri"/>
          <w:b/>
          <w:bCs/>
          <w:sz w:val="22"/>
          <w:szCs w:val="22"/>
          <w:u w:val="single"/>
        </w:rPr>
        <w:t>1</w:t>
      </w:r>
      <w:r w:rsidRPr="008921B6">
        <w:rPr>
          <w:rFonts w:ascii="Calibri" w:hAnsi="Calibri"/>
          <w:b/>
          <w:bCs/>
          <w:sz w:val="22"/>
          <w:szCs w:val="22"/>
          <w:u w:val="single"/>
          <w:vertAlign w:val="superscript"/>
        </w:rPr>
        <w:t>st</w:t>
      </w:r>
      <w:r>
        <w:rPr>
          <w:rFonts w:ascii="Calibri" w:hAnsi="Calibri"/>
          <w:b/>
          <w:bCs/>
          <w:sz w:val="22"/>
          <w:szCs w:val="22"/>
          <w:u w:val="single"/>
        </w:rPr>
        <w:t xml:space="preserve"> M</w:t>
      </w:r>
      <w:r w:rsidRPr="00A455CE">
        <w:rPr>
          <w:rFonts w:ascii="Calibri" w:hAnsi="Calibri"/>
          <w:b/>
          <w:bCs/>
          <w:sz w:val="22"/>
          <w:szCs w:val="22"/>
          <w:u w:val="single"/>
        </w:rPr>
        <w:t>eeting</w:t>
      </w:r>
      <w:r>
        <w:rPr>
          <w:rFonts w:ascii="Calibri" w:hAnsi="Calibri"/>
          <w:b/>
          <w:bCs/>
          <w:sz w:val="22"/>
          <w:szCs w:val="22"/>
          <w:u w:val="single"/>
        </w:rPr>
        <w:t xml:space="preserve"> of Working Groups (</w:t>
      </w:r>
      <w:r w:rsidRPr="00A455CE">
        <w:rPr>
          <w:rFonts w:ascii="Calibri" w:hAnsi="Calibri"/>
          <w:b/>
          <w:bCs/>
          <w:sz w:val="22"/>
          <w:szCs w:val="22"/>
          <w:u w:val="single"/>
        </w:rPr>
        <w:t>2016</w:t>
      </w:r>
      <w:r>
        <w:rPr>
          <w:rFonts w:ascii="Calibri" w:hAnsi="Calibri"/>
          <w:b/>
          <w:bCs/>
          <w:sz w:val="22"/>
          <w:szCs w:val="22"/>
          <w:u w:val="single"/>
        </w:rPr>
        <w:t xml:space="preserve">) </w:t>
      </w:r>
    </w:p>
    <w:p w:rsidR="00CD3709" w:rsidRDefault="00CD3709" w:rsidP="008921B6">
      <w:pPr>
        <w:spacing w:after="120"/>
        <w:jc w:val="both"/>
        <w:rPr>
          <w:rFonts w:ascii="Calibri" w:hAnsi="Calibri"/>
          <w:sz w:val="22"/>
          <w:szCs w:val="22"/>
        </w:rPr>
      </w:pPr>
      <w:r w:rsidRPr="008921B6">
        <w:rPr>
          <w:rFonts w:ascii="Calibri" w:hAnsi="Calibri"/>
          <w:b/>
          <w:i/>
          <w:sz w:val="22"/>
          <w:szCs w:val="22"/>
        </w:rPr>
        <w:t>Place and date:</w:t>
      </w:r>
      <w:r>
        <w:rPr>
          <w:rFonts w:ascii="Calibri" w:hAnsi="Calibri"/>
          <w:b/>
          <w:sz w:val="22"/>
          <w:szCs w:val="22"/>
        </w:rPr>
        <w:t xml:space="preserve"> </w:t>
      </w:r>
      <w:r w:rsidRPr="00A455CE">
        <w:rPr>
          <w:rFonts w:ascii="Calibri" w:hAnsi="Calibri"/>
          <w:sz w:val="22"/>
          <w:szCs w:val="22"/>
        </w:rPr>
        <w:t xml:space="preserve"> </w:t>
      </w:r>
      <w:r>
        <w:rPr>
          <w:rFonts w:ascii="Calibri" w:hAnsi="Calibri"/>
          <w:sz w:val="22"/>
          <w:szCs w:val="22"/>
        </w:rPr>
        <w:t xml:space="preserve">End of June, 2016. </w:t>
      </w:r>
      <w:smartTag w:uri="urn:schemas-microsoft-com:office:smarttags" w:element="State">
        <w:smartTag w:uri="urn:schemas-microsoft-com:office:smarttags" w:element="place">
          <w:r>
            <w:rPr>
              <w:rFonts w:ascii="Calibri" w:hAnsi="Calibri"/>
              <w:sz w:val="22"/>
              <w:szCs w:val="22"/>
            </w:rPr>
            <w:t>Washington</w:t>
          </w:r>
        </w:smartTag>
      </w:smartTag>
      <w:r>
        <w:rPr>
          <w:rFonts w:ascii="Calibri" w:hAnsi="Calibri"/>
          <w:sz w:val="22"/>
          <w:szCs w:val="22"/>
        </w:rPr>
        <w:t xml:space="preserve">. D.C.   </w:t>
      </w:r>
    </w:p>
    <w:p w:rsidR="00CD3709" w:rsidRPr="0009735A" w:rsidRDefault="00CD3709" w:rsidP="008921B6">
      <w:pPr>
        <w:spacing w:after="120"/>
        <w:jc w:val="both"/>
        <w:rPr>
          <w:rFonts w:ascii="Calibri" w:hAnsi="Calibri"/>
          <w:sz w:val="22"/>
          <w:szCs w:val="22"/>
        </w:rPr>
      </w:pPr>
      <w:r w:rsidRPr="007753D3">
        <w:rPr>
          <w:rFonts w:ascii="Calibri" w:hAnsi="Calibri"/>
          <w:sz w:val="22"/>
          <w:szCs w:val="22"/>
        </w:rPr>
        <w:t>The agenda of the Meeting of the Working Groups will be defined by the authorities of each WG (Chair and Vice-Chairs) in</w:t>
      </w:r>
      <w:r w:rsidRPr="0009735A">
        <w:rPr>
          <w:rFonts w:ascii="Calibri" w:hAnsi="Calibri"/>
          <w:sz w:val="22"/>
          <w:szCs w:val="22"/>
        </w:rPr>
        <w:t xml:space="preserve"> coordination with the Technical Secretariat and will include the topics identified in the Planning Meeting. </w:t>
      </w:r>
    </w:p>
    <w:p w:rsidR="00CD3709" w:rsidRDefault="00CD3709" w:rsidP="00336BC2">
      <w:pPr>
        <w:spacing w:after="120"/>
        <w:jc w:val="both"/>
        <w:rPr>
          <w:rFonts w:ascii="Calibri" w:hAnsi="Calibri"/>
          <w:sz w:val="22"/>
          <w:szCs w:val="22"/>
        </w:rPr>
      </w:pPr>
      <w:r w:rsidRPr="008921B6">
        <w:rPr>
          <w:rFonts w:ascii="Calibri" w:hAnsi="Calibri"/>
          <w:b/>
          <w:i/>
          <w:sz w:val="22"/>
          <w:szCs w:val="22"/>
        </w:rPr>
        <w:t>Funding sources</w:t>
      </w:r>
      <w:r w:rsidRPr="008921B6">
        <w:rPr>
          <w:rFonts w:ascii="Calibri" w:hAnsi="Calibri"/>
          <w:i/>
          <w:sz w:val="22"/>
          <w:szCs w:val="22"/>
        </w:rPr>
        <w:t>:</w:t>
      </w:r>
      <w:r w:rsidRPr="00A455CE">
        <w:rPr>
          <w:rFonts w:ascii="Calibri" w:hAnsi="Calibri"/>
          <w:sz w:val="22"/>
          <w:szCs w:val="22"/>
        </w:rPr>
        <w:t xml:space="preserve"> To be defined.</w:t>
      </w:r>
      <w:r>
        <w:rPr>
          <w:rFonts w:ascii="Calibri" w:hAnsi="Calibri"/>
          <w:sz w:val="22"/>
          <w:szCs w:val="22"/>
        </w:rPr>
        <w:t xml:space="preserve"> The Chair and the Technical Secretariat will explore possible sources of funding. </w:t>
      </w:r>
    </w:p>
    <w:p w:rsidR="00CD3709" w:rsidRPr="0009735A" w:rsidRDefault="00CD3709" w:rsidP="00336BC2">
      <w:pPr>
        <w:spacing w:after="120"/>
        <w:jc w:val="both"/>
        <w:rPr>
          <w:rFonts w:ascii="Calibri" w:hAnsi="Calibri"/>
          <w:sz w:val="22"/>
          <w:szCs w:val="22"/>
        </w:rPr>
      </w:pPr>
    </w:p>
    <w:p w:rsidR="00CD3709" w:rsidRPr="006A695F" w:rsidRDefault="00CD3709" w:rsidP="00756A0F">
      <w:pPr>
        <w:numPr>
          <w:ilvl w:val="0"/>
          <w:numId w:val="4"/>
        </w:numPr>
        <w:tabs>
          <w:tab w:val="clear" w:pos="720"/>
          <w:tab w:val="num" w:pos="360"/>
        </w:tabs>
        <w:spacing w:after="120"/>
        <w:ind w:left="360"/>
        <w:jc w:val="both"/>
        <w:rPr>
          <w:rFonts w:ascii="Calibri" w:hAnsi="Calibri"/>
          <w:b/>
          <w:sz w:val="22"/>
          <w:szCs w:val="22"/>
          <w:u w:val="single"/>
        </w:rPr>
      </w:pPr>
      <w:r w:rsidRPr="00A455CE">
        <w:rPr>
          <w:rFonts w:ascii="Calibri" w:hAnsi="Calibri"/>
          <w:b/>
          <w:sz w:val="22"/>
          <w:szCs w:val="22"/>
          <w:u w:val="single"/>
        </w:rPr>
        <w:t xml:space="preserve">RIAL workshop on Youth Employment, </w:t>
      </w:r>
      <w:r w:rsidRPr="006A695F">
        <w:rPr>
          <w:rFonts w:ascii="Calibri" w:hAnsi="Calibri"/>
          <w:b/>
          <w:sz w:val="22"/>
          <w:szCs w:val="22"/>
          <w:u w:val="single"/>
        </w:rPr>
        <w:t>certification of Labor Skills, link between education and labor</w:t>
      </w:r>
    </w:p>
    <w:p w:rsidR="00CD3709" w:rsidRPr="00A455CE" w:rsidRDefault="00CD3709" w:rsidP="00756A0F">
      <w:pPr>
        <w:spacing w:after="120"/>
        <w:jc w:val="both"/>
        <w:rPr>
          <w:rFonts w:ascii="Calibri" w:hAnsi="Calibri"/>
          <w:sz w:val="22"/>
          <w:szCs w:val="22"/>
        </w:rPr>
      </w:pPr>
      <w:r w:rsidRPr="00764025">
        <w:rPr>
          <w:rFonts w:ascii="Calibri" w:hAnsi="Calibri"/>
          <w:b/>
          <w:i/>
          <w:sz w:val="22"/>
          <w:szCs w:val="22"/>
        </w:rPr>
        <w:t>Place and Date</w:t>
      </w:r>
      <w:r w:rsidRPr="00756A0F">
        <w:rPr>
          <w:rFonts w:ascii="Calibri" w:hAnsi="Calibri"/>
          <w:i/>
          <w:sz w:val="22"/>
          <w:szCs w:val="22"/>
        </w:rPr>
        <w:t>:</w:t>
      </w:r>
      <w:r w:rsidRPr="00A455CE">
        <w:rPr>
          <w:rFonts w:ascii="Calibri" w:hAnsi="Calibri"/>
          <w:sz w:val="22"/>
          <w:szCs w:val="22"/>
        </w:rPr>
        <w:t xml:space="preserve"> </w:t>
      </w:r>
      <w:smartTag w:uri="urn:schemas-microsoft-com:office:smarttags" w:element="country-region">
        <w:smartTag w:uri="urn:schemas-microsoft-com:office:smarttags" w:element="place">
          <w:r>
            <w:rPr>
              <w:rFonts w:ascii="Calibri" w:hAnsi="Calibri"/>
              <w:sz w:val="22"/>
              <w:szCs w:val="22"/>
            </w:rPr>
            <w:t>Brazil</w:t>
          </w:r>
        </w:smartTag>
      </w:smartTag>
      <w:r>
        <w:rPr>
          <w:rFonts w:ascii="Calibri" w:hAnsi="Calibri"/>
          <w:sz w:val="22"/>
          <w:szCs w:val="22"/>
        </w:rPr>
        <w:t>, December</w:t>
      </w:r>
      <w:r w:rsidRPr="00A455CE">
        <w:rPr>
          <w:rFonts w:ascii="Calibri" w:hAnsi="Calibri"/>
          <w:sz w:val="22"/>
          <w:szCs w:val="22"/>
        </w:rPr>
        <w:t xml:space="preserve"> 2016 </w:t>
      </w:r>
    </w:p>
    <w:p w:rsidR="00CD3709" w:rsidRPr="00A455CE" w:rsidRDefault="00CD3709" w:rsidP="00756A0F">
      <w:pPr>
        <w:spacing w:after="120"/>
        <w:jc w:val="both"/>
        <w:rPr>
          <w:rFonts w:ascii="Calibri" w:hAnsi="Calibri"/>
          <w:sz w:val="22"/>
          <w:szCs w:val="22"/>
        </w:rPr>
      </w:pPr>
      <w:r w:rsidRPr="006D24CF">
        <w:rPr>
          <w:rFonts w:ascii="Calibri" w:hAnsi="Calibri"/>
          <w:b/>
          <w:i/>
          <w:sz w:val="22"/>
          <w:szCs w:val="22"/>
        </w:rPr>
        <w:t>Description:</w:t>
      </w:r>
      <w:r w:rsidRPr="00A455CE">
        <w:rPr>
          <w:rFonts w:ascii="Calibri" w:hAnsi="Calibri"/>
          <w:sz w:val="22"/>
          <w:szCs w:val="22"/>
        </w:rPr>
        <w:t xml:space="preserve"> This event will focus on youth employment, </w:t>
      </w:r>
      <w:r>
        <w:rPr>
          <w:rFonts w:ascii="Calibri" w:hAnsi="Calibri"/>
          <w:sz w:val="22"/>
          <w:szCs w:val="22"/>
        </w:rPr>
        <w:t xml:space="preserve">including </w:t>
      </w:r>
      <w:r w:rsidRPr="00A455CE">
        <w:rPr>
          <w:rFonts w:ascii="Calibri" w:hAnsi="Calibri"/>
          <w:sz w:val="22"/>
          <w:szCs w:val="22"/>
        </w:rPr>
        <w:t xml:space="preserve">certification of labor skills and inter-sectoral coordination efforts between the Ministries of Education and Labor, in line with the XIX IACML’s priority theme of “Education and Labor: Integrated Public Policy Making to Promote Effective Inclusion Into the Labor Market”.  It will </w:t>
      </w:r>
      <w:r>
        <w:rPr>
          <w:rFonts w:ascii="Calibri" w:hAnsi="Calibri"/>
          <w:sz w:val="22"/>
          <w:szCs w:val="22"/>
        </w:rPr>
        <w:t>follow-up on</w:t>
      </w:r>
      <w:r w:rsidRPr="00A455CE">
        <w:rPr>
          <w:rFonts w:ascii="Calibri" w:hAnsi="Calibri"/>
          <w:sz w:val="22"/>
          <w:szCs w:val="22"/>
        </w:rPr>
        <w:t xml:space="preserve"> mandates 12, 13 and 15 of the Declara</w:t>
      </w:r>
      <w:r>
        <w:rPr>
          <w:rFonts w:ascii="Calibri" w:hAnsi="Calibri"/>
          <w:sz w:val="22"/>
          <w:szCs w:val="22"/>
        </w:rPr>
        <w:t>tion of Cancun and 6) f, g and i</w:t>
      </w:r>
      <w:r w:rsidRPr="00A455CE">
        <w:rPr>
          <w:rFonts w:ascii="Calibri" w:hAnsi="Calibri"/>
          <w:sz w:val="22"/>
          <w:szCs w:val="22"/>
        </w:rPr>
        <w:t xml:space="preserve"> of the Plan of Action.  The conceptual proposal for the Workshop (objectives, thematic sessions, products), </w:t>
      </w:r>
      <w:r w:rsidRPr="006A695F">
        <w:rPr>
          <w:rFonts w:ascii="Calibri" w:hAnsi="Calibri"/>
          <w:sz w:val="22"/>
          <w:szCs w:val="22"/>
        </w:rPr>
        <w:t>following RIAL process</w:t>
      </w:r>
      <w:r>
        <w:rPr>
          <w:rFonts w:ascii="Calibri" w:hAnsi="Calibri"/>
          <w:sz w:val="22"/>
          <w:szCs w:val="22"/>
        </w:rPr>
        <w:t>,</w:t>
      </w:r>
      <w:r w:rsidRPr="006A695F">
        <w:rPr>
          <w:rFonts w:ascii="Calibri" w:hAnsi="Calibri"/>
          <w:sz w:val="22"/>
          <w:szCs w:val="22"/>
        </w:rPr>
        <w:t xml:space="preserve"> will</w:t>
      </w:r>
      <w:r w:rsidRPr="00A455CE">
        <w:rPr>
          <w:rFonts w:ascii="Calibri" w:hAnsi="Calibri"/>
          <w:sz w:val="22"/>
          <w:szCs w:val="22"/>
        </w:rPr>
        <w:t xml:space="preserve"> be jointly developed by the Chair and Vice-Chairs of the WG1, the Chair of the XIX IACML with support of the Technical Secretariat of the IACML and the Technical Secretariat of the Inter-American Committee on Education (CIE). It will be presented a</w:t>
      </w:r>
      <w:r>
        <w:rPr>
          <w:rFonts w:ascii="Calibri" w:hAnsi="Calibri"/>
          <w:sz w:val="22"/>
          <w:szCs w:val="22"/>
        </w:rPr>
        <w:t>t the CIE meeting</w:t>
      </w:r>
      <w:r w:rsidRPr="00A455CE">
        <w:rPr>
          <w:rFonts w:ascii="Calibri" w:hAnsi="Calibri"/>
          <w:sz w:val="22"/>
          <w:szCs w:val="22"/>
        </w:rPr>
        <w:t xml:space="preserve">. </w:t>
      </w:r>
    </w:p>
    <w:p w:rsidR="00CD3709" w:rsidRPr="00A455CE" w:rsidRDefault="00CD3709" w:rsidP="00756A0F">
      <w:pPr>
        <w:spacing w:after="120"/>
        <w:jc w:val="both"/>
        <w:rPr>
          <w:rFonts w:ascii="Calibri" w:hAnsi="Calibri"/>
          <w:sz w:val="22"/>
          <w:szCs w:val="22"/>
        </w:rPr>
      </w:pPr>
      <w:r w:rsidRPr="00764025">
        <w:rPr>
          <w:rFonts w:ascii="Calibri" w:hAnsi="Calibri"/>
          <w:b/>
          <w:i/>
          <w:sz w:val="22"/>
          <w:szCs w:val="22"/>
        </w:rPr>
        <w:t>Key partners:</w:t>
      </w:r>
      <w:r w:rsidRPr="00A455CE">
        <w:rPr>
          <w:rFonts w:ascii="Calibri" w:hAnsi="Calibri"/>
          <w:sz w:val="22"/>
          <w:szCs w:val="22"/>
        </w:rPr>
        <w:t xml:space="preserve"> </w:t>
      </w:r>
      <w:r>
        <w:rPr>
          <w:rFonts w:ascii="Calibri" w:hAnsi="Calibri"/>
          <w:sz w:val="22"/>
          <w:szCs w:val="22"/>
        </w:rPr>
        <w:t>ILO and o</w:t>
      </w:r>
      <w:r w:rsidRPr="00A455CE">
        <w:rPr>
          <w:rFonts w:ascii="Calibri" w:hAnsi="Calibri"/>
          <w:sz w:val="22"/>
          <w:szCs w:val="22"/>
        </w:rPr>
        <w:t xml:space="preserve">ther organizations </w:t>
      </w:r>
      <w:r>
        <w:rPr>
          <w:rFonts w:ascii="Calibri" w:hAnsi="Calibri"/>
          <w:sz w:val="22"/>
          <w:szCs w:val="22"/>
        </w:rPr>
        <w:t xml:space="preserve">– </w:t>
      </w:r>
      <w:r w:rsidRPr="00A455CE">
        <w:rPr>
          <w:rFonts w:ascii="Calibri" w:hAnsi="Calibri"/>
          <w:sz w:val="22"/>
          <w:szCs w:val="22"/>
        </w:rPr>
        <w:t xml:space="preserve">to be defined. </w:t>
      </w:r>
    </w:p>
    <w:p w:rsidR="00CD3709" w:rsidRPr="00756A0F" w:rsidRDefault="00CD3709" w:rsidP="00756A0F">
      <w:pPr>
        <w:spacing w:after="120"/>
        <w:jc w:val="both"/>
        <w:rPr>
          <w:rFonts w:ascii="Calibri" w:hAnsi="Calibri"/>
          <w:sz w:val="22"/>
          <w:szCs w:val="22"/>
        </w:rPr>
      </w:pPr>
      <w:r w:rsidRPr="00764025">
        <w:rPr>
          <w:rFonts w:ascii="Calibri" w:hAnsi="Calibri"/>
          <w:b/>
          <w:i/>
          <w:sz w:val="22"/>
          <w:szCs w:val="22"/>
        </w:rPr>
        <w:t>Funding sources:</w:t>
      </w:r>
      <w:r w:rsidRPr="00A455CE">
        <w:rPr>
          <w:rFonts w:ascii="Calibri" w:hAnsi="Calibri"/>
          <w:sz w:val="22"/>
          <w:szCs w:val="22"/>
        </w:rPr>
        <w:t xml:space="preserve"> </w:t>
      </w:r>
      <w:r>
        <w:rPr>
          <w:rFonts w:ascii="Calibri" w:hAnsi="Calibri"/>
          <w:sz w:val="22"/>
          <w:szCs w:val="22"/>
        </w:rPr>
        <w:t>The Government of</w:t>
      </w:r>
      <w:r w:rsidRPr="00A455CE">
        <w:rPr>
          <w:rFonts w:ascii="Calibri" w:hAnsi="Calibri"/>
          <w:sz w:val="22"/>
          <w:szCs w:val="22"/>
        </w:rPr>
        <w:t xml:space="preserve"> Brazil will cover the logistics and simultaneous </w:t>
      </w:r>
      <w:r>
        <w:rPr>
          <w:rFonts w:ascii="Calibri" w:hAnsi="Calibri"/>
          <w:sz w:val="22"/>
          <w:szCs w:val="22"/>
        </w:rPr>
        <w:t>interpretation costs</w:t>
      </w:r>
      <w:r w:rsidRPr="00A455CE">
        <w:rPr>
          <w:rFonts w:ascii="Calibri" w:hAnsi="Calibri"/>
          <w:sz w:val="22"/>
          <w:szCs w:val="22"/>
        </w:rPr>
        <w:t xml:space="preserve">. RIAL will </w:t>
      </w:r>
      <w:r>
        <w:rPr>
          <w:rFonts w:ascii="Calibri" w:hAnsi="Calibri"/>
          <w:sz w:val="22"/>
          <w:szCs w:val="22"/>
        </w:rPr>
        <w:t>allocate</w:t>
      </w:r>
      <w:r w:rsidRPr="004812A4">
        <w:rPr>
          <w:rFonts w:ascii="Calibri" w:hAnsi="Calibri"/>
          <w:sz w:val="22"/>
          <w:szCs w:val="22"/>
        </w:rPr>
        <w:t xml:space="preserve"> $25,000 to support travel for participants from small</w:t>
      </w:r>
      <w:r>
        <w:rPr>
          <w:rFonts w:ascii="Calibri" w:hAnsi="Calibri"/>
          <w:sz w:val="22"/>
          <w:szCs w:val="22"/>
        </w:rPr>
        <w:t>er</w:t>
      </w:r>
      <w:r w:rsidRPr="004812A4">
        <w:rPr>
          <w:rFonts w:ascii="Calibri" w:hAnsi="Calibri"/>
          <w:sz w:val="22"/>
          <w:szCs w:val="22"/>
        </w:rPr>
        <w:t xml:space="preserve"> economies, COSATE and CEATAL.</w:t>
      </w:r>
      <w:r w:rsidRPr="00A455CE">
        <w:rPr>
          <w:rFonts w:ascii="Calibri" w:hAnsi="Calibri"/>
          <w:sz w:val="22"/>
          <w:szCs w:val="22"/>
        </w:rPr>
        <w:t xml:space="preserve"> </w:t>
      </w:r>
    </w:p>
    <w:p w:rsidR="00CD3709" w:rsidRPr="0009735A" w:rsidRDefault="00CD3709" w:rsidP="00336BC2">
      <w:pPr>
        <w:jc w:val="both"/>
        <w:rPr>
          <w:rFonts w:ascii="Calibri" w:hAnsi="Calibri"/>
          <w:sz w:val="22"/>
          <w:szCs w:val="22"/>
        </w:rPr>
      </w:pPr>
    </w:p>
    <w:p w:rsidR="00CD3709" w:rsidRPr="006A695F" w:rsidRDefault="00CD3709" w:rsidP="00756A0F">
      <w:pPr>
        <w:numPr>
          <w:ilvl w:val="0"/>
          <w:numId w:val="4"/>
        </w:numPr>
        <w:tabs>
          <w:tab w:val="clear" w:pos="720"/>
          <w:tab w:val="num" w:pos="360"/>
        </w:tabs>
        <w:ind w:left="360"/>
        <w:jc w:val="both"/>
        <w:rPr>
          <w:rFonts w:ascii="Calibri" w:hAnsi="Calibri"/>
          <w:b/>
          <w:sz w:val="22"/>
          <w:szCs w:val="22"/>
          <w:u w:val="single"/>
        </w:rPr>
      </w:pPr>
      <w:r>
        <w:rPr>
          <w:rFonts w:ascii="Calibri" w:hAnsi="Calibri"/>
          <w:b/>
          <w:sz w:val="22"/>
          <w:szCs w:val="22"/>
          <w:u w:val="single"/>
        </w:rPr>
        <w:t>2</w:t>
      </w:r>
      <w:r w:rsidRPr="008921B6">
        <w:rPr>
          <w:rFonts w:ascii="Calibri" w:hAnsi="Calibri"/>
          <w:b/>
          <w:sz w:val="22"/>
          <w:szCs w:val="22"/>
          <w:u w:val="single"/>
          <w:vertAlign w:val="superscript"/>
        </w:rPr>
        <w:t>nd</w:t>
      </w:r>
      <w:r>
        <w:rPr>
          <w:rFonts w:ascii="Calibri" w:hAnsi="Calibri"/>
          <w:b/>
          <w:sz w:val="22"/>
          <w:szCs w:val="22"/>
          <w:u w:val="single"/>
        </w:rPr>
        <w:t xml:space="preserve"> M</w:t>
      </w:r>
      <w:r>
        <w:rPr>
          <w:rFonts w:ascii="Calibri" w:hAnsi="Calibri"/>
          <w:b/>
          <w:bCs/>
          <w:sz w:val="22"/>
          <w:szCs w:val="22"/>
          <w:u w:val="single"/>
        </w:rPr>
        <w:t>eeting of Working Groups (</w:t>
      </w:r>
      <w:r w:rsidRPr="00A455CE">
        <w:rPr>
          <w:rFonts w:ascii="Calibri" w:hAnsi="Calibri"/>
          <w:b/>
          <w:bCs/>
          <w:sz w:val="22"/>
          <w:szCs w:val="22"/>
          <w:u w:val="single"/>
        </w:rPr>
        <w:t>2017</w:t>
      </w:r>
      <w:r>
        <w:rPr>
          <w:rFonts w:ascii="Calibri" w:hAnsi="Calibri"/>
          <w:b/>
          <w:bCs/>
          <w:sz w:val="22"/>
          <w:szCs w:val="22"/>
          <w:u w:val="single"/>
        </w:rPr>
        <w:t>)</w:t>
      </w:r>
      <w:r w:rsidRPr="00A455CE">
        <w:rPr>
          <w:rFonts w:ascii="Calibri" w:hAnsi="Calibri"/>
          <w:b/>
          <w:bCs/>
          <w:sz w:val="22"/>
          <w:szCs w:val="22"/>
          <w:u w:val="single"/>
        </w:rPr>
        <w:t xml:space="preserve"> and First Preparatory Meeting of the XX IACML</w:t>
      </w:r>
      <w:r>
        <w:rPr>
          <w:rFonts w:ascii="Calibri" w:hAnsi="Calibri"/>
          <w:b/>
          <w:bCs/>
          <w:sz w:val="22"/>
          <w:szCs w:val="22"/>
          <w:u w:val="single"/>
        </w:rPr>
        <w:t xml:space="preserve"> </w:t>
      </w:r>
    </w:p>
    <w:p w:rsidR="00CD3709" w:rsidRPr="006D24CF" w:rsidRDefault="00CD3709" w:rsidP="006A695F">
      <w:pPr>
        <w:jc w:val="both"/>
        <w:rPr>
          <w:rFonts w:ascii="Calibri" w:hAnsi="Calibri"/>
          <w:b/>
          <w:sz w:val="22"/>
          <w:szCs w:val="22"/>
          <w:u w:val="single"/>
        </w:rPr>
      </w:pPr>
    </w:p>
    <w:p w:rsidR="00CD3709" w:rsidRPr="008921B6" w:rsidRDefault="00CD3709" w:rsidP="00756A0F">
      <w:pPr>
        <w:spacing w:after="120"/>
        <w:jc w:val="both"/>
        <w:rPr>
          <w:rFonts w:ascii="Calibri" w:hAnsi="Calibri"/>
          <w:sz w:val="22"/>
          <w:szCs w:val="22"/>
        </w:rPr>
      </w:pPr>
      <w:r w:rsidRPr="006D24CF">
        <w:rPr>
          <w:rFonts w:ascii="Calibri" w:hAnsi="Calibri"/>
          <w:b/>
          <w:i/>
          <w:sz w:val="22"/>
          <w:szCs w:val="22"/>
        </w:rPr>
        <w:t>Place and date:</w:t>
      </w:r>
      <w:r>
        <w:rPr>
          <w:rFonts w:ascii="Calibri" w:hAnsi="Calibri"/>
          <w:sz w:val="22"/>
          <w:szCs w:val="22"/>
        </w:rPr>
        <w:t xml:space="preserve">  </w:t>
      </w:r>
      <w:smartTag w:uri="urn:schemas-microsoft-com:office:smarttags" w:element="country-region">
        <w:smartTag w:uri="urn:schemas-microsoft-com:office:smarttags" w:element="place">
          <w:r>
            <w:rPr>
              <w:rFonts w:ascii="Calibri" w:hAnsi="Calibri"/>
              <w:sz w:val="22"/>
              <w:szCs w:val="22"/>
            </w:rPr>
            <w:t>Paraguay</w:t>
          </w:r>
        </w:smartTag>
      </w:smartTag>
      <w:r>
        <w:rPr>
          <w:rFonts w:ascii="Calibri" w:hAnsi="Calibri"/>
          <w:sz w:val="22"/>
          <w:szCs w:val="22"/>
        </w:rPr>
        <w:t xml:space="preserve">, </w:t>
      </w:r>
      <w:r w:rsidRPr="008921B6">
        <w:rPr>
          <w:rFonts w:ascii="Calibri" w:hAnsi="Calibri"/>
          <w:sz w:val="22"/>
          <w:szCs w:val="22"/>
        </w:rPr>
        <w:t xml:space="preserve">April, 2017 </w:t>
      </w:r>
    </w:p>
    <w:p w:rsidR="00CD3709" w:rsidRPr="0009735A" w:rsidRDefault="00CD3709" w:rsidP="00756A0F">
      <w:pPr>
        <w:spacing w:after="120"/>
        <w:jc w:val="both"/>
        <w:rPr>
          <w:rFonts w:ascii="Calibri" w:hAnsi="Calibri"/>
          <w:sz w:val="22"/>
          <w:szCs w:val="22"/>
        </w:rPr>
      </w:pPr>
      <w:r w:rsidRPr="006D24CF">
        <w:rPr>
          <w:rFonts w:ascii="Calibri" w:hAnsi="Calibri"/>
          <w:b/>
          <w:bCs/>
          <w:i/>
          <w:iCs/>
          <w:sz w:val="22"/>
          <w:szCs w:val="22"/>
        </w:rPr>
        <w:t>Description:</w:t>
      </w:r>
      <w:r w:rsidRPr="0009735A">
        <w:rPr>
          <w:rFonts w:ascii="Calibri" w:hAnsi="Calibri"/>
          <w:sz w:val="22"/>
          <w:szCs w:val="22"/>
        </w:rPr>
        <w:t xml:space="preserve">  As in past years, this Meeting of the Working Groups will be held jointly with the Fir</w:t>
      </w:r>
      <w:r>
        <w:rPr>
          <w:rFonts w:ascii="Calibri" w:hAnsi="Calibri"/>
          <w:sz w:val="22"/>
          <w:szCs w:val="22"/>
        </w:rPr>
        <w:t>st Preparatory Meeting of the X</w:t>
      </w:r>
      <w:r w:rsidRPr="0009735A">
        <w:rPr>
          <w:rFonts w:ascii="Calibri" w:hAnsi="Calibri"/>
          <w:sz w:val="22"/>
          <w:szCs w:val="22"/>
        </w:rPr>
        <w:t xml:space="preserve">X IACML. </w:t>
      </w:r>
    </w:p>
    <w:p w:rsidR="00CD3709" w:rsidRPr="0009735A" w:rsidRDefault="00CD3709" w:rsidP="00756A0F">
      <w:pPr>
        <w:numPr>
          <w:ilvl w:val="0"/>
          <w:numId w:val="1"/>
        </w:numPr>
        <w:spacing w:after="120"/>
        <w:jc w:val="both"/>
        <w:rPr>
          <w:rFonts w:ascii="Calibri" w:hAnsi="Calibri"/>
          <w:sz w:val="22"/>
          <w:szCs w:val="22"/>
        </w:rPr>
      </w:pPr>
      <w:r w:rsidRPr="0009735A">
        <w:rPr>
          <w:rFonts w:ascii="Calibri" w:hAnsi="Calibri"/>
          <w:sz w:val="22"/>
          <w:szCs w:val="22"/>
        </w:rPr>
        <w:t xml:space="preserve">The WG Meeting (2 days) will </w:t>
      </w:r>
      <w:r>
        <w:rPr>
          <w:rFonts w:ascii="Calibri" w:hAnsi="Calibri"/>
          <w:sz w:val="22"/>
          <w:szCs w:val="22"/>
        </w:rPr>
        <w:t xml:space="preserve">focus on the priority topics of each group, </w:t>
      </w:r>
      <w:r w:rsidRPr="0009735A">
        <w:rPr>
          <w:rFonts w:ascii="Calibri" w:hAnsi="Calibri"/>
          <w:sz w:val="22"/>
          <w:szCs w:val="22"/>
        </w:rPr>
        <w:t>identified in the Planning Meeting.</w:t>
      </w:r>
    </w:p>
    <w:p w:rsidR="00CD3709" w:rsidRPr="0009735A" w:rsidRDefault="00CD3709" w:rsidP="00756A0F">
      <w:pPr>
        <w:numPr>
          <w:ilvl w:val="0"/>
          <w:numId w:val="1"/>
        </w:numPr>
        <w:spacing w:after="120"/>
        <w:jc w:val="both"/>
        <w:rPr>
          <w:rFonts w:ascii="Calibri" w:hAnsi="Calibri"/>
          <w:sz w:val="22"/>
          <w:szCs w:val="22"/>
        </w:rPr>
      </w:pPr>
      <w:r w:rsidRPr="0009735A">
        <w:rPr>
          <w:rFonts w:ascii="Calibri" w:hAnsi="Calibri"/>
          <w:sz w:val="22"/>
          <w:szCs w:val="22"/>
        </w:rPr>
        <w:t xml:space="preserve">The First Preparatory Meeting of the IACML will be a half-day session in which the topics of the IACML will be determined, </w:t>
      </w:r>
      <w:r>
        <w:rPr>
          <w:rFonts w:ascii="Calibri" w:hAnsi="Calibri"/>
          <w:sz w:val="22"/>
          <w:szCs w:val="22"/>
        </w:rPr>
        <w:t>based on</w:t>
      </w:r>
      <w:r w:rsidRPr="0009735A">
        <w:rPr>
          <w:rFonts w:ascii="Calibri" w:hAnsi="Calibri"/>
          <w:sz w:val="22"/>
          <w:szCs w:val="22"/>
        </w:rPr>
        <w:t xml:space="preserve"> a proposal that will be presented by </w:t>
      </w:r>
      <w:smartTag w:uri="urn:schemas-microsoft-com:office:smarttags" w:element="country-region">
        <w:smartTag w:uri="urn:schemas-microsoft-com:office:smarttags" w:element="place">
          <w:r>
            <w:rPr>
              <w:rFonts w:ascii="Calibri" w:hAnsi="Calibri"/>
              <w:sz w:val="22"/>
              <w:szCs w:val="22"/>
            </w:rPr>
            <w:t>Barbados</w:t>
          </w:r>
        </w:smartTag>
      </w:smartTag>
      <w:r w:rsidRPr="0009735A">
        <w:rPr>
          <w:rFonts w:ascii="Calibri" w:hAnsi="Calibri"/>
          <w:sz w:val="22"/>
          <w:szCs w:val="22"/>
        </w:rPr>
        <w:t xml:space="preserve">, host of the XX IACML. </w:t>
      </w:r>
    </w:p>
    <w:p w:rsidR="00CD3709" w:rsidRPr="0009735A" w:rsidRDefault="00CD3709" w:rsidP="00756A0F">
      <w:pPr>
        <w:spacing w:after="120"/>
        <w:jc w:val="both"/>
        <w:rPr>
          <w:rFonts w:ascii="Calibri" w:hAnsi="Calibri"/>
          <w:b/>
          <w:i/>
          <w:sz w:val="22"/>
          <w:szCs w:val="22"/>
        </w:rPr>
      </w:pPr>
      <w:r w:rsidRPr="006D24CF">
        <w:rPr>
          <w:rFonts w:ascii="Calibri" w:hAnsi="Calibri"/>
          <w:b/>
          <w:bCs/>
          <w:i/>
          <w:iCs/>
          <w:sz w:val="22"/>
          <w:szCs w:val="22"/>
        </w:rPr>
        <w:t>Funding sources:</w:t>
      </w:r>
      <w:r w:rsidRPr="006D24CF">
        <w:rPr>
          <w:rFonts w:ascii="Calibri" w:hAnsi="Calibri"/>
          <w:b/>
          <w:sz w:val="22"/>
          <w:szCs w:val="22"/>
        </w:rPr>
        <w:t xml:space="preserve"> </w:t>
      </w:r>
      <w:r w:rsidRPr="0009735A">
        <w:rPr>
          <w:rFonts w:ascii="Calibri" w:hAnsi="Calibri"/>
          <w:sz w:val="22"/>
          <w:szCs w:val="22"/>
        </w:rPr>
        <w:t xml:space="preserve">The Government of </w:t>
      </w:r>
      <w:r>
        <w:rPr>
          <w:rFonts w:ascii="Calibri" w:hAnsi="Calibri"/>
          <w:sz w:val="22"/>
          <w:szCs w:val="22"/>
        </w:rPr>
        <w:t xml:space="preserve">Paraguay </w:t>
      </w:r>
      <w:r w:rsidRPr="0009735A">
        <w:rPr>
          <w:rFonts w:ascii="Calibri" w:hAnsi="Calibri"/>
          <w:sz w:val="22"/>
          <w:szCs w:val="22"/>
        </w:rPr>
        <w:t>will cover the cost of logistics and simultaneous interpretation, and will explore the possibility of covering some travel expenses for representatives of small</w:t>
      </w:r>
      <w:r>
        <w:rPr>
          <w:rFonts w:ascii="Calibri" w:hAnsi="Calibri"/>
          <w:sz w:val="22"/>
          <w:szCs w:val="22"/>
        </w:rPr>
        <w:t>er</w:t>
      </w:r>
      <w:r w:rsidRPr="0009735A">
        <w:rPr>
          <w:rFonts w:ascii="Calibri" w:hAnsi="Calibri"/>
          <w:sz w:val="22"/>
          <w:szCs w:val="22"/>
        </w:rPr>
        <w:t xml:space="preserve"> economies</w:t>
      </w:r>
      <w:r>
        <w:rPr>
          <w:rFonts w:ascii="Calibri" w:hAnsi="Calibri"/>
          <w:sz w:val="22"/>
          <w:szCs w:val="22"/>
        </w:rPr>
        <w:t>, COSATE and CEATAL</w:t>
      </w:r>
      <w:r w:rsidRPr="0009735A">
        <w:rPr>
          <w:rFonts w:ascii="Calibri" w:hAnsi="Calibri"/>
          <w:sz w:val="22"/>
          <w:szCs w:val="22"/>
        </w:rPr>
        <w:t>.</w:t>
      </w:r>
    </w:p>
    <w:p w:rsidR="00CD3709" w:rsidRPr="00756A0F" w:rsidRDefault="00CD3709" w:rsidP="00756A0F">
      <w:pPr>
        <w:jc w:val="both"/>
        <w:rPr>
          <w:rFonts w:ascii="Calibri" w:hAnsi="Calibri"/>
          <w:b/>
          <w:sz w:val="22"/>
          <w:szCs w:val="22"/>
          <w:u w:val="single"/>
        </w:rPr>
      </w:pPr>
    </w:p>
    <w:p w:rsidR="00CD3709" w:rsidRPr="00756A0F" w:rsidRDefault="00CD3709" w:rsidP="00756A0F">
      <w:pPr>
        <w:numPr>
          <w:ilvl w:val="0"/>
          <w:numId w:val="4"/>
        </w:numPr>
        <w:tabs>
          <w:tab w:val="clear" w:pos="720"/>
          <w:tab w:val="num" w:pos="360"/>
        </w:tabs>
        <w:ind w:left="360"/>
        <w:jc w:val="both"/>
        <w:rPr>
          <w:rFonts w:ascii="Calibri" w:hAnsi="Calibri"/>
          <w:b/>
          <w:sz w:val="22"/>
          <w:szCs w:val="22"/>
          <w:u w:val="single"/>
        </w:rPr>
      </w:pPr>
      <w:r w:rsidRPr="00A455CE">
        <w:rPr>
          <w:rFonts w:ascii="Calibri" w:hAnsi="Calibri"/>
          <w:b/>
          <w:sz w:val="22"/>
          <w:szCs w:val="22"/>
          <w:u w:val="single"/>
        </w:rPr>
        <w:t>RIAL Workshop on Labor Migration</w:t>
      </w:r>
    </w:p>
    <w:p w:rsidR="00CD3709" w:rsidRPr="00A455CE" w:rsidRDefault="00CD3709" w:rsidP="00756A0F">
      <w:pPr>
        <w:spacing w:after="120"/>
        <w:jc w:val="both"/>
        <w:rPr>
          <w:rFonts w:ascii="Calibri" w:hAnsi="Calibri"/>
          <w:sz w:val="22"/>
          <w:szCs w:val="22"/>
        </w:rPr>
      </w:pPr>
      <w:r w:rsidRPr="006D24CF">
        <w:rPr>
          <w:rFonts w:ascii="Calibri" w:hAnsi="Calibri"/>
          <w:b/>
          <w:i/>
          <w:sz w:val="22"/>
          <w:szCs w:val="22"/>
        </w:rPr>
        <w:t>Place and date:</w:t>
      </w:r>
      <w:r w:rsidRPr="00A455CE">
        <w:rPr>
          <w:rFonts w:ascii="Calibri" w:hAnsi="Calibri"/>
          <w:sz w:val="22"/>
          <w:szCs w:val="22"/>
        </w:rPr>
        <w:t xml:space="preserve"> </w:t>
      </w:r>
      <w:smartTag w:uri="urn:schemas-microsoft-com:office:smarttags" w:element="country-region">
        <w:smartTag w:uri="urn:schemas-microsoft-com:office:smarttags" w:element="place">
          <w:r>
            <w:rPr>
              <w:rFonts w:ascii="Calibri" w:hAnsi="Calibri"/>
              <w:sz w:val="22"/>
              <w:szCs w:val="22"/>
            </w:rPr>
            <w:t>Costa Rica</w:t>
          </w:r>
        </w:smartTag>
      </w:smartTag>
      <w:r>
        <w:rPr>
          <w:rFonts w:ascii="Calibri" w:hAnsi="Calibri"/>
          <w:sz w:val="22"/>
          <w:szCs w:val="22"/>
        </w:rPr>
        <w:t xml:space="preserve">, </w:t>
      </w:r>
      <w:r w:rsidRPr="00A455CE">
        <w:rPr>
          <w:rFonts w:ascii="Calibri" w:hAnsi="Calibri"/>
          <w:sz w:val="22"/>
          <w:szCs w:val="22"/>
        </w:rPr>
        <w:t xml:space="preserve">July, 2017 </w:t>
      </w:r>
    </w:p>
    <w:p w:rsidR="00CD3709" w:rsidRPr="00A455CE" w:rsidRDefault="00CD3709" w:rsidP="00756A0F">
      <w:pPr>
        <w:spacing w:after="120"/>
        <w:jc w:val="both"/>
        <w:rPr>
          <w:rFonts w:ascii="Calibri" w:hAnsi="Calibri"/>
          <w:sz w:val="22"/>
          <w:szCs w:val="22"/>
        </w:rPr>
      </w:pPr>
      <w:r w:rsidRPr="006D24CF">
        <w:rPr>
          <w:rFonts w:ascii="Calibri" w:hAnsi="Calibri"/>
          <w:b/>
          <w:i/>
          <w:sz w:val="22"/>
          <w:szCs w:val="22"/>
        </w:rPr>
        <w:t>Description:</w:t>
      </w:r>
      <w:r w:rsidRPr="00A455CE">
        <w:rPr>
          <w:rFonts w:ascii="Calibri" w:hAnsi="Calibri"/>
          <w:sz w:val="22"/>
          <w:szCs w:val="22"/>
        </w:rPr>
        <w:t xml:space="preserve"> Considering the priority given by the XIX IACML to achieving greater inclusion of vulnerable groups, as well Migration being another priority theme of the XIX IACML, this event will focus on the exchange of experiences on protection and dissemination of migrant workers’ rights, including topics connected to social security and fair recruitment. It will serve as a follow-up to mandates 6, 18, 25, 27 and 28 of the Declaration of Cancun and 6, h of the Plan of Action. The conceptual proposal (objectives, thematic sessions and products), following RIAL process, will be jointly developed by the Chair and Vice-Chair of the WG2, the Chair of the XIX IACML with support of the Technical Secretariat of the IACML. </w:t>
      </w:r>
    </w:p>
    <w:p w:rsidR="00CD3709" w:rsidRPr="00A455CE" w:rsidRDefault="00CD3709" w:rsidP="00756A0F">
      <w:pPr>
        <w:spacing w:after="120"/>
        <w:jc w:val="both"/>
        <w:rPr>
          <w:rFonts w:ascii="Calibri" w:hAnsi="Calibri"/>
          <w:sz w:val="22"/>
          <w:szCs w:val="22"/>
        </w:rPr>
      </w:pPr>
      <w:r w:rsidRPr="006D24CF">
        <w:rPr>
          <w:rFonts w:ascii="Calibri" w:hAnsi="Calibri"/>
          <w:b/>
          <w:i/>
          <w:sz w:val="22"/>
          <w:szCs w:val="22"/>
        </w:rPr>
        <w:t>Key partners:</w:t>
      </w:r>
      <w:r w:rsidRPr="00A455CE">
        <w:rPr>
          <w:rFonts w:ascii="Calibri" w:hAnsi="Calibri"/>
          <w:sz w:val="22"/>
          <w:szCs w:val="22"/>
        </w:rPr>
        <w:t xml:space="preserve"> </w:t>
      </w:r>
      <w:r>
        <w:rPr>
          <w:rFonts w:ascii="Calibri" w:hAnsi="Calibri"/>
          <w:sz w:val="22"/>
          <w:szCs w:val="22"/>
        </w:rPr>
        <w:t>ILO, CISS and o</w:t>
      </w:r>
      <w:r w:rsidRPr="00A455CE">
        <w:rPr>
          <w:rFonts w:ascii="Calibri" w:hAnsi="Calibri"/>
          <w:sz w:val="22"/>
          <w:szCs w:val="22"/>
        </w:rPr>
        <w:t>ther organizations-to be defined</w:t>
      </w:r>
    </w:p>
    <w:p w:rsidR="00CD3709" w:rsidRPr="0009735A" w:rsidRDefault="00CD3709" w:rsidP="00756A0F">
      <w:pPr>
        <w:spacing w:after="120"/>
        <w:jc w:val="both"/>
        <w:rPr>
          <w:rFonts w:ascii="Calibri" w:hAnsi="Calibri"/>
          <w:b/>
          <w:i/>
          <w:sz w:val="22"/>
          <w:szCs w:val="22"/>
        </w:rPr>
      </w:pPr>
      <w:r w:rsidRPr="006D24CF">
        <w:rPr>
          <w:rFonts w:ascii="Calibri" w:hAnsi="Calibri"/>
          <w:b/>
          <w:i/>
          <w:sz w:val="22"/>
          <w:szCs w:val="22"/>
        </w:rPr>
        <w:t>Funding sources</w:t>
      </w:r>
      <w:r w:rsidRPr="00756A0F">
        <w:rPr>
          <w:rFonts w:ascii="Calibri" w:hAnsi="Calibri"/>
          <w:i/>
          <w:sz w:val="22"/>
          <w:szCs w:val="22"/>
        </w:rPr>
        <w:t>:</w:t>
      </w:r>
      <w:r w:rsidRPr="00A455CE">
        <w:rPr>
          <w:rFonts w:ascii="Calibri" w:hAnsi="Calibri"/>
          <w:sz w:val="22"/>
          <w:szCs w:val="22"/>
        </w:rPr>
        <w:t xml:space="preserve"> RIAL</w:t>
      </w:r>
      <w:r>
        <w:rPr>
          <w:rFonts w:ascii="Calibri" w:hAnsi="Calibri"/>
          <w:sz w:val="22"/>
          <w:szCs w:val="22"/>
        </w:rPr>
        <w:t xml:space="preserve"> will contribute up to $25,000 that could </w:t>
      </w:r>
      <w:r w:rsidRPr="0009735A">
        <w:rPr>
          <w:rFonts w:ascii="Calibri" w:hAnsi="Calibri"/>
          <w:sz w:val="22"/>
          <w:szCs w:val="22"/>
        </w:rPr>
        <w:t>cover cost</w:t>
      </w:r>
      <w:r>
        <w:rPr>
          <w:rFonts w:ascii="Calibri" w:hAnsi="Calibri"/>
          <w:sz w:val="22"/>
          <w:szCs w:val="22"/>
        </w:rPr>
        <w:t>s</w:t>
      </w:r>
      <w:r w:rsidRPr="0009735A">
        <w:rPr>
          <w:rFonts w:ascii="Calibri" w:hAnsi="Calibri"/>
          <w:sz w:val="22"/>
          <w:szCs w:val="22"/>
        </w:rPr>
        <w:t xml:space="preserve"> of logistics and simultaneous interpretation, and some travel expenses for representatives of small economies</w:t>
      </w:r>
      <w:r>
        <w:rPr>
          <w:rFonts w:ascii="Calibri" w:hAnsi="Calibri"/>
          <w:sz w:val="22"/>
          <w:szCs w:val="22"/>
        </w:rPr>
        <w:t>, COSATE and CEATAL. It is expected that some of these costs might be covered by the Government of Costa Rica or other partners.</w:t>
      </w:r>
    </w:p>
    <w:p w:rsidR="00CD3709" w:rsidRPr="00756A0F" w:rsidRDefault="00CD3709" w:rsidP="00756A0F">
      <w:pPr>
        <w:jc w:val="both"/>
        <w:rPr>
          <w:rFonts w:ascii="Calibri" w:hAnsi="Calibri"/>
          <w:b/>
          <w:sz w:val="22"/>
          <w:szCs w:val="22"/>
          <w:u w:val="single"/>
        </w:rPr>
      </w:pPr>
    </w:p>
    <w:p w:rsidR="00CD3709" w:rsidRPr="00B76A07" w:rsidRDefault="00CD3709" w:rsidP="00756A0F">
      <w:pPr>
        <w:numPr>
          <w:ilvl w:val="0"/>
          <w:numId w:val="4"/>
        </w:numPr>
        <w:tabs>
          <w:tab w:val="clear" w:pos="720"/>
          <w:tab w:val="num" w:pos="360"/>
        </w:tabs>
        <w:ind w:left="360"/>
        <w:jc w:val="both"/>
        <w:rPr>
          <w:rFonts w:ascii="Calibri" w:hAnsi="Calibri"/>
          <w:b/>
          <w:sz w:val="22"/>
          <w:szCs w:val="22"/>
          <w:u w:val="single"/>
        </w:rPr>
      </w:pPr>
      <w:r w:rsidRPr="00B76A07">
        <w:rPr>
          <w:rFonts w:ascii="Calibri" w:hAnsi="Calibri"/>
          <w:b/>
          <w:bCs/>
          <w:sz w:val="22"/>
          <w:szCs w:val="22"/>
          <w:u w:val="single"/>
        </w:rPr>
        <w:t xml:space="preserve">Second Preparatory Meeting of the XX IACML </w:t>
      </w:r>
    </w:p>
    <w:p w:rsidR="00CD3709" w:rsidRPr="00B76A07" w:rsidRDefault="00CD3709" w:rsidP="00756A0F">
      <w:pPr>
        <w:jc w:val="both"/>
        <w:rPr>
          <w:rFonts w:ascii="Calibri" w:hAnsi="Calibri"/>
          <w:b/>
          <w:sz w:val="22"/>
          <w:szCs w:val="22"/>
          <w:u w:val="single"/>
        </w:rPr>
      </w:pPr>
    </w:p>
    <w:p w:rsidR="00CD3709" w:rsidRPr="00756A0F" w:rsidRDefault="00CD3709" w:rsidP="00756A0F">
      <w:pPr>
        <w:spacing w:after="120"/>
        <w:jc w:val="both"/>
        <w:rPr>
          <w:rFonts w:ascii="Calibri" w:hAnsi="Calibri"/>
          <w:sz w:val="22"/>
          <w:szCs w:val="22"/>
        </w:rPr>
      </w:pPr>
      <w:r w:rsidRPr="006D24CF">
        <w:rPr>
          <w:rFonts w:ascii="Calibri" w:hAnsi="Calibri"/>
          <w:b/>
          <w:i/>
          <w:sz w:val="22"/>
          <w:szCs w:val="22"/>
        </w:rPr>
        <w:t>Place and date:</w:t>
      </w:r>
      <w:r>
        <w:rPr>
          <w:rFonts w:ascii="Calibri" w:hAnsi="Calibri"/>
          <w:sz w:val="22"/>
          <w:szCs w:val="22"/>
        </w:rPr>
        <w:t xml:space="preserve"> </w:t>
      </w:r>
      <w:r w:rsidRPr="00756A0F">
        <w:rPr>
          <w:rFonts w:ascii="Calibri" w:hAnsi="Calibri"/>
          <w:sz w:val="22"/>
          <w:szCs w:val="22"/>
        </w:rPr>
        <w:t xml:space="preserve"> </w:t>
      </w:r>
      <w:smartTag w:uri="urn:schemas-microsoft-com:office:smarttags" w:element="State">
        <w:smartTag w:uri="urn:schemas-microsoft-com:office:smarttags" w:element="place">
          <w:r w:rsidRPr="00756A0F">
            <w:rPr>
              <w:rFonts w:ascii="Calibri" w:hAnsi="Calibri"/>
              <w:sz w:val="22"/>
              <w:szCs w:val="22"/>
            </w:rPr>
            <w:t>Washington</w:t>
          </w:r>
        </w:smartTag>
      </w:smartTag>
      <w:r w:rsidRPr="00756A0F">
        <w:rPr>
          <w:rFonts w:ascii="Calibri" w:hAnsi="Calibri"/>
          <w:sz w:val="22"/>
          <w:szCs w:val="22"/>
        </w:rPr>
        <w:t xml:space="preserve"> D.C</w:t>
      </w:r>
      <w:r>
        <w:rPr>
          <w:rFonts w:ascii="Calibri" w:hAnsi="Calibri"/>
          <w:sz w:val="22"/>
          <w:szCs w:val="22"/>
        </w:rPr>
        <w:t xml:space="preserve">, </w:t>
      </w:r>
      <w:r w:rsidRPr="00756A0F">
        <w:rPr>
          <w:rFonts w:ascii="Calibri" w:hAnsi="Calibri"/>
          <w:sz w:val="22"/>
          <w:szCs w:val="22"/>
        </w:rPr>
        <w:t xml:space="preserve">September, 2017 </w:t>
      </w:r>
    </w:p>
    <w:p w:rsidR="00CD3709" w:rsidRPr="00756A0F" w:rsidRDefault="00CD3709" w:rsidP="00756A0F">
      <w:pPr>
        <w:spacing w:after="120"/>
        <w:jc w:val="both"/>
        <w:rPr>
          <w:rFonts w:ascii="Calibri" w:hAnsi="Calibri"/>
          <w:sz w:val="22"/>
          <w:szCs w:val="22"/>
        </w:rPr>
      </w:pPr>
      <w:r w:rsidRPr="006D24CF">
        <w:rPr>
          <w:rFonts w:ascii="Calibri" w:hAnsi="Calibri"/>
          <w:b/>
          <w:bCs/>
          <w:i/>
          <w:iCs/>
          <w:sz w:val="22"/>
          <w:szCs w:val="22"/>
        </w:rPr>
        <w:t>Description:</w:t>
      </w:r>
      <w:r w:rsidRPr="00756A0F">
        <w:rPr>
          <w:rFonts w:ascii="Calibri" w:hAnsi="Calibri"/>
          <w:sz w:val="22"/>
          <w:szCs w:val="22"/>
        </w:rPr>
        <w:t xml:space="preserve"> This is a three-day meeting to negotiate the draft Declaration and Plan of Action of the XX IACML.</w:t>
      </w:r>
    </w:p>
    <w:p w:rsidR="00CD3709" w:rsidRPr="006A695F" w:rsidRDefault="00CD3709" w:rsidP="006A695F">
      <w:pPr>
        <w:spacing w:after="120"/>
        <w:jc w:val="both"/>
        <w:rPr>
          <w:rFonts w:ascii="Calibri" w:hAnsi="Calibri"/>
          <w:sz w:val="22"/>
          <w:szCs w:val="22"/>
        </w:rPr>
      </w:pPr>
      <w:r w:rsidRPr="006D24CF">
        <w:rPr>
          <w:rFonts w:ascii="Calibri" w:hAnsi="Calibri"/>
          <w:b/>
          <w:i/>
          <w:sz w:val="22"/>
          <w:szCs w:val="22"/>
        </w:rPr>
        <w:t>Funding sources:</w:t>
      </w:r>
      <w:r w:rsidRPr="00756A0F">
        <w:rPr>
          <w:rFonts w:ascii="Calibri" w:hAnsi="Calibri"/>
          <w:sz w:val="22"/>
          <w:szCs w:val="22"/>
        </w:rPr>
        <w:t xml:space="preserve">  </w:t>
      </w:r>
      <w:smartTag w:uri="urn:schemas-microsoft-com:office:smarttags" w:element="country-region">
        <w:smartTag w:uri="urn:schemas-microsoft-com:office:smarttags" w:element="place">
          <w:r w:rsidRPr="00756A0F">
            <w:rPr>
              <w:rFonts w:ascii="Calibri" w:hAnsi="Calibri"/>
              <w:sz w:val="22"/>
              <w:szCs w:val="22"/>
            </w:rPr>
            <w:t>Barbados</w:t>
          </w:r>
        </w:smartTag>
      </w:smartTag>
      <w:r w:rsidRPr="00756A0F">
        <w:rPr>
          <w:rFonts w:ascii="Calibri" w:hAnsi="Calibri"/>
          <w:sz w:val="22"/>
          <w:szCs w:val="22"/>
        </w:rPr>
        <w:t xml:space="preserve"> and OAS</w:t>
      </w:r>
      <w:r w:rsidRPr="00A455CE">
        <w:rPr>
          <w:rFonts w:ascii="Calibri" w:hAnsi="Calibri"/>
          <w:bCs/>
          <w:sz w:val="22"/>
          <w:szCs w:val="22"/>
        </w:rPr>
        <w:t xml:space="preserve">  </w:t>
      </w:r>
    </w:p>
    <w:p w:rsidR="00CD3709" w:rsidRDefault="00CD3709" w:rsidP="005421D0">
      <w:pPr>
        <w:spacing w:after="120"/>
        <w:jc w:val="both"/>
        <w:rPr>
          <w:rFonts w:ascii="Calibri" w:hAnsi="Calibri"/>
          <w:sz w:val="22"/>
          <w:szCs w:val="22"/>
          <w:highlight w:val="cyan"/>
        </w:rPr>
      </w:pPr>
    </w:p>
    <w:p w:rsidR="00CD3709" w:rsidRDefault="00CD3709" w:rsidP="005421D0">
      <w:pPr>
        <w:spacing w:after="120"/>
        <w:jc w:val="both"/>
        <w:rPr>
          <w:rFonts w:ascii="Calibri" w:hAnsi="Calibri"/>
          <w:sz w:val="22"/>
          <w:szCs w:val="22"/>
          <w:highlight w:val="cyan"/>
        </w:rPr>
      </w:pPr>
    </w:p>
    <w:p w:rsidR="00CD3709" w:rsidRPr="008921B6" w:rsidRDefault="00CD3709" w:rsidP="005421D0">
      <w:pPr>
        <w:spacing w:after="120"/>
        <w:jc w:val="both"/>
        <w:rPr>
          <w:rFonts w:ascii="Calibri" w:hAnsi="Calibri"/>
          <w:sz w:val="22"/>
          <w:szCs w:val="22"/>
          <w:highlight w:val="cyan"/>
        </w:rPr>
      </w:pPr>
    </w:p>
    <w:p w:rsidR="00CD3709" w:rsidRPr="00756A0F" w:rsidRDefault="00CD3709" w:rsidP="00756A0F">
      <w:pPr>
        <w:numPr>
          <w:ilvl w:val="0"/>
          <w:numId w:val="4"/>
        </w:numPr>
        <w:tabs>
          <w:tab w:val="clear" w:pos="720"/>
          <w:tab w:val="num" w:pos="360"/>
        </w:tabs>
        <w:spacing w:after="120"/>
        <w:ind w:left="360"/>
        <w:jc w:val="both"/>
        <w:rPr>
          <w:rFonts w:ascii="Calibri" w:hAnsi="Calibri"/>
          <w:b/>
          <w:sz w:val="22"/>
          <w:szCs w:val="22"/>
          <w:u w:val="single"/>
        </w:rPr>
      </w:pPr>
      <w:r w:rsidRPr="00756A0F">
        <w:rPr>
          <w:rFonts w:ascii="Calibri" w:hAnsi="Calibri"/>
          <w:b/>
          <w:bCs/>
          <w:sz w:val="22"/>
          <w:szCs w:val="22"/>
          <w:u w:val="single"/>
        </w:rPr>
        <w:t>XX IACML</w:t>
      </w:r>
    </w:p>
    <w:p w:rsidR="00CD3709" w:rsidRDefault="00CD3709" w:rsidP="00756A0F">
      <w:pPr>
        <w:spacing w:after="120"/>
        <w:jc w:val="both"/>
        <w:rPr>
          <w:rFonts w:ascii="Calibri" w:hAnsi="Calibri"/>
          <w:sz w:val="22"/>
          <w:szCs w:val="22"/>
        </w:rPr>
      </w:pPr>
      <w:r w:rsidRPr="006D24CF">
        <w:rPr>
          <w:rFonts w:ascii="Calibri" w:hAnsi="Calibri"/>
          <w:b/>
          <w:i/>
          <w:sz w:val="22"/>
          <w:szCs w:val="22"/>
        </w:rPr>
        <w:t>Place and date:</w:t>
      </w:r>
      <w:r w:rsidRPr="00A455CE">
        <w:rPr>
          <w:rFonts w:ascii="Calibri" w:hAnsi="Calibri"/>
          <w:sz w:val="22"/>
          <w:szCs w:val="22"/>
        </w:rPr>
        <w:t xml:space="preserve"> </w:t>
      </w:r>
      <w:smartTag w:uri="urn:schemas-microsoft-com:office:smarttags" w:element="country-region">
        <w:smartTag w:uri="urn:schemas-microsoft-com:office:smarttags" w:element="place">
          <w:r w:rsidRPr="00A455CE">
            <w:rPr>
              <w:rFonts w:ascii="Calibri" w:hAnsi="Calibri"/>
              <w:sz w:val="22"/>
              <w:szCs w:val="22"/>
            </w:rPr>
            <w:t>Barbados</w:t>
          </w:r>
        </w:smartTag>
      </w:smartTag>
      <w:r>
        <w:rPr>
          <w:rFonts w:ascii="Calibri" w:hAnsi="Calibri"/>
          <w:b/>
          <w:sz w:val="22"/>
          <w:szCs w:val="22"/>
        </w:rPr>
        <w:t>,</w:t>
      </w:r>
      <w:r>
        <w:rPr>
          <w:rFonts w:ascii="Calibri" w:hAnsi="Calibri"/>
          <w:sz w:val="22"/>
          <w:szCs w:val="22"/>
        </w:rPr>
        <w:t xml:space="preserve"> early </w:t>
      </w:r>
      <w:r w:rsidRPr="00A455CE">
        <w:rPr>
          <w:rFonts w:ascii="Calibri" w:hAnsi="Calibri"/>
          <w:sz w:val="22"/>
          <w:szCs w:val="22"/>
        </w:rPr>
        <w:t>November, 2017</w:t>
      </w:r>
    </w:p>
    <w:p w:rsidR="00CD3709" w:rsidRPr="0009735A" w:rsidRDefault="00CD3709" w:rsidP="00756A0F">
      <w:pPr>
        <w:spacing w:after="120"/>
        <w:jc w:val="both"/>
        <w:rPr>
          <w:rFonts w:ascii="Calibri" w:hAnsi="Calibri"/>
          <w:sz w:val="22"/>
          <w:szCs w:val="22"/>
        </w:rPr>
      </w:pPr>
      <w:r w:rsidRPr="006D24CF">
        <w:rPr>
          <w:rFonts w:ascii="Calibri" w:hAnsi="Calibri"/>
          <w:b/>
          <w:bCs/>
          <w:i/>
          <w:iCs/>
          <w:sz w:val="22"/>
          <w:szCs w:val="22"/>
        </w:rPr>
        <w:t>Description:</w:t>
      </w:r>
      <w:r w:rsidRPr="0009735A">
        <w:rPr>
          <w:rFonts w:ascii="Calibri" w:hAnsi="Calibri"/>
          <w:sz w:val="22"/>
          <w:szCs w:val="22"/>
        </w:rPr>
        <w:t xml:space="preserve"> </w:t>
      </w:r>
      <w:r>
        <w:rPr>
          <w:rFonts w:ascii="Calibri" w:hAnsi="Calibri"/>
          <w:sz w:val="22"/>
          <w:szCs w:val="22"/>
        </w:rPr>
        <w:t>The Conference will gather Ministries of Labor, employers’ and workers’ representatives, accompanied by relevant international organizations to discuss and reach consensus around key issues related to labor and employment in the Hemisphere. The approval of a Declaration and Plan of Action is expected, which will be negotiated beginning in April 2017, during the First Preparatory Meeting.  During the X</w:t>
      </w:r>
      <w:r w:rsidRPr="0009735A">
        <w:rPr>
          <w:rFonts w:ascii="Calibri" w:hAnsi="Calibri"/>
          <w:sz w:val="22"/>
          <w:szCs w:val="22"/>
        </w:rPr>
        <w:t>X IACML, biennial meetings of COTPAL, COSATE and CEATAL will</w:t>
      </w:r>
      <w:r>
        <w:rPr>
          <w:rFonts w:ascii="Calibri" w:hAnsi="Calibri"/>
          <w:sz w:val="22"/>
          <w:szCs w:val="22"/>
        </w:rPr>
        <w:t xml:space="preserve"> also be h</w:t>
      </w:r>
      <w:r w:rsidRPr="0009735A">
        <w:rPr>
          <w:rFonts w:ascii="Calibri" w:hAnsi="Calibri"/>
          <w:sz w:val="22"/>
          <w:szCs w:val="22"/>
        </w:rPr>
        <w:t xml:space="preserve">eld. </w:t>
      </w:r>
    </w:p>
    <w:p w:rsidR="00CD3709" w:rsidRDefault="00CD3709" w:rsidP="00D46596">
      <w:pPr>
        <w:spacing w:after="120"/>
        <w:jc w:val="both"/>
        <w:rPr>
          <w:rFonts w:ascii="Calibri" w:hAnsi="Calibri"/>
          <w:sz w:val="22"/>
          <w:szCs w:val="22"/>
        </w:rPr>
      </w:pPr>
      <w:r w:rsidRPr="006D24CF">
        <w:rPr>
          <w:rFonts w:ascii="Calibri" w:hAnsi="Calibri"/>
          <w:b/>
          <w:i/>
          <w:sz w:val="22"/>
          <w:szCs w:val="22"/>
        </w:rPr>
        <w:t>Funding sources:</w:t>
      </w:r>
      <w:r w:rsidRPr="00A455CE">
        <w:rPr>
          <w:rFonts w:ascii="Calibri" w:hAnsi="Calibri"/>
          <w:sz w:val="22"/>
          <w:szCs w:val="22"/>
        </w:rPr>
        <w:t xml:space="preserve"> Barbados and OAS</w:t>
      </w:r>
    </w:p>
    <w:p w:rsidR="00CD3709" w:rsidRPr="005C22B6" w:rsidRDefault="00CD3709" w:rsidP="00D46596">
      <w:pPr>
        <w:spacing w:after="120"/>
        <w:jc w:val="both"/>
        <w:rPr>
          <w:rFonts w:ascii="Calibri" w:hAnsi="Calibri"/>
          <w:sz w:val="22"/>
          <w:szCs w:val="22"/>
        </w:rPr>
      </w:pPr>
    </w:p>
    <w:p w:rsidR="00CD3709" w:rsidRPr="005C22B6" w:rsidRDefault="00CD3709" w:rsidP="006A41B2">
      <w:pPr>
        <w:numPr>
          <w:ilvl w:val="0"/>
          <w:numId w:val="4"/>
        </w:numPr>
        <w:tabs>
          <w:tab w:val="clear" w:pos="720"/>
          <w:tab w:val="num" w:pos="360"/>
        </w:tabs>
        <w:spacing w:after="120"/>
        <w:ind w:left="360"/>
        <w:jc w:val="both"/>
        <w:rPr>
          <w:rFonts w:ascii="Calibri" w:hAnsi="Calibri"/>
          <w:sz w:val="22"/>
          <w:szCs w:val="22"/>
        </w:rPr>
      </w:pPr>
      <w:r w:rsidRPr="005C22B6">
        <w:rPr>
          <w:rFonts w:ascii="Calibri" w:hAnsi="Calibri"/>
          <w:b/>
          <w:sz w:val="22"/>
          <w:szCs w:val="22"/>
          <w:u w:val="single"/>
        </w:rPr>
        <w:t xml:space="preserve">Dialogue with Workers and Employers at the OAS General Assembly </w:t>
      </w:r>
    </w:p>
    <w:p w:rsidR="00CD3709" w:rsidRPr="005C22B6" w:rsidRDefault="00CD3709" w:rsidP="007F6A2F">
      <w:pPr>
        <w:spacing w:after="120"/>
        <w:jc w:val="both"/>
        <w:rPr>
          <w:rFonts w:ascii="Calibri" w:hAnsi="Calibri"/>
          <w:sz w:val="22"/>
          <w:szCs w:val="22"/>
        </w:rPr>
      </w:pPr>
      <w:r w:rsidRPr="006D24CF">
        <w:rPr>
          <w:rFonts w:ascii="Calibri" w:hAnsi="Calibri"/>
          <w:b/>
          <w:bCs/>
          <w:i/>
          <w:iCs/>
          <w:sz w:val="22"/>
          <w:szCs w:val="22"/>
        </w:rPr>
        <w:t>Place and date:</w:t>
      </w:r>
      <w:r w:rsidRPr="005C22B6">
        <w:rPr>
          <w:rFonts w:ascii="Calibri" w:hAnsi="Calibri"/>
          <w:sz w:val="22"/>
          <w:szCs w:val="22"/>
        </w:rPr>
        <w:t xml:space="preserve">  Santo Domingo, Dominican Republic, June 13-15, 2016 and to be determined for 2017</w:t>
      </w:r>
    </w:p>
    <w:p w:rsidR="00CD3709" w:rsidRPr="005C22B6" w:rsidRDefault="00CD3709" w:rsidP="007F6A2F">
      <w:pPr>
        <w:spacing w:after="120"/>
        <w:jc w:val="both"/>
        <w:rPr>
          <w:rFonts w:ascii="Calibri" w:hAnsi="Calibri"/>
          <w:sz w:val="22"/>
          <w:szCs w:val="22"/>
        </w:rPr>
      </w:pPr>
      <w:r w:rsidRPr="006D24CF">
        <w:rPr>
          <w:rFonts w:ascii="Calibri" w:hAnsi="Calibri"/>
          <w:b/>
          <w:bCs/>
          <w:i/>
          <w:iCs/>
          <w:sz w:val="22"/>
          <w:szCs w:val="22"/>
        </w:rPr>
        <w:t>Description:</w:t>
      </w:r>
      <w:r w:rsidRPr="005C22B6">
        <w:rPr>
          <w:rFonts w:ascii="Calibri" w:hAnsi="Calibri"/>
          <w:sz w:val="22"/>
          <w:szCs w:val="22"/>
        </w:rPr>
        <w:t xml:space="preserve"> The Heads of Delegation of the Member States of the OAS hold dialogues with civil society, workers, the private sector and other groups during the OAS General Assemblies. The Technical Secretariat coordinates the participation of COSATE and CEATAL in these dialogues, with the support of the Trade Union Confederation of the Americas (TUCA)</w:t>
      </w:r>
      <w:r>
        <w:rPr>
          <w:rFonts w:ascii="Calibri" w:hAnsi="Calibri"/>
          <w:sz w:val="22"/>
          <w:szCs w:val="22"/>
        </w:rPr>
        <w:t xml:space="preserve"> and the International Organization of Employers (IOE)</w:t>
      </w:r>
      <w:r w:rsidRPr="005C22B6">
        <w:rPr>
          <w:rFonts w:ascii="Calibri" w:hAnsi="Calibri"/>
          <w:sz w:val="22"/>
          <w:szCs w:val="22"/>
        </w:rPr>
        <w:t xml:space="preserve">. </w:t>
      </w:r>
    </w:p>
    <w:p w:rsidR="00CD3709" w:rsidRPr="009D3EC7" w:rsidRDefault="00CD3709" w:rsidP="007F6A2F">
      <w:pPr>
        <w:spacing w:after="120"/>
        <w:jc w:val="both"/>
        <w:rPr>
          <w:rFonts w:ascii="Calibri" w:hAnsi="Calibri"/>
          <w:sz w:val="22"/>
          <w:szCs w:val="22"/>
        </w:rPr>
      </w:pPr>
      <w:r w:rsidRPr="006D24CF">
        <w:rPr>
          <w:rFonts w:ascii="Calibri" w:hAnsi="Calibri"/>
          <w:b/>
          <w:bCs/>
          <w:i/>
          <w:iCs/>
          <w:sz w:val="22"/>
          <w:szCs w:val="22"/>
        </w:rPr>
        <w:t>Funding sources</w:t>
      </w:r>
      <w:r w:rsidRPr="005C22B6">
        <w:rPr>
          <w:rFonts w:ascii="Calibri" w:hAnsi="Calibri"/>
          <w:bCs/>
          <w:i/>
          <w:iCs/>
          <w:sz w:val="22"/>
          <w:szCs w:val="22"/>
        </w:rPr>
        <w:t>:</w:t>
      </w:r>
      <w:r w:rsidRPr="005C22B6">
        <w:rPr>
          <w:rFonts w:ascii="Calibri" w:hAnsi="Calibri"/>
          <w:sz w:val="22"/>
          <w:szCs w:val="22"/>
        </w:rPr>
        <w:t xml:space="preserve">  OAS, workers’ and employers’ or</w:t>
      </w:r>
      <w:r>
        <w:rPr>
          <w:rFonts w:ascii="Calibri" w:hAnsi="Calibri"/>
          <w:sz w:val="22"/>
          <w:szCs w:val="22"/>
        </w:rPr>
        <w:t xml:space="preserve">ganizations. </w:t>
      </w:r>
      <w:r w:rsidRPr="005C22B6">
        <w:rPr>
          <w:rFonts w:ascii="Calibri" w:hAnsi="Calibri"/>
          <w:sz w:val="22"/>
          <w:szCs w:val="22"/>
        </w:rPr>
        <w:t xml:space="preserve"> </w:t>
      </w:r>
      <w:r w:rsidRPr="006A695F">
        <w:rPr>
          <w:rFonts w:ascii="Calibri" w:hAnsi="Calibri"/>
          <w:sz w:val="22"/>
          <w:szCs w:val="22"/>
        </w:rPr>
        <w:t>ILO support will be explored.</w:t>
      </w:r>
    </w:p>
    <w:p w:rsidR="00CD3709" w:rsidRPr="009D3EC7" w:rsidRDefault="00CD3709" w:rsidP="006800A7">
      <w:pPr>
        <w:jc w:val="both"/>
        <w:rPr>
          <w:rFonts w:ascii="Calibri" w:hAnsi="Calibri"/>
          <w:sz w:val="22"/>
          <w:szCs w:val="22"/>
          <w:highlight w:val="cyan"/>
        </w:rPr>
      </w:pPr>
    </w:p>
    <w:p w:rsidR="00CD3709" w:rsidRDefault="00CD3709" w:rsidP="006A41B2">
      <w:pPr>
        <w:numPr>
          <w:ilvl w:val="0"/>
          <w:numId w:val="4"/>
        </w:numPr>
        <w:tabs>
          <w:tab w:val="clear" w:pos="720"/>
          <w:tab w:val="num" w:pos="360"/>
        </w:tabs>
        <w:spacing w:after="120"/>
        <w:ind w:left="360"/>
        <w:jc w:val="both"/>
        <w:rPr>
          <w:rFonts w:ascii="Calibri" w:hAnsi="Calibri"/>
          <w:b/>
          <w:sz w:val="22"/>
          <w:szCs w:val="22"/>
          <w:u w:val="single"/>
        </w:rPr>
      </w:pPr>
      <w:r w:rsidRPr="005C22B6">
        <w:rPr>
          <w:rFonts w:ascii="Calibri" w:hAnsi="Calibri"/>
          <w:b/>
          <w:sz w:val="22"/>
          <w:szCs w:val="22"/>
          <w:u w:val="single"/>
        </w:rPr>
        <w:t>RIAL Calls for Bilateral Cooperation (9</w:t>
      </w:r>
      <w:r w:rsidRPr="005C22B6">
        <w:rPr>
          <w:rFonts w:ascii="Calibri" w:hAnsi="Calibri"/>
          <w:b/>
          <w:sz w:val="22"/>
          <w:szCs w:val="22"/>
          <w:u w:val="single"/>
          <w:vertAlign w:val="superscript"/>
        </w:rPr>
        <w:t>th</w:t>
      </w:r>
      <w:r w:rsidRPr="005C22B6">
        <w:rPr>
          <w:rFonts w:ascii="Calibri" w:hAnsi="Calibri"/>
          <w:b/>
          <w:sz w:val="22"/>
          <w:szCs w:val="22"/>
          <w:u w:val="single"/>
        </w:rPr>
        <w:t xml:space="preserve"> Call – 2016 and 10</w:t>
      </w:r>
      <w:r w:rsidRPr="005C22B6">
        <w:rPr>
          <w:rFonts w:ascii="Calibri" w:hAnsi="Calibri"/>
          <w:b/>
          <w:sz w:val="22"/>
          <w:szCs w:val="22"/>
          <w:u w:val="single"/>
          <w:vertAlign w:val="superscript"/>
        </w:rPr>
        <w:t>th</w:t>
      </w:r>
      <w:r w:rsidRPr="005C22B6">
        <w:rPr>
          <w:rFonts w:ascii="Calibri" w:hAnsi="Calibri"/>
          <w:b/>
          <w:sz w:val="22"/>
          <w:szCs w:val="22"/>
          <w:u w:val="single"/>
        </w:rPr>
        <w:t xml:space="preserve"> Call – 2017) </w:t>
      </w:r>
    </w:p>
    <w:p w:rsidR="00CD3709" w:rsidRPr="005C22B6" w:rsidRDefault="00CD3709" w:rsidP="008A5C15">
      <w:pPr>
        <w:spacing w:after="120"/>
        <w:jc w:val="both"/>
        <w:rPr>
          <w:rFonts w:ascii="Calibri" w:hAnsi="Calibri"/>
          <w:sz w:val="22"/>
          <w:szCs w:val="22"/>
        </w:rPr>
      </w:pPr>
      <w:r w:rsidRPr="006D24CF">
        <w:rPr>
          <w:rFonts w:ascii="Calibri" w:hAnsi="Calibri"/>
          <w:b/>
          <w:bCs/>
          <w:i/>
          <w:iCs/>
          <w:sz w:val="22"/>
          <w:szCs w:val="22"/>
        </w:rPr>
        <w:t>Description:</w:t>
      </w:r>
      <w:r w:rsidRPr="006D24CF">
        <w:rPr>
          <w:rFonts w:ascii="Calibri" w:hAnsi="Calibri"/>
          <w:b/>
          <w:sz w:val="22"/>
          <w:szCs w:val="22"/>
        </w:rPr>
        <w:t xml:space="preserve">  </w:t>
      </w:r>
      <w:r w:rsidRPr="005C22B6">
        <w:rPr>
          <w:rFonts w:ascii="Calibri" w:hAnsi="Calibri"/>
          <w:sz w:val="22"/>
          <w:szCs w:val="22"/>
        </w:rPr>
        <w:t>Each</w:t>
      </w:r>
      <w:r>
        <w:rPr>
          <w:rFonts w:ascii="Calibri" w:hAnsi="Calibri"/>
          <w:sz w:val="22"/>
          <w:szCs w:val="22"/>
        </w:rPr>
        <w:t xml:space="preserve"> year the RIAL opens Calls for </w:t>
      </w:r>
      <w:r w:rsidRPr="005C22B6">
        <w:rPr>
          <w:rFonts w:ascii="Calibri" w:hAnsi="Calibri"/>
          <w:sz w:val="22"/>
          <w:szCs w:val="22"/>
        </w:rPr>
        <w:t>proposals on bilateral cooperation with the objective of supporting institutional strengthening of Ministries of Labor through cooperation and direct technical assistance among them. After a careful selection process, the RIAL coordinates, finances and follows up on the selected activities. The RIAL covers travel expenses for</w:t>
      </w:r>
      <w:r>
        <w:rPr>
          <w:rFonts w:ascii="Calibri" w:hAnsi="Calibri"/>
          <w:sz w:val="22"/>
          <w:szCs w:val="22"/>
        </w:rPr>
        <w:t xml:space="preserve"> the representatives of the</w:t>
      </w:r>
      <w:r w:rsidRPr="005C22B6">
        <w:rPr>
          <w:rFonts w:ascii="Calibri" w:hAnsi="Calibri"/>
          <w:sz w:val="22"/>
          <w:szCs w:val="22"/>
        </w:rPr>
        <w:t xml:space="preserve"> Ministries of Labor participating in these activities, consisting of economy-class airfare and a stipend (for lodging and meals). These calls are supported in chapter E of the Plan of Action of Cancun.  </w:t>
      </w:r>
    </w:p>
    <w:p w:rsidR="00CD3709" w:rsidRDefault="00CD3709" w:rsidP="008A5C15">
      <w:pPr>
        <w:jc w:val="both"/>
        <w:rPr>
          <w:rFonts w:ascii="Calibri" w:hAnsi="Calibri"/>
          <w:sz w:val="22"/>
          <w:szCs w:val="22"/>
        </w:rPr>
      </w:pPr>
      <w:r w:rsidRPr="006D24CF">
        <w:rPr>
          <w:rFonts w:ascii="Calibri" w:hAnsi="Calibri"/>
          <w:b/>
          <w:bCs/>
          <w:i/>
          <w:iCs/>
          <w:sz w:val="22"/>
          <w:szCs w:val="22"/>
        </w:rPr>
        <w:t>Funding sources:</w:t>
      </w:r>
      <w:r w:rsidRPr="006D24CF">
        <w:rPr>
          <w:rFonts w:ascii="Calibri" w:hAnsi="Calibri"/>
          <w:b/>
          <w:sz w:val="22"/>
          <w:szCs w:val="22"/>
        </w:rPr>
        <w:t xml:space="preserve">  </w:t>
      </w:r>
      <w:r w:rsidRPr="005C22B6">
        <w:rPr>
          <w:rFonts w:ascii="Calibri" w:hAnsi="Calibri"/>
          <w:sz w:val="22"/>
          <w:szCs w:val="22"/>
        </w:rPr>
        <w:t>Voluntary Contribution Fund of the RIAL</w:t>
      </w:r>
      <w:r>
        <w:rPr>
          <w:rFonts w:ascii="Calibri" w:hAnsi="Calibri"/>
          <w:sz w:val="22"/>
          <w:szCs w:val="22"/>
        </w:rPr>
        <w:t xml:space="preserve"> - $3</w:t>
      </w:r>
      <w:r w:rsidRPr="005C22B6">
        <w:rPr>
          <w:rFonts w:ascii="Calibri" w:hAnsi="Calibri"/>
          <w:sz w:val="22"/>
          <w:szCs w:val="22"/>
        </w:rPr>
        <w:t xml:space="preserve">0,000 for </w:t>
      </w:r>
      <w:r>
        <w:rPr>
          <w:rFonts w:ascii="Calibri" w:hAnsi="Calibri"/>
          <w:sz w:val="22"/>
          <w:szCs w:val="22"/>
        </w:rPr>
        <w:t>activities in 2016</w:t>
      </w:r>
      <w:r w:rsidRPr="005C22B6">
        <w:rPr>
          <w:rFonts w:ascii="Calibri" w:hAnsi="Calibri"/>
          <w:sz w:val="22"/>
          <w:szCs w:val="22"/>
        </w:rPr>
        <w:t>, and an amount to be determined according to</w:t>
      </w:r>
      <w:r>
        <w:rPr>
          <w:rFonts w:ascii="Calibri" w:hAnsi="Calibri"/>
          <w:sz w:val="22"/>
          <w:szCs w:val="22"/>
        </w:rPr>
        <w:t xml:space="preserve"> contributions received for 2017</w:t>
      </w:r>
      <w:r w:rsidRPr="005C22B6">
        <w:rPr>
          <w:rFonts w:ascii="Calibri" w:hAnsi="Calibri"/>
          <w:sz w:val="22"/>
          <w:szCs w:val="22"/>
        </w:rPr>
        <w:t xml:space="preserve">. </w:t>
      </w:r>
    </w:p>
    <w:p w:rsidR="00CD3709" w:rsidRPr="00F036D0" w:rsidRDefault="00CD3709" w:rsidP="008A5C15">
      <w:pPr>
        <w:spacing w:after="120"/>
        <w:jc w:val="both"/>
        <w:rPr>
          <w:rFonts w:ascii="Calibri" w:hAnsi="Calibri"/>
          <w:b/>
          <w:sz w:val="22"/>
          <w:szCs w:val="22"/>
          <w:u w:val="single"/>
        </w:rPr>
      </w:pPr>
    </w:p>
    <w:p w:rsidR="00CD3709" w:rsidRPr="008A5C15" w:rsidRDefault="00CD3709" w:rsidP="008A5C15">
      <w:pPr>
        <w:numPr>
          <w:ilvl w:val="0"/>
          <w:numId w:val="4"/>
        </w:numPr>
        <w:tabs>
          <w:tab w:val="clear" w:pos="720"/>
          <w:tab w:val="num" w:pos="360"/>
        </w:tabs>
        <w:spacing w:after="120"/>
        <w:ind w:left="360"/>
        <w:jc w:val="both"/>
        <w:rPr>
          <w:rFonts w:ascii="Calibri" w:hAnsi="Calibri"/>
          <w:b/>
          <w:sz w:val="22"/>
          <w:szCs w:val="22"/>
          <w:u w:val="single"/>
        </w:rPr>
      </w:pPr>
      <w:r w:rsidRPr="005405BC">
        <w:rPr>
          <w:rFonts w:ascii="Calibri" w:hAnsi="Calibri"/>
          <w:b/>
          <w:sz w:val="22"/>
          <w:szCs w:val="22"/>
          <w:u w:val="single"/>
        </w:rPr>
        <w:t>Complementary event</w:t>
      </w:r>
      <w:r w:rsidRPr="00F036D0">
        <w:rPr>
          <w:rFonts w:ascii="Calibri" w:hAnsi="Calibri"/>
          <w:b/>
          <w:sz w:val="22"/>
          <w:szCs w:val="22"/>
        </w:rPr>
        <w:t xml:space="preserve"> – </w:t>
      </w:r>
      <w:r w:rsidRPr="00F036D0">
        <w:rPr>
          <w:rFonts w:ascii="Calibri" w:hAnsi="Calibri"/>
          <w:sz w:val="22"/>
          <w:szCs w:val="22"/>
        </w:rPr>
        <w:t>Joint Celebration PAHO-IACML-OAS and ILO for</w:t>
      </w:r>
      <w:r w:rsidRPr="00A455CE">
        <w:rPr>
          <w:rFonts w:ascii="Calibri" w:hAnsi="Calibri"/>
          <w:sz w:val="22"/>
          <w:szCs w:val="22"/>
        </w:rPr>
        <w:t xml:space="preserve"> the World Day for Safety and Health at Work - April 28, 2016</w:t>
      </w:r>
    </w:p>
    <w:p w:rsidR="00CD3709" w:rsidRDefault="00CD3709" w:rsidP="008A5C15">
      <w:pPr>
        <w:spacing w:after="120"/>
        <w:jc w:val="both"/>
        <w:rPr>
          <w:rFonts w:ascii="Calibri" w:hAnsi="Calibri"/>
          <w:b/>
          <w:sz w:val="22"/>
          <w:szCs w:val="22"/>
          <w:u w:val="single"/>
        </w:rPr>
      </w:pPr>
    </w:p>
    <w:p w:rsidR="00CD3709" w:rsidRPr="008A5C15" w:rsidRDefault="00CD3709" w:rsidP="008A5C15">
      <w:pPr>
        <w:numPr>
          <w:ilvl w:val="0"/>
          <w:numId w:val="4"/>
        </w:numPr>
        <w:tabs>
          <w:tab w:val="clear" w:pos="720"/>
          <w:tab w:val="num" w:pos="360"/>
        </w:tabs>
        <w:spacing w:after="120"/>
        <w:ind w:left="360"/>
        <w:jc w:val="both"/>
        <w:rPr>
          <w:rFonts w:ascii="Calibri" w:hAnsi="Calibri"/>
          <w:b/>
          <w:sz w:val="22"/>
          <w:szCs w:val="22"/>
          <w:u w:val="single"/>
        </w:rPr>
      </w:pPr>
      <w:r w:rsidRPr="005405BC">
        <w:rPr>
          <w:rFonts w:ascii="Calibri" w:hAnsi="Calibri"/>
          <w:b/>
          <w:sz w:val="22"/>
          <w:szCs w:val="22"/>
          <w:u w:val="single"/>
        </w:rPr>
        <w:t>On-going Efforts from the Technical Secretariat</w:t>
      </w:r>
      <w:r w:rsidRPr="006A695F">
        <w:rPr>
          <w:rFonts w:ascii="Calibri" w:hAnsi="Calibri"/>
          <w:b/>
          <w:sz w:val="22"/>
          <w:szCs w:val="22"/>
        </w:rPr>
        <w:t>:</w:t>
      </w:r>
      <w:r w:rsidRPr="006A695F">
        <w:rPr>
          <w:rFonts w:ascii="Calibri" w:hAnsi="Calibri"/>
          <w:sz w:val="22"/>
          <w:szCs w:val="22"/>
        </w:rPr>
        <w:t xml:space="preserve">  RIAL Call for proposals for bilateral cooperation, follow-up, web and Portfolio update, development of database on bilateral and multilateral social security agreements with CISS.</w:t>
      </w:r>
    </w:p>
    <w:p w:rsidR="00CD3709" w:rsidRPr="008A5C15" w:rsidRDefault="00CD3709" w:rsidP="00DB2136">
      <w:pPr>
        <w:jc w:val="both"/>
        <w:rPr>
          <w:rFonts w:ascii="Calibri" w:hAnsi="Calibri"/>
          <w:b/>
          <w:sz w:val="22"/>
          <w:szCs w:val="22"/>
        </w:rPr>
      </w:pPr>
      <w:r>
        <w:rPr>
          <w:rFonts w:ascii="Calibri" w:hAnsi="Calibri"/>
          <w:b/>
          <w:sz w:val="22"/>
          <w:szCs w:val="22"/>
        </w:rPr>
        <w:br w:type="page"/>
      </w:r>
    </w:p>
    <w:p w:rsidR="00CD3709" w:rsidRDefault="00CD3709" w:rsidP="006A41B2">
      <w:pPr>
        <w:numPr>
          <w:ilvl w:val="0"/>
          <w:numId w:val="2"/>
        </w:numPr>
        <w:tabs>
          <w:tab w:val="num" w:pos="360"/>
        </w:tabs>
        <w:ind w:hanging="1080"/>
        <w:rPr>
          <w:rFonts w:ascii="Calibri" w:hAnsi="Calibri"/>
          <w:b/>
          <w:bCs/>
          <w:caps/>
          <w:sz w:val="22"/>
          <w:szCs w:val="22"/>
        </w:rPr>
      </w:pPr>
      <w:r w:rsidRPr="005C22B6">
        <w:rPr>
          <w:rFonts w:ascii="Calibri" w:hAnsi="Calibri"/>
          <w:b/>
          <w:bCs/>
          <w:caps/>
          <w:sz w:val="22"/>
          <w:szCs w:val="22"/>
        </w:rPr>
        <w:t>PRIORITY TOPICS FOR THE WORKING GROUPS</w:t>
      </w:r>
      <w:r>
        <w:rPr>
          <w:rFonts w:ascii="Calibri" w:hAnsi="Calibri"/>
          <w:b/>
          <w:bCs/>
          <w:caps/>
          <w:sz w:val="22"/>
          <w:szCs w:val="22"/>
        </w:rPr>
        <w:t xml:space="preserve">: </w:t>
      </w:r>
    </w:p>
    <w:p w:rsidR="00CD3709" w:rsidRPr="005C22B6" w:rsidRDefault="00CD3709" w:rsidP="008E664B">
      <w:pPr>
        <w:rPr>
          <w:rFonts w:ascii="Calibri" w:hAnsi="Calibri"/>
          <w:b/>
          <w:bCs/>
          <w:caps/>
          <w:sz w:val="22"/>
          <w:szCs w:val="22"/>
        </w:rPr>
      </w:pPr>
    </w:p>
    <w:p w:rsidR="00CD3709" w:rsidRPr="007A4E98" w:rsidRDefault="00CD3709" w:rsidP="005C22B6">
      <w:pPr>
        <w:suppressAutoHyphens/>
        <w:jc w:val="both"/>
        <w:rPr>
          <w:rFonts w:ascii="Calibri" w:hAnsi="Calibri" w:cs="Arial"/>
          <w:sz w:val="22"/>
          <w:szCs w:val="22"/>
        </w:rPr>
      </w:pPr>
      <w:r w:rsidRPr="007A4E98">
        <w:rPr>
          <w:rFonts w:ascii="Calibri" w:hAnsi="Calibri"/>
          <w:sz w:val="22"/>
          <w:szCs w:val="22"/>
        </w:rPr>
        <w:t xml:space="preserve">The </w:t>
      </w:r>
      <w:r>
        <w:rPr>
          <w:rFonts w:ascii="Calibri" w:hAnsi="Calibri"/>
          <w:sz w:val="22"/>
          <w:szCs w:val="22"/>
        </w:rPr>
        <w:t xml:space="preserve">IACML </w:t>
      </w:r>
      <w:r w:rsidRPr="007A4E98">
        <w:rPr>
          <w:rFonts w:ascii="Calibri" w:hAnsi="Calibri"/>
          <w:sz w:val="22"/>
          <w:szCs w:val="22"/>
        </w:rPr>
        <w:t xml:space="preserve">Working Groups </w:t>
      </w:r>
      <w:r>
        <w:rPr>
          <w:rFonts w:ascii="Calibri" w:hAnsi="Calibri"/>
          <w:sz w:val="22"/>
          <w:szCs w:val="22"/>
        </w:rPr>
        <w:t xml:space="preserve">provide </w:t>
      </w:r>
      <w:r w:rsidRPr="007A4E98">
        <w:rPr>
          <w:rFonts w:ascii="Calibri" w:hAnsi="Calibri"/>
          <w:sz w:val="22"/>
          <w:szCs w:val="22"/>
        </w:rPr>
        <w:t xml:space="preserve">follow up </w:t>
      </w:r>
      <w:r>
        <w:rPr>
          <w:rFonts w:ascii="Calibri" w:hAnsi="Calibri"/>
          <w:sz w:val="22"/>
          <w:szCs w:val="22"/>
        </w:rPr>
        <w:t>to</w:t>
      </w:r>
      <w:r w:rsidRPr="007A4E98">
        <w:rPr>
          <w:rFonts w:ascii="Calibri" w:hAnsi="Calibri"/>
          <w:sz w:val="22"/>
          <w:szCs w:val="22"/>
        </w:rPr>
        <w:t xml:space="preserve"> the Declaration and Plan of Action of Cancun. In this sense, they should have the four central themes of the XIX IACML as a guide: 1) </w:t>
      </w:r>
      <w:r w:rsidRPr="007A4E98">
        <w:rPr>
          <w:rFonts w:ascii="Calibri" w:hAnsi="Calibri" w:cs="Arial"/>
          <w:sz w:val="22"/>
          <w:szCs w:val="22"/>
        </w:rPr>
        <w:t>Education and labor: integrated public policy making to promote effective inclusion to the labor market; 2) Equity and labor inclusion: Inclusive labor policies and the generation of quality jobs and enterprises; 3) Labor Migration: Advancing the protection of migrant workers’ rights; 4) Hemispheric cooperation for the strengthening of the Ministries of Labor: The Inter</w:t>
      </w:r>
      <w:r>
        <w:rPr>
          <w:rFonts w:ascii="Calibri" w:hAnsi="Calibri" w:cs="Arial"/>
          <w:sz w:val="22"/>
          <w:szCs w:val="22"/>
        </w:rPr>
        <w:t>-A</w:t>
      </w:r>
      <w:r w:rsidRPr="007A4E98">
        <w:rPr>
          <w:rFonts w:ascii="Calibri" w:hAnsi="Calibri" w:cs="Arial"/>
          <w:sz w:val="22"/>
          <w:szCs w:val="22"/>
        </w:rPr>
        <w:t xml:space="preserve">merican Network for Labor Administration (RIAL) ten years after its creation. </w:t>
      </w:r>
    </w:p>
    <w:p w:rsidR="00CD3709" w:rsidRPr="0009735A" w:rsidRDefault="00CD3709" w:rsidP="005C22B6">
      <w:pPr>
        <w:jc w:val="both"/>
        <w:rPr>
          <w:rFonts w:ascii="Calibri" w:hAnsi="Calibri" w:cs="Microsoft Sans Serif"/>
          <w:sz w:val="22"/>
          <w:szCs w:val="22"/>
        </w:rPr>
      </w:pPr>
    </w:p>
    <w:p w:rsidR="00CD3709" w:rsidRPr="0009735A" w:rsidRDefault="00CD3709" w:rsidP="005C22B6">
      <w:pPr>
        <w:jc w:val="both"/>
        <w:rPr>
          <w:rFonts w:ascii="Calibri" w:hAnsi="Calibri"/>
          <w:sz w:val="22"/>
          <w:szCs w:val="22"/>
        </w:rPr>
      </w:pPr>
      <w:r w:rsidRPr="0009735A">
        <w:rPr>
          <w:rFonts w:ascii="Calibri" w:hAnsi="Calibri"/>
          <w:sz w:val="22"/>
          <w:szCs w:val="22"/>
        </w:rPr>
        <w:t xml:space="preserve">Furthermore, they </w:t>
      </w:r>
      <w:r>
        <w:rPr>
          <w:rFonts w:ascii="Calibri" w:hAnsi="Calibri"/>
          <w:sz w:val="22"/>
          <w:szCs w:val="22"/>
        </w:rPr>
        <w:t xml:space="preserve">will </w:t>
      </w:r>
      <w:r w:rsidRPr="0009735A">
        <w:rPr>
          <w:rFonts w:ascii="Calibri" w:hAnsi="Calibri"/>
          <w:sz w:val="22"/>
          <w:szCs w:val="22"/>
        </w:rPr>
        <w:t xml:space="preserve">have the following </w:t>
      </w:r>
      <w:r>
        <w:rPr>
          <w:rFonts w:ascii="Calibri" w:hAnsi="Calibri"/>
          <w:sz w:val="22"/>
          <w:szCs w:val="22"/>
        </w:rPr>
        <w:t xml:space="preserve">priority </w:t>
      </w:r>
      <w:r w:rsidRPr="0009735A">
        <w:rPr>
          <w:rFonts w:ascii="Calibri" w:hAnsi="Calibri"/>
          <w:sz w:val="22"/>
          <w:szCs w:val="22"/>
        </w:rPr>
        <w:t>topics during 201</w:t>
      </w:r>
      <w:r>
        <w:rPr>
          <w:rFonts w:ascii="Calibri" w:hAnsi="Calibri"/>
          <w:sz w:val="22"/>
          <w:szCs w:val="22"/>
        </w:rPr>
        <w:t>6</w:t>
      </w:r>
      <w:r w:rsidRPr="0009735A">
        <w:rPr>
          <w:rFonts w:ascii="Calibri" w:hAnsi="Calibri"/>
          <w:sz w:val="22"/>
          <w:szCs w:val="22"/>
        </w:rPr>
        <w:t>-201</w:t>
      </w:r>
      <w:r>
        <w:rPr>
          <w:rFonts w:ascii="Calibri" w:hAnsi="Calibri"/>
          <w:sz w:val="22"/>
          <w:szCs w:val="22"/>
        </w:rPr>
        <w:t>7</w:t>
      </w:r>
      <w:r w:rsidRPr="0009735A">
        <w:rPr>
          <w:rFonts w:ascii="Calibri" w:hAnsi="Calibri"/>
          <w:sz w:val="22"/>
          <w:szCs w:val="22"/>
        </w:rPr>
        <w:t>, which were decided during the meeting</w:t>
      </w:r>
      <w:r>
        <w:rPr>
          <w:rFonts w:ascii="Calibri" w:hAnsi="Calibri"/>
          <w:sz w:val="22"/>
          <w:szCs w:val="22"/>
        </w:rPr>
        <w:t>.</w:t>
      </w:r>
      <w:r w:rsidRPr="0009735A">
        <w:rPr>
          <w:rFonts w:ascii="Calibri" w:hAnsi="Calibri"/>
          <w:sz w:val="22"/>
          <w:szCs w:val="22"/>
        </w:rPr>
        <w:t xml:space="preserve"> </w:t>
      </w:r>
    </w:p>
    <w:p w:rsidR="00CD3709" w:rsidRPr="005C22B6" w:rsidRDefault="00CD3709" w:rsidP="005C22B6">
      <w:pPr>
        <w:jc w:val="both"/>
        <w:rPr>
          <w:rFonts w:ascii="Calibri" w:hAnsi="Calibri"/>
          <w:bCs/>
          <w:sz w:val="22"/>
          <w:szCs w:val="22"/>
          <w:u w:val="single"/>
        </w:rPr>
      </w:pPr>
    </w:p>
    <w:p w:rsidR="00CD3709" w:rsidRPr="00A455CE" w:rsidRDefault="00CD3709" w:rsidP="005C22B6">
      <w:pPr>
        <w:jc w:val="both"/>
        <w:rPr>
          <w:rFonts w:ascii="Calibri" w:hAnsi="Calibri"/>
          <w:bCs/>
          <w:sz w:val="22"/>
          <w:szCs w:val="22"/>
        </w:rPr>
      </w:pPr>
      <w:r>
        <w:rPr>
          <w:rFonts w:ascii="Calibri" w:hAnsi="Calibri"/>
          <w:b/>
          <w:bCs/>
          <w:sz w:val="22"/>
          <w:szCs w:val="22"/>
        </w:rPr>
        <w:t xml:space="preserve">Priority </w:t>
      </w:r>
      <w:r w:rsidRPr="00A455CE">
        <w:rPr>
          <w:rFonts w:ascii="Calibri" w:hAnsi="Calibri"/>
          <w:b/>
          <w:bCs/>
          <w:sz w:val="22"/>
          <w:szCs w:val="22"/>
        </w:rPr>
        <w:t>Topics for Working Group 1</w:t>
      </w:r>
      <w:r w:rsidRPr="00A455CE">
        <w:rPr>
          <w:rFonts w:ascii="Calibri" w:hAnsi="Calibri"/>
          <w:bCs/>
          <w:sz w:val="22"/>
          <w:szCs w:val="22"/>
        </w:rPr>
        <w:t>:</w:t>
      </w:r>
    </w:p>
    <w:p w:rsidR="00CD3709" w:rsidRPr="00A455CE" w:rsidRDefault="00CD3709" w:rsidP="005C22B6">
      <w:pPr>
        <w:jc w:val="both"/>
        <w:rPr>
          <w:rFonts w:ascii="Calibri" w:hAnsi="Calibri"/>
          <w:sz w:val="22"/>
          <w:szCs w:val="8"/>
        </w:rPr>
      </w:pPr>
    </w:p>
    <w:p w:rsidR="00CD3709" w:rsidRPr="00A455CE" w:rsidRDefault="00CD3709" w:rsidP="005C22B6">
      <w:pPr>
        <w:numPr>
          <w:ilvl w:val="0"/>
          <w:numId w:val="18"/>
        </w:numPr>
        <w:jc w:val="both"/>
        <w:rPr>
          <w:rFonts w:ascii="Calibri" w:hAnsi="Calibri"/>
          <w:sz w:val="22"/>
        </w:rPr>
      </w:pPr>
      <w:r w:rsidRPr="00A455CE">
        <w:rPr>
          <w:rFonts w:ascii="Calibri" w:hAnsi="Calibri"/>
          <w:color w:val="000000"/>
          <w:sz w:val="22"/>
        </w:rPr>
        <w:t>Labor equality, elimination of employment discrimination and labor inclusion of vulnerable groups</w:t>
      </w:r>
      <w:r w:rsidRPr="00A455CE">
        <w:rPr>
          <w:rFonts w:ascii="Calibri" w:hAnsi="Calibri"/>
          <w:sz w:val="22"/>
        </w:rPr>
        <w:t xml:space="preserve">; </w:t>
      </w:r>
    </w:p>
    <w:p w:rsidR="00CD3709" w:rsidRPr="00A455CE" w:rsidRDefault="00CD3709" w:rsidP="005C22B6">
      <w:pPr>
        <w:numPr>
          <w:ilvl w:val="0"/>
          <w:numId w:val="18"/>
        </w:numPr>
        <w:jc w:val="both"/>
        <w:rPr>
          <w:rFonts w:ascii="Calibri" w:hAnsi="Calibri"/>
          <w:sz w:val="22"/>
        </w:rPr>
      </w:pPr>
      <w:r w:rsidRPr="00A455CE">
        <w:rPr>
          <w:rFonts w:ascii="Calibri" w:hAnsi="Calibri"/>
          <w:color w:val="000000"/>
          <w:sz w:val="22"/>
        </w:rPr>
        <w:t>Promotion of decent work and full and productive employment in line with the 2030 Agenda for Sustainable Development</w:t>
      </w:r>
      <w:r>
        <w:rPr>
          <w:rFonts w:ascii="Calibri" w:hAnsi="Calibri"/>
          <w:color w:val="000000"/>
          <w:sz w:val="22"/>
        </w:rPr>
        <w:t xml:space="preserve"> </w:t>
      </w:r>
      <w:r w:rsidRPr="00A455CE">
        <w:rPr>
          <w:rFonts w:ascii="Calibri" w:hAnsi="Calibri"/>
          <w:color w:val="000000"/>
          <w:sz w:val="22"/>
        </w:rPr>
        <w:t>- Discussion on indicators</w:t>
      </w:r>
      <w:r>
        <w:rPr>
          <w:rFonts w:ascii="Calibri" w:hAnsi="Calibri"/>
          <w:color w:val="000000"/>
          <w:sz w:val="22"/>
        </w:rPr>
        <w:t>;</w:t>
      </w:r>
    </w:p>
    <w:p w:rsidR="00CD3709" w:rsidRPr="00A455CE" w:rsidRDefault="00CD3709" w:rsidP="005C22B6">
      <w:pPr>
        <w:numPr>
          <w:ilvl w:val="0"/>
          <w:numId w:val="18"/>
        </w:numPr>
        <w:jc w:val="both"/>
        <w:rPr>
          <w:rFonts w:ascii="Calibri" w:hAnsi="Calibri"/>
          <w:sz w:val="22"/>
        </w:rPr>
      </w:pPr>
      <w:r w:rsidRPr="00A455CE">
        <w:rPr>
          <w:rFonts w:ascii="Calibri" w:hAnsi="Calibri"/>
          <w:sz w:val="22"/>
        </w:rPr>
        <w:t xml:space="preserve">Transition from the informal to the formal economy; </w:t>
      </w:r>
    </w:p>
    <w:p w:rsidR="00CD3709" w:rsidRPr="00A455CE" w:rsidRDefault="00CD3709" w:rsidP="005C22B6">
      <w:pPr>
        <w:numPr>
          <w:ilvl w:val="0"/>
          <w:numId w:val="18"/>
        </w:numPr>
        <w:jc w:val="both"/>
        <w:rPr>
          <w:rFonts w:ascii="Calibri" w:hAnsi="Calibri"/>
          <w:sz w:val="22"/>
        </w:rPr>
      </w:pPr>
      <w:r w:rsidRPr="00A455CE">
        <w:rPr>
          <w:rFonts w:ascii="Calibri" w:hAnsi="Calibri"/>
          <w:sz w:val="22"/>
        </w:rPr>
        <w:t>Reflection</w:t>
      </w:r>
      <w:r>
        <w:rPr>
          <w:rFonts w:ascii="Calibri" w:hAnsi="Calibri"/>
          <w:sz w:val="22"/>
        </w:rPr>
        <w:t>s</w:t>
      </w:r>
      <w:r w:rsidRPr="00A455CE">
        <w:rPr>
          <w:rFonts w:ascii="Calibri" w:hAnsi="Calibri"/>
          <w:sz w:val="22"/>
        </w:rPr>
        <w:t xml:space="preserve"> on the new world of work</w:t>
      </w:r>
      <w:r>
        <w:rPr>
          <w:rFonts w:ascii="Calibri" w:hAnsi="Calibri"/>
          <w:sz w:val="22"/>
        </w:rPr>
        <w:t xml:space="preserve"> </w:t>
      </w:r>
      <w:r w:rsidRPr="00A455CE">
        <w:rPr>
          <w:rFonts w:ascii="Calibri" w:hAnsi="Calibri"/>
          <w:sz w:val="22"/>
        </w:rPr>
        <w:t>/</w:t>
      </w:r>
      <w:r>
        <w:rPr>
          <w:rFonts w:ascii="Calibri" w:hAnsi="Calibri"/>
          <w:sz w:val="22"/>
        </w:rPr>
        <w:t xml:space="preserve"> </w:t>
      </w:r>
      <w:r w:rsidRPr="00A455CE">
        <w:rPr>
          <w:rFonts w:ascii="Calibri" w:hAnsi="Calibri"/>
          <w:sz w:val="22"/>
        </w:rPr>
        <w:t>4th industrial revolution</w:t>
      </w:r>
    </w:p>
    <w:p w:rsidR="00CD3709" w:rsidRPr="00A455CE" w:rsidRDefault="00CD3709" w:rsidP="005C22B6">
      <w:pPr>
        <w:ind w:left="720"/>
        <w:jc w:val="both"/>
        <w:rPr>
          <w:rFonts w:ascii="Calibri" w:hAnsi="Calibri"/>
          <w:sz w:val="22"/>
          <w:szCs w:val="8"/>
        </w:rPr>
      </w:pPr>
    </w:p>
    <w:p w:rsidR="00CD3709" w:rsidRPr="00A455CE" w:rsidRDefault="00CD3709" w:rsidP="005C22B6">
      <w:pPr>
        <w:jc w:val="both"/>
        <w:rPr>
          <w:rFonts w:ascii="Calibri" w:hAnsi="Calibri"/>
          <w:sz w:val="22"/>
        </w:rPr>
      </w:pPr>
      <w:r w:rsidRPr="00A455CE">
        <w:rPr>
          <w:rFonts w:ascii="Calibri" w:hAnsi="Calibri"/>
          <w:sz w:val="22"/>
        </w:rPr>
        <w:t xml:space="preserve">Note: Topics related to youth employment, integration of education and labor policies, professional training and certification of labor skills will be addressed in a RIAL workshop. </w:t>
      </w:r>
    </w:p>
    <w:p w:rsidR="00CD3709" w:rsidRDefault="00CD3709" w:rsidP="005C22B6">
      <w:pPr>
        <w:jc w:val="both"/>
        <w:rPr>
          <w:rFonts w:ascii="Calibri" w:hAnsi="Calibri"/>
          <w:bCs/>
          <w:sz w:val="22"/>
          <w:szCs w:val="22"/>
        </w:rPr>
      </w:pPr>
    </w:p>
    <w:p w:rsidR="00CD3709" w:rsidRDefault="00CD3709" w:rsidP="005C22B6">
      <w:pPr>
        <w:jc w:val="both"/>
        <w:rPr>
          <w:rFonts w:ascii="Calibri" w:hAnsi="Calibri"/>
          <w:bCs/>
          <w:sz w:val="22"/>
          <w:szCs w:val="22"/>
        </w:rPr>
      </w:pPr>
      <w:r>
        <w:rPr>
          <w:rFonts w:ascii="Calibri" w:hAnsi="Calibri"/>
          <w:bCs/>
          <w:sz w:val="22"/>
          <w:szCs w:val="22"/>
        </w:rPr>
        <w:t>WG1 will also be tasked with analyzing the possibility of requesting national reports on compliance with IACML commitments, and define its contents and requirements.</w:t>
      </w:r>
    </w:p>
    <w:p w:rsidR="00CD3709" w:rsidRPr="00A455CE" w:rsidRDefault="00CD3709" w:rsidP="005C22B6">
      <w:pPr>
        <w:jc w:val="both"/>
        <w:rPr>
          <w:rFonts w:ascii="Calibri" w:hAnsi="Calibri"/>
          <w:bCs/>
          <w:sz w:val="22"/>
          <w:szCs w:val="22"/>
        </w:rPr>
      </w:pPr>
    </w:p>
    <w:p w:rsidR="00CD3709" w:rsidRPr="005C22B6" w:rsidRDefault="00CD3709" w:rsidP="005C22B6">
      <w:pPr>
        <w:jc w:val="both"/>
        <w:rPr>
          <w:rFonts w:ascii="Calibri" w:hAnsi="Calibri"/>
          <w:b/>
          <w:bCs/>
          <w:sz w:val="22"/>
          <w:szCs w:val="22"/>
        </w:rPr>
      </w:pPr>
      <w:r w:rsidRPr="005C22B6">
        <w:rPr>
          <w:rFonts w:ascii="Calibri" w:hAnsi="Calibri"/>
          <w:b/>
          <w:bCs/>
          <w:sz w:val="22"/>
          <w:szCs w:val="22"/>
        </w:rPr>
        <w:t>Priority Topics for Working Group 2:</w:t>
      </w:r>
    </w:p>
    <w:p w:rsidR="00CD3709" w:rsidRPr="005C22B6" w:rsidRDefault="00CD3709" w:rsidP="005C22B6">
      <w:pPr>
        <w:jc w:val="both"/>
        <w:rPr>
          <w:rFonts w:ascii="Calibri" w:hAnsi="Calibri"/>
          <w:bCs/>
          <w:sz w:val="22"/>
          <w:szCs w:val="8"/>
        </w:rPr>
      </w:pPr>
    </w:p>
    <w:p w:rsidR="00CD3709" w:rsidRPr="00A455CE" w:rsidRDefault="00CD3709" w:rsidP="005C22B6">
      <w:pPr>
        <w:numPr>
          <w:ilvl w:val="0"/>
          <w:numId w:val="19"/>
        </w:numPr>
        <w:jc w:val="both"/>
        <w:rPr>
          <w:rFonts w:ascii="Calibri" w:hAnsi="Calibri"/>
          <w:sz w:val="22"/>
        </w:rPr>
      </w:pPr>
      <w:r w:rsidRPr="00A455CE">
        <w:rPr>
          <w:rFonts w:ascii="Calibri" w:hAnsi="Calibri"/>
          <w:sz w:val="22"/>
        </w:rPr>
        <w:t xml:space="preserve">Strengthen labor legislation and regulation compliance and effective exercise of fundamental principles and rights at work; </w:t>
      </w:r>
    </w:p>
    <w:p w:rsidR="00CD3709" w:rsidRPr="00A455CE" w:rsidRDefault="00CD3709" w:rsidP="005C22B6">
      <w:pPr>
        <w:numPr>
          <w:ilvl w:val="0"/>
          <w:numId w:val="19"/>
        </w:numPr>
        <w:jc w:val="both"/>
        <w:rPr>
          <w:rFonts w:ascii="Calibri" w:hAnsi="Calibri"/>
          <w:sz w:val="22"/>
          <w:lang w:val="es-ES"/>
        </w:rPr>
      </w:pPr>
      <w:r w:rsidRPr="00A455CE">
        <w:rPr>
          <w:rFonts w:ascii="Calibri" w:hAnsi="Calibri"/>
          <w:sz w:val="22"/>
          <w:lang w:val="es-ES"/>
        </w:rPr>
        <w:t xml:space="preserve">Social protection; </w:t>
      </w:r>
    </w:p>
    <w:p w:rsidR="00CD3709" w:rsidRPr="00A455CE" w:rsidRDefault="00CD3709" w:rsidP="005C22B6">
      <w:pPr>
        <w:numPr>
          <w:ilvl w:val="0"/>
          <w:numId w:val="19"/>
        </w:numPr>
        <w:jc w:val="both"/>
        <w:rPr>
          <w:rFonts w:ascii="Calibri" w:hAnsi="Calibri"/>
          <w:sz w:val="22"/>
          <w:lang w:val="es-ES"/>
        </w:rPr>
      </w:pPr>
      <w:r w:rsidRPr="00A455CE">
        <w:rPr>
          <w:rFonts w:ascii="Calibri" w:hAnsi="Calibri"/>
          <w:sz w:val="22"/>
          <w:lang w:val="es-ES"/>
        </w:rPr>
        <w:t xml:space="preserve">Occupational Health and Safety; </w:t>
      </w:r>
    </w:p>
    <w:p w:rsidR="00CD3709" w:rsidRPr="00A72F57" w:rsidRDefault="00CD3709" w:rsidP="005C22B6">
      <w:pPr>
        <w:numPr>
          <w:ilvl w:val="0"/>
          <w:numId w:val="19"/>
        </w:numPr>
        <w:jc w:val="both"/>
        <w:rPr>
          <w:rFonts w:ascii="Calibri" w:hAnsi="Calibri"/>
          <w:bCs/>
          <w:sz w:val="22"/>
          <w:szCs w:val="22"/>
        </w:rPr>
      </w:pPr>
      <w:r w:rsidRPr="00A455CE">
        <w:rPr>
          <w:rFonts w:ascii="Calibri" w:hAnsi="Calibri"/>
          <w:sz w:val="22"/>
        </w:rPr>
        <w:t>Strengthening the Inter-American Network for Labor Administration (RIAL)</w:t>
      </w:r>
      <w:r>
        <w:rPr>
          <w:rFonts w:ascii="Calibri" w:hAnsi="Calibri"/>
          <w:sz w:val="22"/>
        </w:rPr>
        <w:t xml:space="preserve"> – It was decided that 1 day during WG2 meetings will be devoted to talking about the operation of the RIAL, its tools, lessons, follow-up mechanisms, etc. </w:t>
      </w:r>
    </w:p>
    <w:p w:rsidR="00CD3709" w:rsidRPr="00A455CE" w:rsidRDefault="00CD3709" w:rsidP="005C22B6">
      <w:pPr>
        <w:ind w:left="360"/>
        <w:jc w:val="both"/>
        <w:rPr>
          <w:rFonts w:ascii="Calibri" w:hAnsi="Calibri"/>
          <w:bCs/>
          <w:sz w:val="22"/>
          <w:szCs w:val="22"/>
        </w:rPr>
      </w:pPr>
    </w:p>
    <w:p w:rsidR="00CD3709" w:rsidRPr="00A455CE" w:rsidRDefault="00CD3709" w:rsidP="005C22B6">
      <w:pPr>
        <w:jc w:val="both"/>
        <w:rPr>
          <w:rFonts w:ascii="Calibri" w:hAnsi="Calibri"/>
          <w:bCs/>
          <w:sz w:val="22"/>
          <w:szCs w:val="22"/>
        </w:rPr>
      </w:pPr>
      <w:r w:rsidRPr="00A455CE">
        <w:rPr>
          <w:rFonts w:ascii="Calibri" w:hAnsi="Calibri"/>
          <w:bCs/>
          <w:sz w:val="22"/>
          <w:szCs w:val="22"/>
        </w:rPr>
        <w:t xml:space="preserve">Note: The issues of dissemination of the rights of migrant workers and safe and orderly labor mobility will be addressed in a RIAL Workshop. </w:t>
      </w:r>
    </w:p>
    <w:p w:rsidR="00CD3709" w:rsidRDefault="00CD3709" w:rsidP="00A91FA6">
      <w:pPr>
        <w:spacing w:after="120"/>
        <w:jc w:val="both"/>
        <w:rPr>
          <w:rFonts w:ascii="Calibri" w:hAnsi="Calibri"/>
          <w:sz w:val="22"/>
          <w:szCs w:val="22"/>
          <w:highlight w:val="cyan"/>
        </w:rPr>
      </w:pPr>
    </w:p>
    <w:p w:rsidR="00CD3709" w:rsidRPr="008824D1" w:rsidRDefault="00CD3709" w:rsidP="006A41B2">
      <w:pPr>
        <w:numPr>
          <w:ilvl w:val="0"/>
          <w:numId w:val="2"/>
        </w:numPr>
        <w:tabs>
          <w:tab w:val="num" w:pos="360"/>
        </w:tabs>
        <w:ind w:hanging="1080"/>
        <w:rPr>
          <w:rFonts w:ascii="Calibri" w:hAnsi="Calibri"/>
          <w:b/>
          <w:bCs/>
          <w:caps/>
          <w:sz w:val="22"/>
          <w:szCs w:val="22"/>
        </w:rPr>
      </w:pPr>
      <w:r w:rsidRPr="008824D1">
        <w:rPr>
          <w:rFonts w:ascii="Calibri" w:hAnsi="Calibri"/>
          <w:b/>
          <w:bCs/>
          <w:caps/>
          <w:sz w:val="22"/>
          <w:szCs w:val="22"/>
        </w:rPr>
        <w:t xml:space="preserve">RESOURCES OF THE INTER-AMERICAN NETWORK FOR LABOR ADMINISTRATION (rial) </w:t>
      </w:r>
    </w:p>
    <w:p w:rsidR="00CD3709" w:rsidRPr="008824D1" w:rsidRDefault="00CD3709" w:rsidP="00C72A34">
      <w:pPr>
        <w:jc w:val="both"/>
        <w:rPr>
          <w:rFonts w:ascii="Calibri" w:hAnsi="Calibri" w:cs="Calibri"/>
          <w:bCs/>
          <w:sz w:val="22"/>
          <w:szCs w:val="22"/>
        </w:rPr>
      </w:pPr>
    </w:p>
    <w:p w:rsidR="00CD3709" w:rsidRPr="008824D1" w:rsidRDefault="00CD3709" w:rsidP="00C72A34">
      <w:pPr>
        <w:jc w:val="both"/>
        <w:rPr>
          <w:rFonts w:ascii="Calibri" w:hAnsi="Calibri" w:cs="Calibri"/>
          <w:bCs/>
          <w:sz w:val="22"/>
          <w:szCs w:val="22"/>
        </w:rPr>
      </w:pPr>
      <w:r w:rsidRPr="008824D1">
        <w:rPr>
          <w:rFonts w:ascii="Calibri" w:hAnsi="Calibri" w:cs="Calibri"/>
          <w:bCs/>
          <w:sz w:val="22"/>
          <w:szCs w:val="22"/>
        </w:rPr>
        <w:t>The Technical Secretariat presented a report on the state of the Voluntary Contribution Fund which, to date, has received contributions of US</w:t>
      </w:r>
      <w:r w:rsidRPr="008824D1">
        <w:rPr>
          <w:rFonts w:ascii="Trebuchet MS" w:hAnsi="Trebuchet MS" w:cs="Arial"/>
          <w:sz w:val="20"/>
          <w:szCs w:val="20"/>
        </w:rPr>
        <w:t xml:space="preserve">$497,734 </w:t>
      </w:r>
      <w:r w:rsidRPr="008824D1">
        <w:rPr>
          <w:rFonts w:ascii="Calibri" w:hAnsi="Calibri" w:cs="Calibri"/>
          <w:bCs/>
          <w:sz w:val="22"/>
          <w:szCs w:val="22"/>
        </w:rPr>
        <w:t xml:space="preserve">from 18 countries including the </w:t>
      </w:r>
      <w:r w:rsidRPr="008824D1">
        <w:rPr>
          <w:rFonts w:ascii="Trebuchet MS" w:hAnsi="Trebuchet MS" w:cs="Arial"/>
          <w:sz w:val="20"/>
          <w:szCs w:val="20"/>
        </w:rPr>
        <w:t>$</w:t>
      </w:r>
      <w:r w:rsidRPr="008824D1">
        <w:rPr>
          <w:rFonts w:ascii="Calibri" w:hAnsi="Calibri" w:cs="Calibri"/>
          <w:bCs/>
          <w:sz w:val="22"/>
          <w:szCs w:val="22"/>
        </w:rPr>
        <w:t xml:space="preserve">200,000 contribution from Canada. Chart No. 1 shows the total contributions as of February 2016. </w:t>
      </w:r>
    </w:p>
    <w:p w:rsidR="00CD3709" w:rsidRDefault="00CD3709" w:rsidP="00863BBC">
      <w:pPr>
        <w:spacing w:line="250" w:lineRule="exact"/>
        <w:rPr>
          <w:rFonts w:ascii="Calibri" w:hAnsi="Calibri" w:cs="Calibri"/>
          <w:bCs/>
          <w:sz w:val="22"/>
          <w:szCs w:val="22"/>
        </w:rPr>
      </w:pPr>
    </w:p>
    <w:p w:rsidR="00CD3709" w:rsidRPr="00423FB3" w:rsidRDefault="00CD3709" w:rsidP="00EF5D77">
      <w:pPr>
        <w:spacing w:line="250" w:lineRule="exact"/>
        <w:jc w:val="center"/>
        <w:rPr>
          <w:rFonts w:ascii="Calibri" w:hAnsi="Calibri" w:cs="Arial"/>
          <w:b/>
          <w:sz w:val="22"/>
          <w:szCs w:val="22"/>
        </w:rPr>
      </w:pPr>
      <w:r w:rsidRPr="00423FB3">
        <w:rPr>
          <w:rFonts w:ascii="Calibri" w:hAnsi="Calibri" w:cs="Arial"/>
          <w:b/>
          <w:sz w:val="22"/>
          <w:szCs w:val="22"/>
        </w:rPr>
        <w:t>Chart No. 1</w:t>
      </w:r>
    </w:p>
    <w:p w:rsidR="00CD3709" w:rsidRPr="00423FB3" w:rsidRDefault="00CD3709" w:rsidP="00EF5D77">
      <w:pPr>
        <w:spacing w:line="250" w:lineRule="exact"/>
        <w:jc w:val="center"/>
        <w:rPr>
          <w:rFonts w:ascii="Calibri" w:hAnsi="Calibri" w:cs="Arial"/>
          <w:b/>
          <w:sz w:val="22"/>
          <w:szCs w:val="22"/>
        </w:rPr>
      </w:pPr>
      <w:r w:rsidRPr="00423FB3">
        <w:rPr>
          <w:rFonts w:ascii="Calibri" w:hAnsi="Calibri" w:cs="Arial"/>
          <w:b/>
          <w:sz w:val="22"/>
          <w:szCs w:val="22"/>
        </w:rPr>
        <w:t xml:space="preserve">YEARLY CONTRIBUTIONS RECEIVED IN THE VOLUNTARY CONTRIBUTION FUND </w:t>
      </w:r>
    </w:p>
    <w:p w:rsidR="00CD3709" w:rsidRPr="008921B6" w:rsidRDefault="00CD3709" w:rsidP="00EF5D77">
      <w:pPr>
        <w:jc w:val="both"/>
        <w:rPr>
          <w:rFonts w:ascii="Calibri" w:hAnsi="Calibri" w:cs="Calibri"/>
          <w:bCs/>
          <w:sz w:val="22"/>
          <w:szCs w:val="22"/>
          <w:highlight w:val="cyan"/>
        </w:rPr>
      </w:pPr>
    </w:p>
    <w:tbl>
      <w:tblPr>
        <w:tblW w:w="5061" w:type="dxa"/>
        <w:tblInd w:w="2448" w:type="dxa"/>
        <w:tblLook w:val="0000"/>
      </w:tblPr>
      <w:tblGrid>
        <w:gridCol w:w="2999"/>
        <w:gridCol w:w="2062"/>
      </w:tblGrid>
      <w:tr w:rsidR="00CD3709" w:rsidRPr="00E21794" w:rsidTr="006F07AF">
        <w:trPr>
          <w:trHeight w:val="339"/>
        </w:trPr>
        <w:tc>
          <w:tcPr>
            <w:tcW w:w="2999" w:type="dxa"/>
            <w:tcBorders>
              <w:top w:val="single" w:sz="8" w:space="0" w:color="auto"/>
              <w:left w:val="single" w:sz="8" w:space="0" w:color="auto"/>
              <w:bottom w:val="single" w:sz="8" w:space="0" w:color="auto"/>
              <w:right w:val="single" w:sz="8" w:space="0" w:color="auto"/>
            </w:tcBorders>
            <w:noWrap/>
            <w:vAlign w:val="center"/>
          </w:tcPr>
          <w:p w:rsidR="00CD3709" w:rsidRPr="00E21794" w:rsidRDefault="00CD3709" w:rsidP="006F07AF">
            <w:pPr>
              <w:jc w:val="center"/>
              <w:rPr>
                <w:rFonts w:ascii="Trebuchet MS" w:hAnsi="Trebuchet MS" w:cs="Arial"/>
                <w:b/>
                <w:bCs/>
                <w:sz w:val="18"/>
                <w:szCs w:val="18"/>
                <w:lang w:val="es-CO" w:eastAsia="ja-JP"/>
              </w:rPr>
            </w:pPr>
            <w:r>
              <w:rPr>
                <w:rFonts w:ascii="Trebuchet MS" w:hAnsi="Trebuchet MS" w:cs="Arial"/>
                <w:b/>
                <w:bCs/>
                <w:sz w:val="18"/>
                <w:szCs w:val="18"/>
                <w:lang w:val="es-CO" w:eastAsia="ja-JP"/>
              </w:rPr>
              <w:t>Year</w:t>
            </w:r>
          </w:p>
        </w:tc>
        <w:tc>
          <w:tcPr>
            <w:tcW w:w="2062" w:type="dxa"/>
            <w:tcBorders>
              <w:top w:val="single" w:sz="8" w:space="0" w:color="auto"/>
              <w:left w:val="nil"/>
              <w:bottom w:val="single" w:sz="8" w:space="0" w:color="auto"/>
              <w:right w:val="single" w:sz="8" w:space="0" w:color="auto"/>
            </w:tcBorders>
            <w:noWrap/>
            <w:vAlign w:val="center"/>
          </w:tcPr>
          <w:p w:rsidR="00CD3709" w:rsidRPr="00E21794" w:rsidRDefault="00CD3709" w:rsidP="006F07AF">
            <w:pPr>
              <w:jc w:val="center"/>
              <w:rPr>
                <w:rFonts w:ascii="Trebuchet MS" w:hAnsi="Trebuchet MS" w:cs="Arial"/>
                <w:b/>
                <w:bCs/>
                <w:sz w:val="18"/>
                <w:szCs w:val="18"/>
                <w:lang w:val="es-CO" w:eastAsia="ja-JP"/>
              </w:rPr>
            </w:pPr>
            <w:r>
              <w:rPr>
                <w:rFonts w:ascii="Trebuchet MS" w:hAnsi="Trebuchet MS" w:cs="Arial"/>
                <w:b/>
                <w:bCs/>
                <w:sz w:val="18"/>
                <w:szCs w:val="18"/>
                <w:lang w:val="es-CO" w:eastAsia="ja-JP"/>
              </w:rPr>
              <w:t>Amount</w:t>
            </w:r>
          </w:p>
        </w:tc>
      </w:tr>
      <w:tr w:rsidR="00CD3709" w:rsidRPr="00E21794" w:rsidTr="006F07AF">
        <w:trPr>
          <w:trHeight w:val="319"/>
        </w:trPr>
        <w:tc>
          <w:tcPr>
            <w:tcW w:w="2999" w:type="dxa"/>
            <w:tcBorders>
              <w:top w:val="nil"/>
              <w:left w:val="single" w:sz="8" w:space="0" w:color="auto"/>
              <w:bottom w:val="nil"/>
              <w:right w:val="single" w:sz="8" w:space="0" w:color="auto"/>
            </w:tcBorders>
            <w:noWrap/>
            <w:vAlign w:val="bottom"/>
          </w:tcPr>
          <w:p w:rsidR="00CD3709" w:rsidRPr="00E21794" w:rsidRDefault="00CD3709" w:rsidP="006F07AF">
            <w:pPr>
              <w:rPr>
                <w:rFonts w:ascii="Trebuchet MS" w:hAnsi="Trebuchet MS" w:cs="Arial"/>
                <w:sz w:val="18"/>
                <w:szCs w:val="18"/>
                <w:lang w:val="es-CO" w:eastAsia="ja-JP"/>
              </w:rPr>
            </w:pPr>
            <w:r w:rsidRPr="00E21794">
              <w:rPr>
                <w:rFonts w:ascii="Trebuchet MS" w:hAnsi="Trebuchet MS" w:cs="Arial"/>
                <w:sz w:val="18"/>
                <w:szCs w:val="18"/>
                <w:lang w:val="es-CO" w:eastAsia="ja-JP"/>
              </w:rPr>
              <w:t>2011</w:t>
            </w:r>
          </w:p>
        </w:tc>
        <w:tc>
          <w:tcPr>
            <w:tcW w:w="2062" w:type="dxa"/>
            <w:tcBorders>
              <w:top w:val="nil"/>
              <w:left w:val="nil"/>
              <w:bottom w:val="nil"/>
              <w:right w:val="single" w:sz="8" w:space="0" w:color="auto"/>
            </w:tcBorders>
            <w:noWrap/>
            <w:vAlign w:val="bottom"/>
          </w:tcPr>
          <w:p w:rsidR="00CD3709" w:rsidRPr="00E21794" w:rsidRDefault="00CD3709" w:rsidP="006F07AF">
            <w:pPr>
              <w:jc w:val="center"/>
              <w:rPr>
                <w:rFonts w:ascii="Trebuchet MS" w:hAnsi="Trebuchet MS" w:cs="Arial"/>
                <w:sz w:val="18"/>
                <w:szCs w:val="18"/>
                <w:lang w:val="es-CO" w:eastAsia="ja-JP"/>
              </w:rPr>
            </w:pPr>
            <w:r>
              <w:rPr>
                <w:rFonts w:ascii="Trebuchet MS" w:hAnsi="Trebuchet MS" w:cs="Arial"/>
                <w:sz w:val="18"/>
                <w:szCs w:val="18"/>
                <w:lang w:val="es-CO" w:eastAsia="ja-JP"/>
              </w:rPr>
              <w:t>74,</w:t>
            </w:r>
            <w:r w:rsidRPr="00E21794">
              <w:rPr>
                <w:rFonts w:ascii="Trebuchet MS" w:hAnsi="Trebuchet MS" w:cs="Arial"/>
                <w:sz w:val="18"/>
                <w:szCs w:val="18"/>
                <w:lang w:val="es-CO" w:eastAsia="ja-JP"/>
              </w:rPr>
              <w:t>681</w:t>
            </w:r>
          </w:p>
        </w:tc>
      </w:tr>
      <w:tr w:rsidR="00CD3709" w:rsidRPr="00E21794" w:rsidTr="006F07AF">
        <w:trPr>
          <w:trHeight w:val="312"/>
        </w:trPr>
        <w:tc>
          <w:tcPr>
            <w:tcW w:w="2999" w:type="dxa"/>
            <w:tcBorders>
              <w:top w:val="nil"/>
              <w:left w:val="single" w:sz="8" w:space="0" w:color="auto"/>
              <w:bottom w:val="nil"/>
              <w:right w:val="single" w:sz="8" w:space="0" w:color="auto"/>
            </w:tcBorders>
            <w:noWrap/>
            <w:vAlign w:val="bottom"/>
          </w:tcPr>
          <w:p w:rsidR="00CD3709" w:rsidRPr="00E21794" w:rsidRDefault="00CD3709" w:rsidP="006F07AF">
            <w:pPr>
              <w:rPr>
                <w:rFonts w:ascii="Trebuchet MS" w:hAnsi="Trebuchet MS" w:cs="Arial"/>
                <w:sz w:val="18"/>
                <w:szCs w:val="18"/>
                <w:lang w:val="es-CO" w:eastAsia="ja-JP"/>
              </w:rPr>
            </w:pPr>
            <w:r w:rsidRPr="00E21794">
              <w:rPr>
                <w:rFonts w:ascii="Trebuchet MS" w:hAnsi="Trebuchet MS" w:cs="Arial"/>
                <w:sz w:val="18"/>
                <w:szCs w:val="18"/>
                <w:lang w:val="es-CO" w:eastAsia="ja-JP"/>
              </w:rPr>
              <w:t>2012</w:t>
            </w:r>
          </w:p>
        </w:tc>
        <w:tc>
          <w:tcPr>
            <w:tcW w:w="2062" w:type="dxa"/>
            <w:tcBorders>
              <w:top w:val="nil"/>
              <w:left w:val="nil"/>
              <w:bottom w:val="nil"/>
              <w:right w:val="single" w:sz="8" w:space="0" w:color="auto"/>
            </w:tcBorders>
            <w:noWrap/>
            <w:vAlign w:val="bottom"/>
          </w:tcPr>
          <w:p w:rsidR="00CD3709" w:rsidRPr="00E21794" w:rsidRDefault="00CD3709" w:rsidP="006F07AF">
            <w:pPr>
              <w:jc w:val="center"/>
              <w:rPr>
                <w:rFonts w:ascii="Trebuchet MS" w:hAnsi="Trebuchet MS" w:cs="Arial"/>
                <w:sz w:val="18"/>
                <w:szCs w:val="18"/>
                <w:lang w:eastAsia="ja-JP"/>
              </w:rPr>
            </w:pPr>
            <w:r>
              <w:rPr>
                <w:rFonts w:ascii="Trebuchet MS" w:hAnsi="Trebuchet MS" w:cs="Arial"/>
                <w:sz w:val="18"/>
                <w:szCs w:val="18"/>
                <w:lang w:eastAsia="ja-JP"/>
              </w:rPr>
              <w:t>34,</w:t>
            </w:r>
            <w:r w:rsidRPr="00E21794">
              <w:rPr>
                <w:rFonts w:ascii="Trebuchet MS" w:hAnsi="Trebuchet MS" w:cs="Arial"/>
                <w:sz w:val="18"/>
                <w:szCs w:val="18"/>
                <w:lang w:eastAsia="ja-JP"/>
              </w:rPr>
              <w:t>940</w:t>
            </w:r>
          </w:p>
        </w:tc>
      </w:tr>
      <w:tr w:rsidR="00CD3709" w:rsidRPr="00E21794" w:rsidTr="006F07AF">
        <w:trPr>
          <w:trHeight w:val="292"/>
        </w:trPr>
        <w:tc>
          <w:tcPr>
            <w:tcW w:w="2999" w:type="dxa"/>
            <w:tcBorders>
              <w:top w:val="nil"/>
              <w:left w:val="single" w:sz="8" w:space="0" w:color="auto"/>
              <w:bottom w:val="nil"/>
              <w:right w:val="single" w:sz="8" w:space="0" w:color="auto"/>
            </w:tcBorders>
            <w:noWrap/>
            <w:vAlign w:val="bottom"/>
          </w:tcPr>
          <w:p w:rsidR="00CD3709" w:rsidRPr="00E21794" w:rsidRDefault="00CD3709" w:rsidP="006F07AF">
            <w:pPr>
              <w:rPr>
                <w:rFonts w:ascii="Trebuchet MS" w:hAnsi="Trebuchet MS" w:cs="Arial"/>
                <w:sz w:val="18"/>
                <w:szCs w:val="18"/>
                <w:lang w:eastAsia="ja-JP"/>
              </w:rPr>
            </w:pPr>
            <w:r w:rsidRPr="00E21794">
              <w:rPr>
                <w:rFonts w:ascii="Trebuchet MS" w:hAnsi="Trebuchet MS" w:cs="Arial"/>
                <w:sz w:val="18"/>
                <w:szCs w:val="18"/>
                <w:lang w:eastAsia="ja-JP"/>
              </w:rPr>
              <w:t>2013</w:t>
            </w:r>
          </w:p>
        </w:tc>
        <w:tc>
          <w:tcPr>
            <w:tcW w:w="2062" w:type="dxa"/>
            <w:tcBorders>
              <w:top w:val="nil"/>
              <w:left w:val="nil"/>
              <w:bottom w:val="nil"/>
              <w:right w:val="single" w:sz="8" w:space="0" w:color="auto"/>
            </w:tcBorders>
            <w:noWrap/>
            <w:vAlign w:val="bottom"/>
          </w:tcPr>
          <w:p w:rsidR="00CD3709" w:rsidRPr="00E21794" w:rsidRDefault="00CD3709" w:rsidP="006F07AF">
            <w:pPr>
              <w:jc w:val="center"/>
              <w:rPr>
                <w:rFonts w:ascii="Trebuchet MS" w:hAnsi="Trebuchet MS" w:cs="Arial"/>
                <w:sz w:val="18"/>
                <w:szCs w:val="18"/>
                <w:lang w:eastAsia="ja-JP"/>
              </w:rPr>
            </w:pPr>
            <w:r>
              <w:rPr>
                <w:rFonts w:ascii="Trebuchet MS" w:hAnsi="Trebuchet MS" w:cs="Arial"/>
                <w:sz w:val="18"/>
                <w:szCs w:val="18"/>
                <w:lang w:eastAsia="ja-JP"/>
              </w:rPr>
              <w:t>95,</w:t>
            </w:r>
            <w:r w:rsidRPr="00E21794">
              <w:rPr>
                <w:rFonts w:ascii="Trebuchet MS" w:hAnsi="Trebuchet MS" w:cs="Arial"/>
                <w:sz w:val="18"/>
                <w:szCs w:val="18"/>
                <w:lang w:eastAsia="ja-JP"/>
              </w:rPr>
              <w:t>555</w:t>
            </w:r>
          </w:p>
        </w:tc>
      </w:tr>
      <w:tr w:rsidR="00CD3709" w:rsidRPr="00E21794" w:rsidTr="006F07AF">
        <w:trPr>
          <w:trHeight w:val="292"/>
        </w:trPr>
        <w:tc>
          <w:tcPr>
            <w:tcW w:w="2999" w:type="dxa"/>
            <w:tcBorders>
              <w:top w:val="nil"/>
              <w:left w:val="single" w:sz="8" w:space="0" w:color="auto"/>
              <w:bottom w:val="nil"/>
              <w:right w:val="nil"/>
            </w:tcBorders>
            <w:noWrap/>
            <w:vAlign w:val="bottom"/>
          </w:tcPr>
          <w:p w:rsidR="00CD3709" w:rsidRPr="00E21794" w:rsidRDefault="00CD3709" w:rsidP="006F07AF">
            <w:pPr>
              <w:rPr>
                <w:rFonts w:ascii="Trebuchet MS" w:hAnsi="Trebuchet MS" w:cs="Arial"/>
                <w:sz w:val="18"/>
                <w:szCs w:val="18"/>
                <w:lang w:eastAsia="ja-JP"/>
              </w:rPr>
            </w:pPr>
            <w:r w:rsidRPr="00E21794">
              <w:rPr>
                <w:rFonts w:ascii="Trebuchet MS" w:hAnsi="Trebuchet MS" w:cs="Arial"/>
                <w:sz w:val="18"/>
                <w:szCs w:val="18"/>
                <w:lang w:eastAsia="ja-JP"/>
              </w:rPr>
              <w:t>2014</w:t>
            </w:r>
          </w:p>
        </w:tc>
        <w:tc>
          <w:tcPr>
            <w:tcW w:w="2062" w:type="dxa"/>
            <w:tcBorders>
              <w:top w:val="nil"/>
              <w:left w:val="single" w:sz="8" w:space="0" w:color="auto"/>
              <w:bottom w:val="nil"/>
              <w:right w:val="single" w:sz="8" w:space="0" w:color="auto"/>
            </w:tcBorders>
            <w:noWrap/>
            <w:vAlign w:val="bottom"/>
          </w:tcPr>
          <w:p w:rsidR="00CD3709" w:rsidRPr="00E21794" w:rsidRDefault="00CD3709" w:rsidP="006F07AF">
            <w:pPr>
              <w:jc w:val="center"/>
              <w:rPr>
                <w:rFonts w:ascii="Trebuchet MS" w:hAnsi="Trebuchet MS" w:cs="Arial"/>
                <w:sz w:val="18"/>
                <w:szCs w:val="18"/>
                <w:lang w:eastAsia="ja-JP"/>
              </w:rPr>
            </w:pPr>
            <w:r>
              <w:rPr>
                <w:rFonts w:ascii="Trebuchet MS" w:hAnsi="Trebuchet MS" w:cs="Arial"/>
                <w:sz w:val="18"/>
                <w:szCs w:val="18"/>
                <w:lang w:eastAsia="ja-JP"/>
              </w:rPr>
              <w:t>34,</w:t>
            </w:r>
            <w:r w:rsidRPr="00E21794">
              <w:rPr>
                <w:rFonts w:ascii="Trebuchet MS" w:hAnsi="Trebuchet MS" w:cs="Arial"/>
                <w:sz w:val="18"/>
                <w:szCs w:val="18"/>
                <w:lang w:eastAsia="ja-JP"/>
              </w:rPr>
              <w:t>970</w:t>
            </w:r>
          </w:p>
        </w:tc>
      </w:tr>
      <w:tr w:rsidR="00CD3709" w:rsidRPr="00E21794" w:rsidTr="006F07AF">
        <w:trPr>
          <w:trHeight w:val="342"/>
        </w:trPr>
        <w:tc>
          <w:tcPr>
            <w:tcW w:w="2999" w:type="dxa"/>
            <w:tcBorders>
              <w:top w:val="nil"/>
              <w:left w:val="single" w:sz="8" w:space="0" w:color="auto"/>
              <w:bottom w:val="single" w:sz="8" w:space="0" w:color="auto"/>
              <w:right w:val="nil"/>
            </w:tcBorders>
            <w:noWrap/>
            <w:vAlign w:val="bottom"/>
          </w:tcPr>
          <w:p w:rsidR="00CD3709" w:rsidRPr="00E21794" w:rsidRDefault="00CD3709" w:rsidP="006F07AF">
            <w:pPr>
              <w:rPr>
                <w:rFonts w:ascii="Trebuchet MS" w:hAnsi="Trebuchet MS" w:cs="Arial"/>
                <w:sz w:val="18"/>
                <w:szCs w:val="18"/>
                <w:lang w:eastAsia="ja-JP"/>
              </w:rPr>
            </w:pPr>
            <w:r w:rsidRPr="00E21794">
              <w:rPr>
                <w:rFonts w:ascii="Trebuchet MS" w:hAnsi="Trebuchet MS" w:cs="Arial"/>
                <w:sz w:val="18"/>
                <w:szCs w:val="18"/>
                <w:lang w:eastAsia="ja-JP"/>
              </w:rPr>
              <w:t>2015</w:t>
            </w:r>
          </w:p>
        </w:tc>
        <w:tc>
          <w:tcPr>
            <w:tcW w:w="2062" w:type="dxa"/>
            <w:tcBorders>
              <w:top w:val="nil"/>
              <w:left w:val="single" w:sz="8" w:space="0" w:color="auto"/>
              <w:bottom w:val="single" w:sz="8" w:space="0" w:color="auto"/>
              <w:right w:val="single" w:sz="8" w:space="0" w:color="auto"/>
            </w:tcBorders>
            <w:noWrap/>
            <w:vAlign w:val="bottom"/>
          </w:tcPr>
          <w:p w:rsidR="00CD3709" w:rsidRPr="00E21794" w:rsidRDefault="00CD3709" w:rsidP="006F07AF">
            <w:pPr>
              <w:jc w:val="center"/>
              <w:rPr>
                <w:rFonts w:ascii="Trebuchet MS" w:hAnsi="Trebuchet MS" w:cs="Arial"/>
                <w:sz w:val="18"/>
                <w:szCs w:val="18"/>
                <w:lang w:eastAsia="ja-JP"/>
              </w:rPr>
            </w:pPr>
            <w:r>
              <w:rPr>
                <w:rFonts w:ascii="Trebuchet MS" w:hAnsi="Trebuchet MS" w:cs="Arial"/>
                <w:sz w:val="18"/>
                <w:szCs w:val="18"/>
                <w:lang w:eastAsia="ja-JP"/>
              </w:rPr>
              <w:t>57,</w:t>
            </w:r>
            <w:r w:rsidRPr="00E21794">
              <w:rPr>
                <w:rFonts w:ascii="Trebuchet MS" w:hAnsi="Trebuchet MS" w:cs="Arial"/>
                <w:sz w:val="18"/>
                <w:szCs w:val="18"/>
                <w:lang w:eastAsia="ja-JP"/>
              </w:rPr>
              <w:t>588</w:t>
            </w:r>
          </w:p>
        </w:tc>
      </w:tr>
      <w:tr w:rsidR="00CD3709" w:rsidRPr="00E21794" w:rsidTr="006F07AF">
        <w:trPr>
          <w:trHeight w:val="342"/>
        </w:trPr>
        <w:tc>
          <w:tcPr>
            <w:tcW w:w="2999" w:type="dxa"/>
            <w:tcBorders>
              <w:top w:val="single" w:sz="8" w:space="0" w:color="auto"/>
              <w:left w:val="single" w:sz="8" w:space="0" w:color="auto"/>
              <w:bottom w:val="single" w:sz="8" w:space="0" w:color="auto"/>
              <w:right w:val="nil"/>
            </w:tcBorders>
            <w:shd w:val="solid" w:color="99CCFF" w:fill="00CCFF"/>
            <w:noWrap/>
            <w:vAlign w:val="bottom"/>
          </w:tcPr>
          <w:p w:rsidR="00CD3709" w:rsidRPr="00E21794" w:rsidRDefault="00CD3709" w:rsidP="006F07AF">
            <w:pPr>
              <w:rPr>
                <w:rFonts w:ascii="Trebuchet MS" w:hAnsi="Trebuchet MS" w:cs="Arial"/>
                <w:b/>
                <w:bCs/>
                <w:i/>
                <w:iCs/>
                <w:sz w:val="18"/>
                <w:szCs w:val="18"/>
                <w:lang w:eastAsia="ja-JP"/>
              </w:rPr>
            </w:pPr>
            <w:r w:rsidRPr="00E21794">
              <w:rPr>
                <w:rFonts w:ascii="Trebuchet MS" w:hAnsi="Trebuchet MS" w:cs="Arial"/>
                <w:b/>
                <w:bCs/>
                <w:i/>
                <w:iCs/>
                <w:sz w:val="18"/>
                <w:szCs w:val="18"/>
                <w:lang w:eastAsia="ja-JP"/>
              </w:rPr>
              <w:t xml:space="preserve">Total </w:t>
            </w:r>
            <w:r>
              <w:rPr>
                <w:rFonts w:ascii="Trebuchet MS" w:hAnsi="Trebuchet MS" w:cs="Arial"/>
                <w:b/>
                <w:bCs/>
                <w:i/>
                <w:iCs/>
                <w:sz w:val="18"/>
                <w:szCs w:val="18"/>
                <w:lang w:eastAsia="ja-JP"/>
              </w:rPr>
              <w:t>contributions</w:t>
            </w:r>
          </w:p>
        </w:tc>
        <w:tc>
          <w:tcPr>
            <w:tcW w:w="2062" w:type="dxa"/>
            <w:tcBorders>
              <w:top w:val="single" w:sz="8" w:space="0" w:color="auto"/>
              <w:left w:val="single" w:sz="8" w:space="0" w:color="auto"/>
              <w:bottom w:val="single" w:sz="8" w:space="0" w:color="auto"/>
              <w:right w:val="single" w:sz="8" w:space="0" w:color="auto"/>
            </w:tcBorders>
            <w:shd w:val="solid" w:color="99CCFF" w:fill="00CCFF"/>
            <w:noWrap/>
            <w:vAlign w:val="bottom"/>
          </w:tcPr>
          <w:p w:rsidR="00CD3709" w:rsidRPr="00E21794" w:rsidRDefault="00CD3709" w:rsidP="006F07AF">
            <w:pPr>
              <w:jc w:val="center"/>
              <w:rPr>
                <w:rFonts w:ascii="Trebuchet MS" w:hAnsi="Trebuchet MS" w:cs="Arial"/>
                <w:b/>
                <w:bCs/>
                <w:i/>
                <w:iCs/>
                <w:sz w:val="18"/>
                <w:szCs w:val="18"/>
                <w:lang w:eastAsia="ja-JP"/>
              </w:rPr>
            </w:pPr>
            <w:r w:rsidRPr="00E21794">
              <w:rPr>
                <w:rFonts w:ascii="Trebuchet MS" w:hAnsi="Trebuchet MS" w:cs="Arial"/>
                <w:b/>
                <w:bCs/>
                <w:i/>
                <w:iCs/>
                <w:sz w:val="18"/>
                <w:szCs w:val="18"/>
                <w:lang w:eastAsia="ja-JP"/>
              </w:rPr>
              <w:t>$297</w:t>
            </w:r>
            <w:r>
              <w:rPr>
                <w:rFonts w:ascii="Trebuchet MS" w:hAnsi="Trebuchet MS" w:cs="Arial"/>
                <w:b/>
                <w:bCs/>
                <w:i/>
                <w:iCs/>
                <w:sz w:val="18"/>
                <w:szCs w:val="18"/>
                <w:lang w:eastAsia="ja-JP"/>
              </w:rPr>
              <w:t>,</w:t>
            </w:r>
            <w:r w:rsidRPr="00E21794">
              <w:rPr>
                <w:rFonts w:ascii="Trebuchet MS" w:hAnsi="Trebuchet MS" w:cs="Arial"/>
                <w:b/>
                <w:bCs/>
                <w:i/>
                <w:iCs/>
                <w:sz w:val="18"/>
                <w:szCs w:val="18"/>
                <w:lang w:eastAsia="ja-JP"/>
              </w:rPr>
              <w:t>734</w:t>
            </w:r>
          </w:p>
        </w:tc>
      </w:tr>
      <w:tr w:rsidR="00CD3709" w:rsidRPr="00E21794" w:rsidTr="006F07AF">
        <w:trPr>
          <w:trHeight w:val="342"/>
        </w:trPr>
        <w:tc>
          <w:tcPr>
            <w:tcW w:w="2999" w:type="dxa"/>
            <w:tcBorders>
              <w:top w:val="single" w:sz="8" w:space="0" w:color="auto"/>
              <w:left w:val="single" w:sz="8" w:space="0" w:color="auto"/>
              <w:bottom w:val="single" w:sz="8" w:space="0" w:color="auto"/>
              <w:right w:val="nil"/>
            </w:tcBorders>
            <w:noWrap/>
            <w:vAlign w:val="bottom"/>
          </w:tcPr>
          <w:p w:rsidR="00CD3709" w:rsidRPr="00E21794" w:rsidRDefault="00CD3709" w:rsidP="006F07AF">
            <w:pPr>
              <w:rPr>
                <w:rFonts w:ascii="Trebuchet MS" w:hAnsi="Trebuchet MS" w:cs="Arial"/>
                <w:bCs/>
                <w:iCs/>
                <w:sz w:val="18"/>
                <w:szCs w:val="18"/>
                <w:lang w:eastAsia="ja-JP"/>
              </w:rPr>
            </w:pPr>
            <w:r w:rsidRPr="00E21794">
              <w:rPr>
                <w:rFonts w:ascii="Trebuchet MS" w:hAnsi="Trebuchet MS" w:cs="Arial"/>
                <w:bCs/>
                <w:iCs/>
                <w:sz w:val="18"/>
                <w:szCs w:val="18"/>
                <w:lang w:val="es-MX" w:eastAsia="ja-JP"/>
              </w:rPr>
              <w:t>Contribución</w:t>
            </w:r>
            <w:r w:rsidRPr="00E21794">
              <w:rPr>
                <w:rFonts w:ascii="Trebuchet MS" w:hAnsi="Trebuchet MS" w:cs="Arial"/>
                <w:bCs/>
                <w:iCs/>
                <w:sz w:val="18"/>
                <w:szCs w:val="18"/>
                <w:lang w:eastAsia="ja-JP"/>
              </w:rPr>
              <w:t xml:space="preserve"> de Canada (2012 – 2014)</w:t>
            </w:r>
          </w:p>
        </w:tc>
        <w:tc>
          <w:tcPr>
            <w:tcW w:w="2062" w:type="dxa"/>
            <w:tcBorders>
              <w:top w:val="single" w:sz="8" w:space="0" w:color="auto"/>
              <w:left w:val="single" w:sz="8" w:space="0" w:color="auto"/>
              <w:bottom w:val="single" w:sz="8" w:space="0" w:color="auto"/>
              <w:right w:val="single" w:sz="8" w:space="0" w:color="auto"/>
            </w:tcBorders>
            <w:noWrap/>
            <w:vAlign w:val="bottom"/>
          </w:tcPr>
          <w:p w:rsidR="00CD3709" w:rsidRPr="00E21794" w:rsidRDefault="00CD3709" w:rsidP="006F07AF">
            <w:pPr>
              <w:jc w:val="center"/>
              <w:rPr>
                <w:rFonts w:ascii="Trebuchet MS" w:hAnsi="Trebuchet MS" w:cs="Arial"/>
                <w:bCs/>
                <w:iCs/>
                <w:sz w:val="18"/>
                <w:szCs w:val="18"/>
                <w:lang w:eastAsia="ja-JP"/>
              </w:rPr>
            </w:pPr>
            <w:r>
              <w:rPr>
                <w:rFonts w:ascii="Trebuchet MS" w:hAnsi="Trebuchet MS" w:cs="Arial"/>
                <w:bCs/>
                <w:iCs/>
                <w:sz w:val="18"/>
                <w:szCs w:val="18"/>
                <w:lang w:eastAsia="ja-JP"/>
              </w:rPr>
              <w:t>200,</w:t>
            </w:r>
            <w:r w:rsidRPr="00E21794">
              <w:rPr>
                <w:rFonts w:ascii="Trebuchet MS" w:hAnsi="Trebuchet MS" w:cs="Arial"/>
                <w:bCs/>
                <w:iCs/>
                <w:sz w:val="18"/>
                <w:szCs w:val="18"/>
                <w:lang w:eastAsia="ja-JP"/>
              </w:rPr>
              <w:t>000</w:t>
            </w:r>
          </w:p>
        </w:tc>
      </w:tr>
      <w:tr w:rsidR="00CD3709" w:rsidRPr="00E21794" w:rsidTr="006F07AF">
        <w:trPr>
          <w:trHeight w:val="342"/>
        </w:trPr>
        <w:tc>
          <w:tcPr>
            <w:tcW w:w="2999" w:type="dxa"/>
            <w:tcBorders>
              <w:top w:val="single" w:sz="8" w:space="0" w:color="auto"/>
              <w:left w:val="single" w:sz="8" w:space="0" w:color="auto"/>
              <w:bottom w:val="single" w:sz="8" w:space="0" w:color="auto"/>
              <w:right w:val="nil"/>
            </w:tcBorders>
            <w:shd w:val="solid" w:color="99CCFF" w:fill="00CCFF"/>
            <w:noWrap/>
            <w:vAlign w:val="bottom"/>
          </w:tcPr>
          <w:p w:rsidR="00CD3709" w:rsidRPr="00E21794" w:rsidRDefault="00CD3709" w:rsidP="006F07AF">
            <w:pPr>
              <w:rPr>
                <w:rFonts w:ascii="Trebuchet MS" w:hAnsi="Trebuchet MS" w:cs="Arial"/>
                <w:b/>
                <w:bCs/>
                <w:i/>
                <w:iCs/>
                <w:sz w:val="18"/>
                <w:szCs w:val="18"/>
                <w:lang w:val="es-MX" w:eastAsia="ja-JP"/>
              </w:rPr>
            </w:pPr>
            <w:r w:rsidRPr="00E21794">
              <w:rPr>
                <w:rFonts w:ascii="Trebuchet MS" w:hAnsi="Trebuchet MS" w:cs="Arial"/>
                <w:b/>
                <w:bCs/>
                <w:i/>
                <w:iCs/>
                <w:sz w:val="18"/>
                <w:szCs w:val="18"/>
                <w:lang w:val="es-MX" w:eastAsia="ja-JP"/>
              </w:rPr>
              <w:t>TOTAL</w:t>
            </w:r>
          </w:p>
        </w:tc>
        <w:tc>
          <w:tcPr>
            <w:tcW w:w="2062" w:type="dxa"/>
            <w:tcBorders>
              <w:top w:val="single" w:sz="8" w:space="0" w:color="auto"/>
              <w:left w:val="single" w:sz="8" w:space="0" w:color="auto"/>
              <w:bottom w:val="single" w:sz="8" w:space="0" w:color="auto"/>
              <w:right w:val="single" w:sz="8" w:space="0" w:color="auto"/>
            </w:tcBorders>
            <w:shd w:val="solid" w:color="99CCFF" w:fill="00CCFF"/>
            <w:noWrap/>
            <w:vAlign w:val="bottom"/>
          </w:tcPr>
          <w:p w:rsidR="00CD3709" w:rsidRPr="00E21794" w:rsidRDefault="00CD3709" w:rsidP="006F07AF">
            <w:pPr>
              <w:jc w:val="center"/>
              <w:rPr>
                <w:rFonts w:ascii="Trebuchet MS" w:hAnsi="Trebuchet MS" w:cs="Arial"/>
                <w:b/>
                <w:bCs/>
                <w:i/>
                <w:iCs/>
                <w:sz w:val="18"/>
                <w:szCs w:val="18"/>
                <w:lang w:eastAsia="ja-JP"/>
              </w:rPr>
            </w:pPr>
            <w:r w:rsidRPr="00E21794">
              <w:rPr>
                <w:rFonts w:ascii="Trebuchet MS" w:hAnsi="Trebuchet MS" w:cs="Arial"/>
                <w:b/>
                <w:bCs/>
                <w:i/>
                <w:iCs/>
                <w:sz w:val="18"/>
                <w:szCs w:val="18"/>
                <w:lang w:eastAsia="ja-JP"/>
              </w:rPr>
              <w:t>$497.734</w:t>
            </w:r>
          </w:p>
        </w:tc>
      </w:tr>
    </w:tbl>
    <w:p w:rsidR="00CD3709" w:rsidRPr="006A695F" w:rsidRDefault="00CD3709" w:rsidP="008824D1">
      <w:pPr>
        <w:jc w:val="both"/>
        <w:rPr>
          <w:rFonts w:ascii="Calibri" w:hAnsi="Calibri" w:cs="Calibri"/>
          <w:bCs/>
          <w:sz w:val="22"/>
          <w:szCs w:val="22"/>
        </w:rPr>
      </w:pPr>
    </w:p>
    <w:p w:rsidR="00CD3709" w:rsidRPr="00423FB3" w:rsidRDefault="00CD3709" w:rsidP="008824D1">
      <w:pPr>
        <w:spacing w:line="250" w:lineRule="exact"/>
        <w:jc w:val="both"/>
        <w:rPr>
          <w:rFonts w:ascii="Calibri" w:hAnsi="Calibri" w:cs="Arial"/>
          <w:sz w:val="22"/>
          <w:szCs w:val="22"/>
        </w:rPr>
      </w:pPr>
      <w:r w:rsidRPr="00423FB3">
        <w:rPr>
          <w:rFonts w:ascii="Calibri" w:hAnsi="Calibri" w:cs="Arial"/>
          <w:sz w:val="22"/>
          <w:szCs w:val="22"/>
        </w:rPr>
        <w:t>Chart No. 2 shows in detail the expenses made and projected, including those covered with Canada’s contribution to the Voluntary Contribution Fund (2012 – 2014)</w:t>
      </w:r>
    </w:p>
    <w:p w:rsidR="00CD3709" w:rsidRPr="008824D1" w:rsidRDefault="00CD3709" w:rsidP="00EF5D77">
      <w:pPr>
        <w:spacing w:line="250" w:lineRule="exact"/>
        <w:jc w:val="center"/>
        <w:rPr>
          <w:rFonts w:ascii="Calibri" w:hAnsi="Calibri" w:cs="Arial"/>
          <w:b/>
          <w:sz w:val="22"/>
          <w:szCs w:val="22"/>
        </w:rPr>
      </w:pPr>
    </w:p>
    <w:p w:rsidR="00CD3709" w:rsidRPr="006A695F" w:rsidRDefault="00CD3709" w:rsidP="00EF5D77">
      <w:pPr>
        <w:spacing w:line="250" w:lineRule="exact"/>
        <w:jc w:val="center"/>
        <w:rPr>
          <w:rFonts w:ascii="Calibri" w:hAnsi="Calibri" w:cs="Arial"/>
          <w:b/>
          <w:sz w:val="22"/>
          <w:szCs w:val="22"/>
        </w:rPr>
      </w:pPr>
      <w:r w:rsidRPr="006A695F">
        <w:rPr>
          <w:rFonts w:ascii="Calibri" w:hAnsi="Calibri" w:cs="Arial"/>
          <w:b/>
          <w:sz w:val="22"/>
          <w:szCs w:val="22"/>
        </w:rPr>
        <w:t>Chart No. 2</w:t>
      </w:r>
    </w:p>
    <w:p w:rsidR="00CD3709" w:rsidRPr="006A695F" w:rsidRDefault="00CD3709" w:rsidP="00EF5D77">
      <w:pPr>
        <w:spacing w:line="250" w:lineRule="exact"/>
        <w:jc w:val="center"/>
        <w:rPr>
          <w:rFonts w:ascii="Calibri" w:hAnsi="Calibri" w:cs="Arial"/>
          <w:b/>
          <w:sz w:val="22"/>
          <w:szCs w:val="22"/>
        </w:rPr>
      </w:pPr>
      <w:r>
        <w:rPr>
          <w:rFonts w:ascii="Calibri" w:hAnsi="Calibri" w:cs="Arial"/>
          <w:b/>
          <w:sz w:val="22"/>
          <w:szCs w:val="22"/>
        </w:rPr>
        <w:t>EXPENDITURE</w:t>
      </w:r>
      <w:r w:rsidRPr="006A695F">
        <w:rPr>
          <w:rFonts w:ascii="Calibri" w:hAnsi="Calibri" w:cs="Arial"/>
          <w:b/>
          <w:sz w:val="22"/>
          <w:szCs w:val="22"/>
        </w:rPr>
        <w:t xml:space="preserve">S OF THE VOLUNTARY CONTRIBUTION FUND </w:t>
      </w:r>
    </w:p>
    <w:p w:rsidR="00CD3709" w:rsidRPr="006A695F" w:rsidRDefault="00CD3709" w:rsidP="00EF5D77">
      <w:pPr>
        <w:spacing w:line="250" w:lineRule="exact"/>
        <w:jc w:val="center"/>
        <w:rPr>
          <w:rFonts w:ascii="Calibri" w:hAnsi="Calibri" w:cs="Arial"/>
          <w:b/>
          <w:sz w:val="22"/>
          <w:szCs w:val="22"/>
        </w:rPr>
      </w:pPr>
      <w:r w:rsidRPr="006A695F">
        <w:rPr>
          <w:rFonts w:ascii="Calibri" w:hAnsi="Calibri" w:cs="Arial"/>
          <w:b/>
          <w:sz w:val="22"/>
          <w:szCs w:val="22"/>
        </w:rPr>
        <w:t xml:space="preserve">As of February, 2016 (date of the P. Meeting). </w:t>
      </w:r>
    </w:p>
    <w:p w:rsidR="00CD3709" w:rsidRPr="006A695F" w:rsidRDefault="00CD3709" w:rsidP="00EF5D77">
      <w:pPr>
        <w:spacing w:line="250" w:lineRule="exact"/>
        <w:jc w:val="center"/>
        <w:rPr>
          <w:rFonts w:ascii="Calibri" w:hAnsi="Calibri" w:cs="Arial"/>
          <w:b/>
          <w:i/>
          <w:sz w:val="22"/>
          <w:szCs w:val="22"/>
        </w:rPr>
      </w:pPr>
      <w:r w:rsidRPr="006A695F">
        <w:rPr>
          <w:rFonts w:ascii="Calibri" w:hAnsi="Calibri" w:cs="Arial"/>
          <w:b/>
          <w:i/>
          <w:sz w:val="22"/>
          <w:szCs w:val="22"/>
        </w:rPr>
        <w:t>It includes Canada’s 200,000 contribution</w:t>
      </w:r>
    </w:p>
    <w:p w:rsidR="00CD3709" w:rsidRDefault="00CD3709" w:rsidP="00EF5D77">
      <w:pPr>
        <w:spacing w:line="250" w:lineRule="exact"/>
        <w:jc w:val="center"/>
        <w:rPr>
          <w:rFonts w:ascii="Calibri" w:hAnsi="Calibri" w:cs="Arial"/>
          <w:b/>
          <w:i/>
          <w:sz w:val="22"/>
          <w:szCs w:val="22"/>
        </w:rPr>
      </w:pPr>
      <w:r w:rsidRPr="006A695F">
        <w:rPr>
          <w:rFonts w:ascii="Calibri" w:hAnsi="Calibri" w:cs="Arial"/>
          <w:b/>
          <w:i/>
          <w:sz w:val="22"/>
          <w:szCs w:val="22"/>
        </w:rPr>
        <w:t>(In U.S dollars)</w:t>
      </w:r>
    </w:p>
    <w:p w:rsidR="00CD3709" w:rsidRPr="009D3EC7" w:rsidRDefault="00CD3709" w:rsidP="00EF5D77">
      <w:pPr>
        <w:spacing w:line="250" w:lineRule="exact"/>
        <w:jc w:val="both"/>
        <w:rPr>
          <w:rFonts w:ascii="Trebuchet MS" w:hAnsi="Trebuchet MS" w:cs="Arial"/>
          <w:sz w:val="20"/>
          <w:szCs w:val="20"/>
          <w:highlight w:val="cyan"/>
        </w:rPr>
      </w:pPr>
    </w:p>
    <w:tbl>
      <w:tblPr>
        <w:tblW w:w="9180" w:type="dxa"/>
        <w:tblInd w:w="-72" w:type="dxa"/>
        <w:tblLayout w:type="fixed"/>
        <w:tblLook w:val="0000"/>
      </w:tblPr>
      <w:tblGrid>
        <w:gridCol w:w="6300"/>
        <w:gridCol w:w="1440"/>
        <w:gridCol w:w="1440"/>
      </w:tblGrid>
      <w:tr w:rsidR="00CD3709" w:rsidRPr="00DE40E9" w:rsidTr="002B3BE8">
        <w:trPr>
          <w:trHeight w:val="333"/>
        </w:trPr>
        <w:tc>
          <w:tcPr>
            <w:tcW w:w="6300" w:type="dxa"/>
            <w:tcBorders>
              <w:top w:val="single" w:sz="12" w:space="0" w:color="auto"/>
              <w:left w:val="single" w:sz="12" w:space="0" w:color="auto"/>
              <w:bottom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Area</w:t>
            </w:r>
          </w:p>
        </w:tc>
        <w:tc>
          <w:tcPr>
            <w:tcW w:w="1440" w:type="dxa"/>
            <w:tcBorders>
              <w:top w:val="single" w:sz="12" w:space="0" w:color="auto"/>
              <w:left w:val="single" w:sz="12" w:space="0" w:color="auto"/>
              <w:bottom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Voluntary Contribution Fund</w:t>
            </w:r>
          </w:p>
        </w:tc>
        <w:tc>
          <w:tcPr>
            <w:tcW w:w="1440" w:type="dxa"/>
            <w:tcBorders>
              <w:top w:val="single" w:sz="12" w:space="0" w:color="auto"/>
              <w:left w:val="single" w:sz="12" w:space="0" w:color="auto"/>
              <w:bottom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Contribution from Canada (2012-2014)</w:t>
            </w:r>
          </w:p>
        </w:tc>
      </w:tr>
      <w:tr w:rsidR="00CD3709" w:rsidRPr="00DE40E9" w:rsidTr="002B3BE8">
        <w:trPr>
          <w:trHeight w:val="302"/>
        </w:trPr>
        <w:tc>
          <w:tcPr>
            <w:tcW w:w="630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Hemispheric Workshops</w:t>
            </w: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color w:val="000000"/>
                <w:sz w:val="18"/>
                <w:szCs w:val="18"/>
                <w:lang w:eastAsia="ja-JP"/>
              </w:rPr>
            </w:pP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Workshop on Freedom of Association – Washington, D.C., Oct. 2012</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8,718</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Workshop on Child Labor – San Jose, Costa Rica, Feb. 2013</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37,695</w:t>
            </w: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Workshop on More Just Labor Conditions – Bahamas, Apr. 2013</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24,112</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Workshop on Formalization – Barbados, Sept. 2014</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16,266</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Workshop on Social Protection and Employment – Mexico, Dec. 2014</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5,977</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 xml:space="preserve">Workshop on Inspection – 2015 (Webinar) </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1,002</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Webinar – Virtual Platform</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2,185</w:t>
            </w:r>
          </w:p>
        </w:tc>
      </w:tr>
      <w:tr w:rsidR="00CD3709" w:rsidRPr="00DE40E9" w:rsidTr="002B3BE8">
        <w:trPr>
          <w:trHeight w:val="291"/>
        </w:trPr>
        <w:tc>
          <w:tcPr>
            <w:tcW w:w="630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Bilateral cooperation</w:t>
            </w: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Activities of the 5</w:t>
            </w:r>
            <w:r w:rsidRPr="00DE40E9">
              <w:rPr>
                <w:rFonts w:ascii="Trebuchet MS" w:hAnsi="Trebuchet MS" w:cs="Arial"/>
                <w:color w:val="000000"/>
                <w:sz w:val="18"/>
                <w:szCs w:val="18"/>
                <w:vertAlign w:val="superscript"/>
                <w:lang w:eastAsia="ja-JP"/>
              </w:rPr>
              <w:t xml:space="preserve">th </w:t>
            </w:r>
            <w:r w:rsidRPr="00DE40E9">
              <w:rPr>
                <w:rFonts w:ascii="Trebuchet MS" w:hAnsi="Trebuchet MS" w:cs="Arial"/>
                <w:color w:val="000000"/>
                <w:sz w:val="18"/>
                <w:szCs w:val="18"/>
                <w:lang w:eastAsia="ja-JP"/>
              </w:rPr>
              <w:t>Call (2012) - 9 activities</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15,112</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30,476</w:t>
            </w: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Activities of the 6</w:t>
            </w:r>
            <w:r w:rsidRPr="00DE40E9">
              <w:rPr>
                <w:rFonts w:ascii="Trebuchet MS" w:hAnsi="Trebuchet MS" w:cs="Arial"/>
                <w:color w:val="000000"/>
                <w:sz w:val="18"/>
                <w:szCs w:val="18"/>
                <w:vertAlign w:val="superscript"/>
                <w:lang w:eastAsia="ja-JP"/>
              </w:rPr>
              <w:t xml:space="preserve">th </w:t>
            </w:r>
            <w:r w:rsidRPr="00DE40E9">
              <w:rPr>
                <w:rFonts w:ascii="Trebuchet MS" w:hAnsi="Trebuchet MS" w:cs="Arial"/>
                <w:color w:val="000000"/>
                <w:sz w:val="18"/>
                <w:szCs w:val="18"/>
                <w:lang w:eastAsia="ja-JP"/>
              </w:rPr>
              <w:t>Call (2013) - 7 activities</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34,639</w:t>
            </w: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Activities of the 7</w:t>
            </w:r>
            <w:r w:rsidRPr="00DE40E9">
              <w:rPr>
                <w:rFonts w:ascii="Trebuchet MS" w:hAnsi="Trebuchet MS" w:cs="Arial"/>
                <w:color w:val="000000"/>
                <w:sz w:val="18"/>
                <w:szCs w:val="18"/>
                <w:vertAlign w:val="superscript"/>
                <w:lang w:eastAsia="ja-JP"/>
              </w:rPr>
              <w:t xml:space="preserve">th </w:t>
            </w:r>
            <w:r w:rsidRPr="00DE40E9">
              <w:rPr>
                <w:rFonts w:ascii="Trebuchet MS" w:hAnsi="Trebuchet MS" w:cs="Arial"/>
                <w:color w:val="000000"/>
                <w:sz w:val="18"/>
                <w:szCs w:val="18"/>
                <w:lang w:eastAsia="ja-JP"/>
              </w:rPr>
              <w:t>Call (2014) - 8 activities</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25,514</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14,343</w:t>
            </w:r>
          </w:p>
        </w:tc>
      </w:tr>
      <w:tr w:rsidR="00CD3709" w:rsidRPr="00DE40E9" w:rsidTr="002B3BE8">
        <w:trPr>
          <w:trHeight w:val="242"/>
        </w:trPr>
        <w:tc>
          <w:tcPr>
            <w:tcW w:w="630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Activities of the 8</w:t>
            </w:r>
            <w:r w:rsidRPr="00DE40E9">
              <w:rPr>
                <w:rFonts w:ascii="Trebuchet MS" w:hAnsi="Trebuchet MS" w:cs="Arial"/>
                <w:color w:val="000000"/>
                <w:sz w:val="18"/>
                <w:szCs w:val="18"/>
                <w:vertAlign w:val="superscript"/>
                <w:lang w:eastAsia="ja-JP"/>
              </w:rPr>
              <w:t xml:space="preserve">th </w:t>
            </w:r>
            <w:r w:rsidRPr="00DE40E9">
              <w:rPr>
                <w:rFonts w:ascii="Trebuchet MS" w:hAnsi="Trebuchet MS" w:cs="Arial"/>
                <w:color w:val="000000"/>
                <w:sz w:val="18"/>
                <w:szCs w:val="18"/>
                <w:lang w:eastAsia="ja-JP"/>
              </w:rPr>
              <w:t>Call (2015) - 7 activities</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36,328</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Studies</w:t>
            </w: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Study on Bilateral and Multilateral Social Security Agreements</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20,000</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Communications</w:t>
            </w: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51"/>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Cs/>
                <w:color w:val="000000"/>
                <w:sz w:val="18"/>
                <w:szCs w:val="18"/>
                <w:lang w:eastAsia="ja-JP"/>
              </w:rPr>
            </w:pPr>
            <w:r w:rsidRPr="00DE40E9">
              <w:rPr>
                <w:rFonts w:ascii="Trebuchet MS" w:hAnsi="Trebuchet MS" w:cs="Arial"/>
                <w:bCs/>
                <w:color w:val="000000"/>
                <w:sz w:val="18"/>
                <w:szCs w:val="18"/>
                <w:lang w:eastAsia="ja-JP"/>
              </w:rPr>
              <w:t>Website, Portfolio, Newsletters</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20,000</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29,650</w:t>
            </w:r>
          </w:p>
        </w:tc>
      </w:tr>
      <w:tr w:rsidR="00CD3709" w:rsidRPr="00DE40E9" w:rsidTr="002B3BE8">
        <w:trPr>
          <w:trHeight w:val="251"/>
        </w:trPr>
        <w:tc>
          <w:tcPr>
            <w:tcW w:w="6300" w:type="dxa"/>
            <w:tcBorders>
              <w:left w:val="single" w:sz="12" w:space="0" w:color="auto"/>
              <w:bottom w:val="single" w:sz="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Cs/>
                <w:color w:val="000000"/>
                <w:sz w:val="18"/>
                <w:szCs w:val="18"/>
                <w:lang w:eastAsia="ja-JP"/>
              </w:rPr>
            </w:pPr>
            <w:r w:rsidRPr="00DE40E9">
              <w:rPr>
                <w:rFonts w:ascii="Trebuchet MS" w:hAnsi="Trebuchet MS" w:cs="Arial"/>
                <w:bCs/>
                <w:color w:val="000000"/>
                <w:sz w:val="18"/>
                <w:szCs w:val="18"/>
                <w:lang w:eastAsia="ja-JP"/>
              </w:rPr>
              <w:t>Publication: 10 years of the RIAL</w:t>
            </w:r>
          </w:p>
        </w:tc>
        <w:tc>
          <w:tcPr>
            <w:tcW w:w="1440" w:type="dxa"/>
            <w:tcBorders>
              <w:left w:val="single" w:sz="12" w:space="0" w:color="auto"/>
              <w:bottom w:val="single" w:sz="4"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5,000</w:t>
            </w:r>
          </w:p>
        </w:tc>
        <w:tc>
          <w:tcPr>
            <w:tcW w:w="1440" w:type="dxa"/>
            <w:tcBorders>
              <w:left w:val="single" w:sz="12" w:space="0" w:color="auto"/>
              <w:bottom w:val="single" w:sz="4"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
                <w:bCs/>
                <w:color w:val="000000"/>
                <w:sz w:val="18"/>
                <w:szCs w:val="18"/>
                <w:lang w:eastAsia="ja-JP"/>
              </w:rPr>
            </w:pPr>
            <w:r w:rsidRPr="00DE40E9">
              <w:rPr>
                <w:rFonts w:ascii="Trebuchet MS" w:hAnsi="Trebuchet MS" w:cs="Arial"/>
                <w:b/>
                <w:bCs/>
                <w:color w:val="000000"/>
                <w:sz w:val="18"/>
                <w:szCs w:val="18"/>
                <w:lang w:eastAsia="ja-JP"/>
              </w:rPr>
              <w:t>Operations (administration and logistics)</w:t>
            </w: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c>
          <w:tcPr>
            <w:tcW w:w="1440" w:type="dxa"/>
            <w:tcBorders>
              <w:top w:val="single" w:sz="12" w:space="0" w:color="auto"/>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p>
        </w:tc>
      </w:tr>
      <w:tr w:rsidR="00CD3709" w:rsidRPr="00DE40E9" w:rsidTr="002B3BE8">
        <w:trPr>
          <w:trHeight w:val="242"/>
        </w:trPr>
        <w:tc>
          <w:tcPr>
            <w:tcW w:w="630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Support to administration and Logistics (2011-2015)</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54,660</w:t>
            </w:r>
          </w:p>
        </w:tc>
        <w:tc>
          <w:tcPr>
            <w:tcW w:w="1440" w:type="dxa"/>
            <w:tcBorders>
              <w:left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28,990</w:t>
            </w:r>
          </w:p>
        </w:tc>
      </w:tr>
      <w:tr w:rsidR="00CD3709" w:rsidRPr="00DE40E9" w:rsidTr="002B3BE8">
        <w:trPr>
          <w:trHeight w:val="242"/>
        </w:trPr>
        <w:tc>
          <w:tcPr>
            <w:tcW w:w="630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Indirect cost recovery</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3,267</w:t>
            </w:r>
          </w:p>
        </w:tc>
        <w:tc>
          <w:tcPr>
            <w:tcW w:w="1440" w:type="dxa"/>
            <w:tcBorders>
              <w:left w:val="single" w:sz="12" w:space="0" w:color="auto"/>
              <w:bottom w:val="single" w:sz="2" w:space="0" w:color="000000"/>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color w:val="000000"/>
                <w:sz w:val="18"/>
                <w:szCs w:val="18"/>
                <w:lang w:eastAsia="ja-JP"/>
              </w:rPr>
            </w:pPr>
            <w:r w:rsidRPr="00DE40E9">
              <w:rPr>
                <w:rFonts w:ascii="Trebuchet MS" w:hAnsi="Trebuchet MS" w:cs="Arial"/>
                <w:color w:val="000000"/>
                <w:sz w:val="18"/>
                <w:szCs w:val="18"/>
                <w:lang w:eastAsia="ja-JP"/>
              </w:rPr>
              <w:t>22,022</w:t>
            </w:r>
          </w:p>
        </w:tc>
      </w:tr>
      <w:tr w:rsidR="00CD3709" w:rsidRPr="00DE40E9" w:rsidTr="002B3BE8">
        <w:trPr>
          <w:trHeight w:val="346"/>
        </w:trPr>
        <w:tc>
          <w:tcPr>
            <w:tcW w:w="6300" w:type="dxa"/>
            <w:tcBorders>
              <w:top w:val="single" w:sz="12" w:space="0" w:color="auto"/>
              <w:left w:val="single" w:sz="12" w:space="0" w:color="auto"/>
              <w:bottom w:val="single" w:sz="12" w:space="0" w:color="auto"/>
              <w:right w:val="single" w:sz="12" w:space="0" w:color="auto"/>
            </w:tcBorders>
            <w:vAlign w:val="center"/>
          </w:tcPr>
          <w:p w:rsidR="00CD3709" w:rsidRPr="00DE40E9" w:rsidRDefault="00CD3709" w:rsidP="002B3BE8">
            <w:pPr>
              <w:autoSpaceDE w:val="0"/>
              <w:autoSpaceDN w:val="0"/>
              <w:adjustRightInd w:val="0"/>
              <w:rPr>
                <w:rFonts w:ascii="Trebuchet MS" w:hAnsi="Trebuchet MS" w:cs="Arial"/>
                <w:b/>
                <w:bCs/>
                <w:i/>
                <w:iCs/>
                <w:color w:val="000000"/>
                <w:sz w:val="20"/>
                <w:szCs w:val="20"/>
                <w:lang w:eastAsia="ja-JP"/>
              </w:rPr>
            </w:pPr>
            <w:r w:rsidRPr="006A695F">
              <w:rPr>
                <w:rFonts w:ascii="Trebuchet MS" w:hAnsi="Trebuchet MS" w:cs="Arial"/>
                <w:b/>
                <w:bCs/>
                <w:i/>
                <w:iCs/>
                <w:color w:val="000000"/>
                <w:sz w:val="20"/>
                <w:szCs w:val="20"/>
                <w:lang w:eastAsia="ja-JP"/>
              </w:rPr>
              <w:t>TOTAL EXPENDITURES</w:t>
            </w:r>
          </w:p>
        </w:tc>
        <w:tc>
          <w:tcPr>
            <w:tcW w:w="1440" w:type="dxa"/>
            <w:tcBorders>
              <w:top w:val="single" w:sz="12" w:space="0" w:color="auto"/>
              <w:left w:val="single" w:sz="12" w:space="0" w:color="auto"/>
              <w:bottom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i/>
                <w:iCs/>
                <w:color w:val="000000"/>
                <w:sz w:val="20"/>
                <w:szCs w:val="20"/>
                <w:lang w:eastAsia="ja-JP"/>
              </w:rPr>
            </w:pPr>
            <w:r w:rsidRPr="00DE40E9">
              <w:rPr>
                <w:rFonts w:ascii="Trebuchet MS" w:hAnsi="Trebuchet MS" w:cs="Arial"/>
                <w:b/>
                <w:bCs/>
                <w:i/>
                <w:iCs/>
                <w:color w:val="000000"/>
                <w:sz w:val="20"/>
                <w:szCs w:val="20"/>
                <w:lang w:eastAsia="ja-JP"/>
              </w:rPr>
              <w:t>235,955</w:t>
            </w:r>
          </w:p>
        </w:tc>
        <w:tc>
          <w:tcPr>
            <w:tcW w:w="1440" w:type="dxa"/>
            <w:tcBorders>
              <w:top w:val="single" w:sz="12" w:space="0" w:color="auto"/>
              <w:left w:val="single" w:sz="12" w:space="0" w:color="auto"/>
              <w:bottom w:val="single" w:sz="12" w:space="0" w:color="auto"/>
              <w:right w:val="single" w:sz="12" w:space="0" w:color="auto"/>
            </w:tcBorders>
            <w:vAlign w:val="center"/>
          </w:tcPr>
          <w:p w:rsidR="00CD3709" w:rsidRPr="00DE40E9" w:rsidRDefault="00CD3709" w:rsidP="002B3BE8">
            <w:pPr>
              <w:autoSpaceDE w:val="0"/>
              <w:autoSpaceDN w:val="0"/>
              <w:adjustRightInd w:val="0"/>
              <w:jc w:val="center"/>
              <w:rPr>
                <w:rFonts w:ascii="Trebuchet MS" w:hAnsi="Trebuchet MS" w:cs="Arial"/>
                <w:b/>
                <w:bCs/>
                <w:i/>
                <w:iCs/>
                <w:color w:val="000000"/>
                <w:sz w:val="20"/>
                <w:szCs w:val="20"/>
                <w:lang w:eastAsia="ja-JP"/>
              </w:rPr>
            </w:pPr>
            <w:r w:rsidRPr="00DE40E9">
              <w:rPr>
                <w:rFonts w:ascii="Trebuchet MS" w:hAnsi="Trebuchet MS" w:cs="Arial"/>
                <w:b/>
                <w:bCs/>
                <w:i/>
                <w:iCs/>
                <w:color w:val="000000"/>
                <w:sz w:val="20"/>
                <w:szCs w:val="20"/>
                <w:lang w:eastAsia="ja-JP"/>
              </w:rPr>
              <w:t>200,000</w:t>
            </w:r>
          </w:p>
        </w:tc>
      </w:tr>
    </w:tbl>
    <w:p w:rsidR="00CD3709" w:rsidRPr="009D3EC7" w:rsidRDefault="00CD3709" w:rsidP="00D03E0D">
      <w:pPr>
        <w:tabs>
          <w:tab w:val="left" w:pos="3640"/>
        </w:tabs>
        <w:jc w:val="both"/>
        <w:rPr>
          <w:rFonts w:ascii="Calibri" w:hAnsi="Calibri" w:cs="Calibri"/>
          <w:bCs/>
          <w:sz w:val="22"/>
          <w:szCs w:val="22"/>
        </w:rPr>
      </w:pPr>
      <w:r w:rsidRPr="00CC79F0">
        <w:rPr>
          <w:rFonts w:ascii="Calibri" w:hAnsi="Calibri" w:cs="Calibri"/>
          <w:bCs/>
          <w:sz w:val="22"/>
          <w:szCs w:val="22"/>
        </w:rPr>
        <w:t xml:space="preserve">The RIAL thus has </w:t>
      </w:r>
      <w:r>
        <w:rPr>
          <w:rFonts w:ascii="Calibri" w:hAnsi="Calibri" w:cs="Calibri"/>
          <w:bCs/>
          <w:sz w:val="22"/>
          <w:szCs w:val="22"/>
        </w:rPr>
        <w:t xml:space="preserve">registered expenditures for $435,955, which means that there is still </w:t>
      </w:r>
      <w:r w:rsidRPr="00CC79F0">
        <w:rPr>
          <w:rFonts w:ascii="Calibri" w:hAnsi="Calibri" w:cs="Calibri"/>
          <w:bCs/>
          <w:sz w:val="22"/>
          <w:szCs w:val="22"/>
        </w:rPr>
        <w:t>$61.779 in available funds. The secretariat informed that there are other contributions in process, of approximately $20,000, which is why the authorities in the Planning Meeting authorized the use of $80,000, which will be distributed as shown in chart No. 3.</w:t>
      </w:r>
      <w:r w:rsidRPr="00CC79F0">
        <w:rPr>
          <w:rFonts w:ascii="Calibri" w:hAnsi="Calibri" w:cs="Calibri"/>
          <w:b/>
          <w:bCs/>
          <w:sz w:val="22"/>
          <w:szCs w:val="22"/>
        </w:rPr>
        <w:t xml:space="preserve"> </w:t>
      </w:r>
    </w:p>
    <w:p w:rsidR="00CD3709" w:rsidRPr="009D3EC7" w:rsidRDefault="00CD3709" w:rsidP="00D03E0D">
      <w:pPr>
        <w:tabs>
          <w:tab w:val="left" w:pos="3640"/>
        </w:tabs>
        <w:jc w:val="both"/>
        <w:rPr>
          <w:rFonts w:ascii="Calibri" w:hAnsi="Calibri" w:cs="Calibri"/>
          <w:bCs/>
          <w:sz w:val="22"/>
          <w:szCs w:val="22"/>
        </w:rPr>
      </w:pPr>
    </w:p>
    <w:p w:rsidR="00CD3709" w:rsidRPr="006A695F" w:rsidRDefault="00CD3709" w:rsidP="006A695F">
      <w:pPr>
        <w:tabs>
          <w:tab w:val="left" w:pos="3640"/>
        </w:tabs>
        <w:jc w:val="both"/>
        <w:rPr>
          <w:rFonts w:ascii="Calibri" w:hAnsi="Calibri" w:cs="Calibri"/>
          <w:bCs/>
          <w:sz w:val="22"/>
          <w:szCs w:val="22"/>
        </w:rPr>
      </w:pPr>
      <w:r w:rsidRPr="006A695F">
        <w:rPr>
          <w:rFonts w:ascii="Calibri" w:hAnsi="Calibri" w:cs="Calibri"/>
          <w:bCs/>
          <w:sz w:val="22"/>
          <w:szCs w:val="22"/>
        </w:rPr>
        <w:t>It is important to highlight that the RIAL has received in-kind contributions for $152,000, in addition to an important contribution from the OAS General Secretariat, valued at $80,000 annually, for the Network’s coordination and operations costs.</w:t>
      </w:r>
      <w:r>
        <w:rPr>
          <w:rFonts w:ascii="Calibri" w:hAnsi="Calibri" w:cs="Calibri"/>
          <w:bCs/>
          <w:sz w:val="22"/>
          <w:szCs w:val="22"/>
        </w:rPr>
        <w:t xml:space="preserve"> </w:t>
      </w:r>
    </w:p>
    <w:p w:rsidR="00CD3709" w:rsidRPr="006A695F" w:rsidRDefault="00CD3709" w:rsidP="00707492">
      <w:pPr>
        <w:jc w:val="both"/>
        <w:rPr>
          <w:rFonts w:ascii="Calibri" w:hAnsi="Calibri" w:cs="Calibri"/>
          <w:bCs/>
          <w:sz w:val="22"/>
          <w:szCs w:val="22"/>
          <w:highlight w:val="cyan"/>
        </w:rPr>
      </w:pPr>
    </w:p>
    <w:p w:rsidR="00CD3709" w:rsidRPr="0094528F" w:rsidRDefault="00CD3709" w:rsidP="00707492">
      <w:pPr>
        <w:spacing w:line="250" w:lineRule="exact"/>
        <w:jc w:val="center"/>
        <w:rPr>
          <w:rFonts w:ascii="Calibri" w:hAnsi="Calibri" w:cs="Arial"/>
          <w:b/>
          <w:sz w:val="22"/>
          <w:szCs w:val="22"/>
        </w:rPr>
      </w:pPr>
      <w:r w:rsidRPr="0094528F">
        <w:rPr>
          <w:rFonts w:ascii="Calibri" w:hAnsi="Calibri" w:cs="Arial"/>
          <w:b/>
          <w:sz w:val="22"/>
          <w:szCs w:val="22"/>
        </w:rPr>
        <w:t>Chart No. 3</w:t>
      </w:r>
    </w:p>
    <w:p w:rsidR="00CD3709" w:rsidRPr="0094528F" w:rsidRDefault="00CD3709" w:rsidP="00707492">
      <w:pPr>
        <w:spacing w:line="250" w:lineRule="exact"/>
        <w:jc w:val="center"/>
        <w:rPr>
          <w:rFonts w:ascii="Calibri" w:hAnsi="Calibri" w:cs="Arial"/>
          <w:b/>
          <w:bCs/>
          <w:sz w:val="22"/>
          <w:szCs w:val="22"/>
        </w:rPr>
      </w:pPr>
      <w:r w:rsidRPr="0094528F">
        <w:rPr>
          <w:rFonts w:ascii="Calibri" w:hAnsi="Calibri" w:cs="Arial"/>
          <w:b/>
          <w:bCs/>
          <w:sz w:val="22"/>
          <w:szCs w:val="22"/>
        </w:rPr>
        <w:t>Distribution of resources from the Voluntary Contribution Fund of the RIAL</w:t>
      </w:r>
    </w:p>
    <w:p w:rsidR="00CD3709" w:rsidRPr="0094528F" w:rsidRDefault="00CD3709" w:rsidP="00707492">
      <w:pPr>
        <w:spacing w:line="250" w:lineRule="exact"/>
        <w:jc w:val="center"/>
        <w:rPr>
          <w:rFonts w:ascii="Calibri" w:hAnsi="Calibri" w:cs="Arial"/>
          <w:b/>
          <w:bCs/>
          <w:sz w:val="22"/>
          <w:szCs w:val="22"/>
        </w:rPr>
      </w:pPr>
    </w:p>
    <w:tbl>
      <w:tblPr>
        <w:tblW w:w="7560" w:type="dxa"/>
        <w:tblInd w:w="1008" w:type="dxa"/>
        <w:tblLayout w:type="fixed"/>
        <w:tblLook w:val="0000"/>
      </w:tblPr>
      <w:tblGrid>
        <w:gridCol w:w="5400"/>
        <w:gridCol w:w="2160"/>
      </w:tblGrid>
      <w:tr w:rsidR="00CD3709" w:rsidRPr="0094528F" w:rsidTr="00793724">
        <w:trPr>
          <w:trHeight w:val="366"/>
        </w:trPr>
        <w:tc>
          <w:tcPr>
            <w:tcW w:w="5400" w:type="dxa"/>
            <w:tcBorders>
              <w:top w:val="single" w:sz="12" w:space="0" w:color="auto"/>
              <w:left w:val="single" w:sz="12" w:space="0" w:color="auto"/>
              <w:bottom w:val="single" w:sz="12" w:space="0" w:color="auto"/>
              <w:right w:val="single" w:sz="12" w:space="0" w:color="auto"/>
            </w:tcBorders>
            <w:vAlign w:val="center"/>
          </w:tcPr>
          <w:p w:rsidR="00CD3709" w:rsidRPr="0094528F" w:rsidRDefault="00CD3709" w:rsidP="00793724">
            <w:pPr>
              <w:autoSpaceDE w:val="0"/>
              <w:autoSpaceDN w:val="0"/>
              <w:adjustRightInd w:val="0"/>
              <w:jc w:val="center"/>
              <w:rPr>
                <w:rFonts w:ascii="Trebuchet MS" w:hAnsi="Trebuchet MS" w:cs="Arial"/>
                <w:b/>
                <w:bCs/>
                <w:color w:val="000000"/>
                <w:sz w:val="20"/>
                <w:szCs w:val="20"/>
                <w:lang w:eastAsia="ja-JP"/>
              </w:rPr>
            </w:pPr>
            <w:r w:rsidRPr="0094528F">
              <w:rPr>
                <w:rFonts w:ascii="Trebuchet MS" w:hAnsi="Trebuchet MS" w:cs="Arial"/>
                <w:b/>
                <w:bCs/>
                <w:color w:val="000000"/>
                <w:sz w:val="20"/>
                <w:szCs w:val="20"/>
                <w:lang w:eastAsia="ja-JP"/>
              </w:rPr>
              <w:t>Activity</w:t>
            </w:r>
          </w:p>
        </w:tc>
        <w:tc>
          <w:tcPr>
            <w:tcW w:w="2160" w:type="dxa"/>
            <w:tcBorders>
              <w:top w:val="single" w:sz="12" w:space="0" w:color="auto"/>
              <w:left w:val="single" w:sz="12" w:space="0" w:color="auto"/>
              <w:bottom w:val="single" w:sz="12" w:space="0" w:color="auto"/>
              <w:right w:val="single" w:sz="12" w:space="0" w:color="auto"/>
            </w:tcBorders>
            <w:vAlign w:val="center"/>
          </w:tcPr>
          <w:p w:rsidR="00CD3709" w:rsidRPr="0094528F" w:rsidRDefault="00CD3709" w:rsidP="00793724">
            <w:pPr>
              <w:autoSpaceDE w:val="0"/>
              <w:autoSpaceDN w:val="0"/>
              <w:adjustRightInd w:val="0"/>
              <w:jc w:val="center"/>
              <w:rPr>
                <w:rFonts w:ascii="Trebuchet MS" w:hAnsi="Trebuchet MS" w:cs="Arial"/>
                <w:b/>
                <w:bCs/>
                <w:color w:val="000000"/>
                <w:sz w:val="20"/>
                <w:szCs w:val="20"/>
                <w:lang w:eastAsia="ja-JP"/>
              </w:rPr>
            </w:pPr>
            <w:r w:rsidRPr="0094528F">
              <w:rPr>
                <w:rFonts w:ascii="Trebuchet MS" w:hAnsi="Trebuchet MS" w:cs="Arial"/>
                <w:b/>
                <w:bCs/>
                <w:color w:val="000000"/>
                <w:sz w:val="20"/>
                <w:szCs w:val="20"/>
                <w:lang w:eastAsia="ja-JP"/>
              </w:rPr>
              <w:t>Budget allocated</w:t>
            </w:r>
          </w:p>
        </w:tc>
      </w:tr>
      <w:tr w:rsidR="00CD3709" w:rsidRPr="0094528F" w:rsidTr="00793724">
        <w:trPr>
          <w:trHeight w:val="474"/>
        </w:trPr>
        <w:tc>
          <w:tcPr>
            <w:tcW w:w="5400" w:type="dxa"/>
            <w:tcBorders>
              <w:top w:val="single" w:sz="2" w:space="0" w:color="000000"/>
              <w:left w:val="single" w:sz="12" w:space="0" w:color="auto"/>
              <w:bottom w:val="single" w:sz="2" w:space="0" w:color="000000"/>
              <w:right w:val="single" w:sz="12" w:space="0" w:color="auto"/>
            </w:tcBorders>
            <w:vAlign w:val="center"/>
          </w:tcPr>
          <w:p w:rsidR="00CD3709" w:rsidRPr="00764025" w:rsidRDefault="00CD3709" w:rsidP="00793724">
            <w:pPr>
              <w:autoSpaceDE w:val="0"/>
              <w:autoSpaceDN w:val="0"/>
              <w:adjustRightInd w:val="0"/>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RIAL Workshop on Youth Employ</w:t>
            </w:r>
            <w:r w:rsidRPr="008A302D">
              <w:rPr>
                <w:rFonts w:ascii="Trebuchet MS" w:hAnsi="Trebuchet MS" w:cs="Arial"/>
                <w:color w:val="000000"/>
                <w:sz w:val="18"/>
                <w:szCs w:val="18"/>
                <w:lang w:eastAsia="ja-JP"/>
              </w:rPr>
              <w:t xml:space="preserve">ment/Link between Education and </w:t>
            </w:r>
            <w:r>
              <w:rPr>
                <w:rFonts w:ascii="Trebuchet MS" w:hAnsi="Trebuchet MS" w:cs="Arial"/>
                <w:color w:val="000000"/>
                <w:sz w:val="18"/>
                <w:szCs w:val="18"/>
                <w:lang w:eastAsia="ja-JP"/>
              </w:rPr>
              <w:t>Labor</w:t>
            </w:r>
          </w:p>
        </w:tc>
        <w:tc>
          <w:tcPr>
            <w:tcW w:w="2160" w:type="dxa"/>
            <w:tcBorders>
              <w:top w:val="single" w:sz="2" w:space="0" w:color="000000"/>
              <w:left w:val="single" w:sz="12" w:space="0" w:color="auto"/>
              <w:bottom w:val="single" w:sz="2" w:space="0" w:color="000000"/>
              <w:right w:val="single" w:sz="12" w:space="0" w:color="auto"/>
            </w:tcBorders>
            <w:vAlign w:val="center"/>
          </w:tcPr>
          <w:p w:rsidR="00CD3709" w:rsidRPr="0094528F" w:rsidRDefault="00CD3709" w:rsidP="00793724">
            <w:pPr>
              <w:autoSpaceDE w:val="0"/>
              <w:autoSpaceDN w:val="0"/>
              <w:adjustRightInd w:val="0"/>
              <w:jc w:val="center"/>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25,000</w:t>
            </w:r>
          </w:p>
        </w:tc>
      </w:tr>
      <w:tr w:rsidR="00CD3709" w:rsidRPr="0094528F" w:rsidTr="00793724">
        <w:trPr>
          <w:trHeight w:val="553"/>
        </w:trPr>
        <w:tc>
          <w:tcPr>
            <w:tcW w:w="5400" w:type="dxa"/>
            <w:tcBorders>
              <w:top w:val="single" w:sz="2" w:space="0" w:color="000000"/>
              <w:left w:val="single" w:sz="12" w:space="0" w:color="auto"/>
              <w:bottom w:val="single" w:sz="8" w:space="0" w:color="auto"/>
              <w:right w:val="single" w:sz="12" w:space="0" w:color="auto"/>
            </w:tcBorders>
            <w:vAlign w:val="center"/>
          </w:tcPr>
          <w:p w:rsidR="00CD3709" w:rsidRPr="0094528F" w:rsidRDefault="00CD3709" w:rsidP="00793724">
            <w:pPr>
              <w:autoSpaceDE w:val="0"/>
              <w:autoSpaceDN w:val="0"/>
              <w:adjustRightInd w:val="0"/>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RIAL Workshop on Labor Migration</w:t>
            </w:r>
          </w:p>
        </w:tc>
        <w:tc>
          <w:tcPr>
            <w:tcW w:w="2160" w:type="dxa"/>
            <w:tcBorders>
              <w:top w:val="single" w:sz="2" w:space="0" w:color="000000"/>
              <w:left w:val="single" w:sz="12" w:space="0" w:color="auto"/>
              <w:bottom w:val="single" w:sz="2" w:space="0" w:color="000000"/>
              <w:right w:val="single" w:sz="12" w:space="0" w:color="auto"/>
            </w:tcBorders>
            <w:vAlign w:val="center"/>
          </w:tcPr>
          <w:p w:rsidR="00CD3709" w:rsidRPr="0094528F" w:rsidRDefault="00CD3709" w:rsidP="00793724">
            <w:pPr>
              <w:autoSpaceDE w:val="0"/>
              <w:autoSpaceDN w:val="0"/>
              <w:adjustRightInd w:val="0"/>
              <w:jc w:val="center"/>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25,000</w:t>
            </w:r>
          </w:p>
        </w:tc>
      </w:tr>
      <w:tr w:rsidR="00CD3709" w:rsidRPr="0094528F" w:rsidTr="00793724">
        <w:trPr>
          <w:trHeight w:val="562"/>
        </w:trPr>
        <w:tc>
          <w:tcPr>
            <w:tcW w:w="5400" w:type="dxa"/>
            <w:tcBorders>
              <w:top w:val="single" w:sz="8" w:space="0" w:color="auto"/>
              <w:left w:val="single" w:sz="12" w:space="0" w:color="auto"/>
              <w:bottom w:val="single" w:sz="2" w:space="0" w:color="000000"/>
              <w:right w:val="single" w:sz="12" w:space="0" w:color="auto"/>
            </w:tcBorders>
            <w:vAlign w:val="center"/>
          </w:tcPr>
          <w:p w:rsidR="00CD3709" w:rsidRPr="0094528F" w:rsidRDefault="00CD3709" w:rsidP="00793724">
            <w:pPr>
              <w:autoSpaceDE w:val="0"/>
              <w:autoSpaceDN w:val="0"/>
              <w:adjustRightInd w:val="0"/>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9th Call for bilateral cooperation (2016)</w:t>
            </w:r>
          </w:p>
        </w:tc>
        <w:tc>
          <w:tcPr>
            <w:tcW w:w="2160" w:type="dxa"/>
            <w:tcBorders>
              <w:top w:val="single" w:sz="2" w:space="0" w:color="000000"/>
              <w:left w:val="single" w:sz="12" w:space="0" w:color="auto"/>
              <w:bottom w:val="single" w:sz="2" w:space="0" w:color="000000"/>
              <w:right w:val="single" w:sz="12" w:space="0" w:color="auto"/>
            </w:tcBorders>
            <w:vAlign w:val="center"/>
          </w:tcPr>
          <w:p w:rsidR="00CD3709" w:rsidRPr="0094528F" w:rsidRDefault="00CD3709" w:rsidP="00793724">
            <w:pPr>
              <w:autoSpaceDE w:val="0"/>
              <w:autoSpaceDN w:val="0"/>
              <w:adjustRightInd w:val="0"/>
              <w:jc w:val="center"/>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30,000</w:t>
            </w:r>
          </w:p>
        </w:tc>
      </w:tr>
      <w:tr w:rsidR="00CD3709" w:rsidRPr="0094528F" w:rsidTr="00793724">
        <w:trPr>
          <w:trHeight w:val="490"/>
        </w:trPr>
        <w:tc>
          <w:tcPr>
            <w:tcW w:w="5400" w:type="dxa"/>
            <w:tcBorders>
              <w:top w:val="single" w:sz="2" w:space="0" w:color="000000"/>
              <w:left w:val="single" w:sz="12" w:space="0" w:color="auto"/>
              <w:bottom w:val="single" w:sz="8" w:space="0" w:color="auto"/>
              <w:right w:val="single" w:sz="12" w:space="0" w:color="auto"/>
            </w:tcBorders>
            <w:vAlign w:val="center"/>
          </w:tcPr>
          <w:p w:rsidR="00CD3709" w:rsidRPr="0094528F" w:rsidRDefault="00CD3709" w:rsidP="00793724">
            <w:pPr>
              <w:autoSpaceDE w:val="0"/>
              <w:autoSpaceDN w:val="0"/>
              <w:adjustRightInd w:val="0"/>
              <w:rPr>
                <w:rFonts w:ascii="Trebuchet MS" w:hAnsi="Trebuchet MS" w:cs="Arial"/>
                <w:color w:val="000000"/>
                <w:sz w:val="18"/>
                <w:szCs w:val="18"/>
                <w:lang w:eastAsia="ja-JP"/>
              </w:rPr>
            </w:pPr>
            <w:r w:rsidRPr="0094528F">
              <w:rPr>
                <w:rFonts w:ascii="Trebuchet MS" w:hAnsi="Trebuchet MS" w:cs="Arial"/>
                <w:color w:val="000000"/>
                <w:sz w:val="18"/>
                <w:szCs w:val="18"/>
                <w:lang w:eastAsia="ja-JP"/>
              </w:rPr>
              <w:t>10th Call for bilateral cooperation (2017)</w:t>
            </w:r>
          </w:p>
        </w:tc>
        <w:tc>
          <w:tcPr>
            <w:tcW w:w="2160" w:type="dxa"/>
            <w:tcBorders>
              <w:top w:val="single" w:sz="2" w:space="0" w:color="000000"/>
              <w:left w:val="single" w:sz="12" w:space="0" w:color="auto"/>
              <w:bottom w:val="single" w:sz="8" w:space="0" w:color="auto"/>
              <w:right w:val="single" w:sz="12" w:space="0" w:color="auto"/>
            </w:tcBorders>
            <w:vAlign w:val="center"/>
          </w:tcPr>
          <w:p w:rsidR="00CD3709" w:rsidRPr="0094528F" w:rsidRDefault="00CD3709" w:rsidP="00793724">
            <w:pPr>
              <w:autoSpaceDE w:val="0"/>
              <w:autoSpaceDN w:val="0"/>
              <w:adjustRightInd w:val="0"/>
              <w:jc w:val="center"/>
              <w:rPr>
                <w:rFonts w:ascii="Trebuchet MS" w:hAnsi="Trebuchet MS" w:cs="Arial"/>
                <w:b/>
                <w:bCs/>
                <w:i/>
                <w:iCs/>
                <w:color w:val="000000"/>
                <w:sz w:val="18"/>
                <w:szCs w:val="18"/>
                <w:lang w:eastAsia="ja-JP"/>
              </w:rPr>
            </w:pPr>
            <w:r w:rsidRPr="0094528F">
              <w:rPr>
                <w:rFonts w:ascii="Trebuchet MS" w:hAnsi="Trebuchet MS" w:cs="Arial"/>
                <w:b/>
                <w:bCs/>
                <w:i/>
                <w:iCs/>
                <w:color w:val="000000"/>
                <w:sz w:val="18"/>
                <w:szCs w:val="18"/>
                <w:lang w:eastAsia="ja-JP"/>
              </w:rPr>
              <w:t>-----*</w:t>
            </w:r>
          </w:p>
        </w:tc>
      </w:tr>
      <w:tr w:rsidR="00CD3709" w:rsidRPr="0094528F" w:rsidTr="00793724">
        <w:trPr>
          <w:trHeight w:val="447"/>
        </w:trPr>
        <w:tc>
          <w:tcPr>
            <w:tcW w:w="5400" w:type="dxa"/>
            <w:tcBorders>
              <w:top w:val="single" w:sz="12" w:space="0" w:color="auto"/>
              <w:left w:val="single" w:sz="12" w:space="0" w:color="auto"/>
              <w:bottom w:val="single" w:sz="12" w:space="0" w:color="auto"/>
              <w:right w:val="single" w:sz="12" w:space="0" w:color="auto"/>
            </w:tcBorders>
            <w:shd w:val="solid" w:color="99CCFF" w:fill="auto"/>
            <w:vAlign w:val="center"/>
          </w:tcPr>
          <w:p w:rsidR="00CD3709" w:rsidRPr="0094528F" w:rsidRDefault="00CD3709" w:rsidP="00793724">
            <w:pPr>
              <w:autoSpaceDE w:val="0"/>
              <w:autoSpaceDN w:val="0"/>
              <w:adjustRightInd w:val="0"/>
              <w:rPr>
                <w:rFonts w:ascii="Trebuchet MS" w:hAnsi="Trebuchet MS" w:cs="Arial"/>
                <w:b/>
                <w:bCs/>
                <w:color w:val="000000"/>
                <w:sz w:val="18"/>
                <w:szCs w:val="18"/>
                <w:lang w:eastAsia="ja-JP"/>
              </w:rPr>
            </w:pPr>
            <w:r w:rsidRPr="0094528F">
              <w:rPr>
                <w:rFonts w:ascii="Trebuchet MS" w:hAnsi="Trebuchet MS" w:cs="Arial"/>
                <w:b/>
                <w:bCs/>
                <w:color w:val="000000"/>
                <w:sz w:val="18"/>
                <w:szCs w:val="18"/>
                <w:lang w:eastAsia="ja-JP"/>
              </w:rPr>
              <w:t>TOTAL:</w:t>
            </w:r>
          </w:p>
        </w:tc>
        <w:tc>
          <w:tcPr>
            <w:tcW w:w="2160" w:type="dxa"/>
            <w:tcBorders>
              <w:top w:val="single" w:sz="12" w:space="0" w:color="auto"/>
              <w:left w:val="single" w:sz="12" w:space="0" w:color="auto"/>
              <w:bottom w:val="single" w:sz="12" w:space="0" w:color="auto"/>
              <w:right w:val="single" w:sz="12" w:space="0" w:color="auto"/>
            </w:tcBorders>
            <w:shd w:val="solid" w:color="99CCFF" w:fill="auto"/>
            <w:vAlign w:val="center"/>
          </w:tcPr>
          <w:p w:rsidR="00CD3709" w:rsidRPr="0094528F" w:rsidRDefault="00CD3709" w:rsidP="00793724">
            <w:pPr>
              <w:autoSpaceDE w:val="0"/>
              <w:autoSpaceDN w:val="0"/>
              <w:adjustRightInd w:val="0"/>
              <w:jc w:val="center"/>
              <w:rPr>
                <w:rFonts w:ascii="Trebuchet MS" w:hAnsi="Trebuchet MS" w:cs="Arial"/>
                <w:b/>
                <w:bCs/>
                <w:color w:val="000000"/>
                <w:sz w:val="18"/>
                <w:szCs w:val="18"/>
                <w:lang w:eastAsia="ja-JP"/>
              </w:rPr>
            </w:pPr>
            <w:r w:rsidRPr="0094528F">
              <w:rPr>
                <w:rFonts w:ascii="Trebuchet MS" w:hAnsi="Trebuchet MS" w:cs="Arial"/>
                <w:b/>
                <w:bCs/>
                <w:color w:val="000000"/>
                <w:sz w:val="18"/>
                <w:szCs w:val="18"/>
                <w:lang w:eastAsia="ja-JP"/>
              </w:rPr>
              <w:t>$</w:t>
            </w:r>
            <w:r>
              <w:rPr>
                <w:rFonts w:ascii="Trebuchet MS" w:hAnsi="Trebuchet MS" w:cs="Arial"/>
                <w:b/>
                <w:bCs/>
                <w:color w:val="000000"/>
                <w:sz w:val="18"/>
                <w:szCs w:val="18"/>
                <w:lang w:eastAsia="ja-JP"/>
              </w:rPr>
              <w:t>8</w:t>
            </w:r>
            <w:r w:rsidRPr="0094528F">
              <w:rPr>
                <w:rFonts w:ascii="Trebuchet MS" w:hAnsi="Trebuchet MS" w:cs="Arial"/>
                <w:b/>
                <w:bCs/>
                <w:color w:val="000000"/>
                <w:sz w:val="18"/>
                <w:szCs w:val="18"/>
                <w:lang w:eastAsia="ja-JP"/>
              </w:rPr>
              <w:t>0,000</w:t>
            </w:r>
          </w:p>
        </w:tc>
      </w:tr>
    </w:tbl>
    <w:p w:rsidR="00CD3709" w:rsidRPr="0094528F" w:rsidRDefault="00CD3709" w:rsidP="00707492">
      <w:pPr>
        <w:jc w:val="both"/>
        <w:rPr>
          <w:rFonts w:ascii="Calibri" w:hAnsi="Calibri" w:cs="Calibri"/>
          <w:bCs/>
          <w:sz w:val="20"/>
          <w:szCs w:val="20"/>
        </w:rPr>
      </w:pPr>
      <w:r w:rsidRPr="0094528F">
        <w:rPr>
          <w:rFonts w:ascii="Calibri" w:hAnsi="Calibri" w:cs="Calibri"/>
          <w:bCs/>
          <w:sz w:val="20"/>
          <w:szCs w:val="20"/>
        </w:rPr>
        <w:tab/>
      </w:r>
      <w:r w:rsidRPr="0094528F">
        <w:rPr>
          <w:rFonts w:ascii="Calibri" w:hAnsi="Calibri" w:cs="Calibri"/>
          <w:bCs/>
          <w:sz w:val="20"/>
          <w:szCs w:val="20"/>
        </w:rPr>
        <w:tab/>
        <w:t>* To be financed with contributions received during 2016.</w:t>
      </w:r>
    </w:p>
    <w:p w:rsidR="00CD3709" w:rsidRDefault="00CD3709" w:rsidP="00BA7E2A">
      <w:pPr>
        <w:rPr>
          <w:rFonts w:ascii="Calibri" w:hAnsi="Calibri"/>
          <w:b/>
          <w:bCs/>
          <w:caps/>
          <w:sz w:val="22"/>
          <w:szCs w:val="22"/>
        </w:rPr>
      </w:pPr>
    </w:p>
    <w:p w:rsidR="00CD3709" w:rsidRDefault="00CD3709" w:rsidP="00BA7E2A">
      <w:pPr>
        <w:rPr>
          <w:rFonts w:ascii="Calibri" w:hAnsi="Calibri"/>
          <w:b/>
          <w:bCs/>
          <w:caps/>
          <w:sz w:val="22"/>
          <w:szCs w:val="22"/>
        </w:rPr>
      </w:pPr>
    </w:p>
    <w:p w:rsidR="00CD3709" w:rsidRDefault="00CD3709" w:rsidP="00BA7E2A">
      <w:pPr>
        <w:rPr>
          <w:rFonts w:ascii="Calibri" w:hAnsi="Calibri"/>
          <w:b/>
          <w:bCs/>
          <w:caps/>
          <w:sz w:val="22"/>
          <w:szCs w:val="22"/>
        </w:rPr>
      </w:pPr>
    </w:p>
    <w:p w:rsidR="00CD3709" w:rsidRPr="0094528F" w:rsidRDefault="00CD3709" w:rsidP="00BA7E2A">
      <w:pPr>
        <w:rPr>
          <w:rFonts w:ascii="Calibri" w:hAnsi="Calibri"/>
          <w:b/>
          <w:bCs/>
          <w:caps/>
          <w:sz w:val="22"/>
          <w:szCs w:val="22"/>
        </w:rPr>
      </w:pPr>
    </w:p>
    <w:p w:rsidR="00CD3709" w:rsidRPr="007D0C02" w:rsidRDefault="00CD3709" w:rsidP="00BA7E2A">
      <w:pPr>
        <w:rPr>
          <w:rFonts w:ascii="Calibri" w:hAnsi="Calibri"/>
          <w:b/>
          <w:color w:val="0000FF"/>
          <w:sz w:val="22"/>
          <w:szCs w:val="22"/>
        </w:rPr>
      </w:pPr>
    </w:p>
    <w:p w:rsidR="00CD3709" w:rsidRPr="008E664B" w:rsidRDefault="00CD3709" w:rsidP="007D0C02">
      <w:pPr>
        <w:numPr>
          <w:ilvl w:val="0"/>
          <w:numId w:val="2"/>
        </w:numPr>
        <w:tabs>
          <w:tab w:val="clear" w:pos="1080"/>
          <w:tab w:val="num" w:pos="360"/>
        </w:tabs>
        <w:ind w:left="360" w:hanging="360"/>
        <w:jc w:val="both"/>
        <w:rPr>
          <w:rFonts w:ascii="Calibri" w:hAnsi="Calibri"/>
          <w:b/>
          <w:bCs/>
          <w:caps/>
          <w:sz w:val="22"/>
          <w:szCs w:val="22"/>
        </w:rPr>
      </w:pPr>
      <w:r w:rsidRPr="008E664B">
        <w:rPr>
          <w:rFonts w:ascii="Calibri" w:hAnsi="Calibri"/>
          <w:b/>
          <w:bCs/>
          <w:caps/>
          <w:sz w:val="22"/>
          <w:szCs w:val="22"/>
        </w:rPr>
        <w:t>OTHER ACTIVITIES AND PROPOSALS RELATED TO THE IACML</w:t>
      </w:r>
    </w:p>
    <w:p w:rsidR="00CD3709" w:rsidRDefault="00CD3709" w:rsidP="00BC0CC8">
      <w:pPr>
        <w:jc w:val="both"/>
        <w:rPr>
          <w:rFonts w:ascii="Calibri" w:hAnsi="Calibri"/>
          <w:sz w:val="22"/>
          <w:szCs w:val="22"/>
        </w:rPr>
      </w:pPr>
    </w:p>
    <w:p w:rsidR="00CD3709" w:rsidRPr="0009735A" w:rsidRDefault="00CD3709" w:rsidP="007D0C02">
      <w:pPr>
        <w:jc w:val="both"/>
        <w:rPr>
          <w:rFonts w:ascii="Calibri" w:hAnsi="Calibri"/>
          <w:sz w:val="22"/>
          <w:szCs w:val="22"/>
        </w:rPr>
      </w:pPr>
      <w:r>
        <w:rPr>
          <w:rFonts w:ascii="Calibri" w:hAnsi="Calibri"/>
          <w:sz w:val="22"/>
          <w:szCs w:val="22"/>
        </w:rPr>
        <w:t>This</w:t>
      </w:r>
      <w:r w:rsidRPr="0009735A">
        <w:rPr>
          <w:rFonts w:ascii="Calibri" w:hAnsi="Calibri"/>
          <w:sz w:val="22"/>
          <w:szCs w:val="22"/>
        </w:rPr>
        <w:t xml:space="preserve"> section</w:t>
      </w:r>
      <w:r>
        <w:rPr>
          <w:rFonts w:ascii="Calibri" w:hAnsi="Calibri"/>
          <w:sz w:val="22"/>
          <w:szCs w:val="22"/>
        </w:rPr>
        <w:t xml:space="preserve"> includes activities and initiatives that are not part of the formal Calendar of the IACML, but are relevant to its members. Further, it includes initiatives of international organizations that can contribute to the IACML process. </w:t>
      </w:r>
    </w:p>
    <w:p w:rsidR="00CD3709" w:rsidRPr="0009735A" w:rsidRDefault="00CD3709" w:rsidP="007D0C02">
      <w:pPr>
        <w:jc w:val="both"/>
        <w:rPr>
          <w:rFonts w:ascii="Calibri" w:hAnsi="Calibri"/>
          <w:color w:val="0000FF"/>
          <w:sz w:val="22"/>
          <w:szCs w:val="22"/>
        </w:rPr>
      </w:pPr>
    </w:p>
    <w:p w:rsidR="00CD3709" w:rsidRPr="0009735A" w:rsidRDefault="00CD3709" w:rsidP="007D0C02">
      <w:pPr>
        <w:jc w:val="both"/>
        <w:rPr>
          <w:rFonts w:ascii="Calibri" w:hAnsi="Calibri"/>
          <w:b/>
          <w:bCs/>
          <w:sz w:val="22"/>
          <w:szCs w:val="22"/>
          <w:u w:val="single"/>
        </w:rPr>
      </w:pPr>
      <w:r w:rsidRPr="0009735A">
        <w:rPr>
          <w:rFonts w:ascii="Calibri" w:hAnsi="Calibri"/>
          <w:b/>
          <w:bCs/>
          <w:sz w:val="22"/>
          <w:szCs w:val="22"/>
        </w:rPr>
        <w:t xml:space="preserve">6.1  </w:t>
      </w:r>
      <w:r w:rsidRPr="0009735A">
        <w:rPr>
          <w:rFonts w:ascii="Calibri" w:hAnsi="Calibri"/>
          <w:b/>
          <w:bCs/>
          <w:sz w:val="22"/>
          <w:szCs w:val="22"/>
          <w:u w:val="single"/>
        </w:rPr>
        <w:t>International Events Relevant to the Ministries of Labor and/or social actors</w:t>
      </w:r>
    </w:p>
    <w:p w:rsidR="00CD3709" w:rsidRPr="0009735A" w:rsidRDefault="00CD3709" w:rsidP="007D0C02">
      <w:pPr>
        <w:jc w:val="both"/>
        <w:rPr>
          <w:rFonts w:ascii="Calibri" w:hAnsi="Calibri"/>
          <w:color w:val="0000FF"/>
          <w:sz w:val="22"/>
          <w:szCs w:val="22"/>
        </w:rPr>
      </w:pPr>
    </w:p>
    <w:p w:rsidR="00CD3709" w:rsidRDefault="00CD3709" w:rsidP="0022159A">
      <w:pPr>
        <w:numPr>
          <w:ilvl w:val="0"/>
          <w:numId w:val="22"/>
        </w:numPr>
        <w:jc w:val="both"/>
        <w:rPr>
          <w:rFonts w:ascii="Calibri" w:hAnsi="Calibri" w:cs="Tahoma"/>
          <w:color w:val="000000"/>
          <w:sz w:val="22"/>
          <w:szCs w:val="22"/>
        </w:rPr>
      </w:pPr>
      <w:r>
        <w:rPr>
          <w:rFonts w:ascii="Calibri" w:hAnsi="Calibri" w:cs="Tahoma"/>
          <w:color w:val="000000"/>
          <w:sz w:val="22"/>
          <w:szCs w:val="22"/>
        </w:rPr>
        <w:t>International Labor Conference, ILO, to be held in Geneva from May 30</w:t>
      </w:r>
      <w:r w:rsidRPr="0022159A">
        <w:rPr>
          <w:rFonts w:ascii="Calibri" w:hAnsi="Calibri" w:cs="Tahoma"/>
          <w:color w:val="000000"/>
          <w:sz w:val="22"/>
          <w:szCs w:val="22"/>
          <w:vertAlign w:val="superscript"/>
        </w:rPr>
        <w:t>th</w:t>
      </w:r>
      <w:r>
        <w:rPr>
          <w:rFonts w:ascii="Calibri" w:hAnsi="Calibri" w:cs="Tahoma"/>
          <w:color w:val="000000"/>
          <w:sz w:val="22"/>
          <w:szCs w:val="22"/>
        </w:rPr>
        <w:t xml:space="preserve"> to June 11</w:t>
      </w:r>
      <w:r w:rsidRPr="0022159A">
        <w:rPr>
          <w:rFonts w:ascii="Calibri" w:hAnsi="Calibri" w:cs="Tahoma"/>
          <w:color w:val="000000"/>
          <w:sz w:val="22"/>
          <w:szCs w:val="22"/>
          <w:vertAlign w:val="superscript"/>
        </w:rPr>
        <w:t>th</w:t>
      </w:r>
      <w:r>
        <w:rPr>
          <w:rFonts w:ascii="Calibri" w:hAnsi="Calibri" w:cs="Tahoma"/>
          <w:color w:val="000000"/>
          <w:sz w:val="22"/>
          <w:szCs w:val="22"/>
        </w:rPr>
        <w:t>, 2016 and June 5</w:t>
      </w:r>
      <w:r w:rsidRPr="00C10B38">
        <w:rPr>
          <w:rFonts w:ascii="Calibri" w:hAnsi="Calibri" w:cs="Tahoma"/>
          <w:color w:val="000000"/>
          <w:sz w:val="22"/>
          <w:szCs w:val="22"/>
          <w:vertAlign w:val="superscript"/>
        </w:rPr>
        <w:t xml:space="preserve"> </w:t>
      </w:r>
      <w:r w:rsidRPr="0022159A">
        <w:rPr>
          <w:rFonts w:ascii="Calibri" w:hAnsi="Calibri" w:cs="Tahoma"/>
          <w:color w:val="000000"/>
          <w:sz w:val="22"/>
          <w:szCs w:val="22"/>
          <w:vertAlign w:val="superscript"/>
        </w:rPr>
        <w:t>th</w:t>
      </w:r>
      <w:r>
        <w:rPr>
          <w:rFonts w:ascii="Calibri" w:hAnsi="Calibri" w:cs="Tahoma"/>
          <w:color w:val="000000"/>
          <w:sz w:val="22"/>
          <w:szCs w:val="22"/>
        </w:rPr>
        <w:t xml:space="preserve"> to 17</w:t>
      </w:r>
      <w:r w:rsidRPr="0022159A">
        <w:rPr>
          <w:rFonts w:ascii="Calibri" w:hAnsi="Calibri" w:cs="Tahoma"/>
          <w:color w:val="000000"/>
          <w:sz w:val="22"/>
          <w:szCs w:val="22"/>
          <w:vertAlign w:val="superscript"/>
        </w:rPr>
        <w:t>th</w:t>
      </w:r>
      <w:r>
        <w:rPr>
          <w:rFonts w:ascii="Calibri" w:hAnsi="Calibri" w:cs="Tahoma"/>
          <w:color w:val="000000"/>
          <w:sz w:val="22"/>
          <w:szCs w:val="22"/>
        </w:rPr>
        <w:t xml:space="preserve">, 2017. </w:t>
      </w:r>
    </w:p>
    <w:p w:rsidR="00CD3709" w:rsidRDefault="00CD3709" w:rsidP="0022159A">
      <w:pPr>
        <w:numPr>
          <w:ilvl w:val="0"/>
          <w:numId w:val="22"/>
        </w:numPr>
        <w:jc w:val="both"/>
        <w:rPr>
          <w:rFonts w:ascii="Calibri" w:hAnsi="Calibri" w:cs="Tahoma"/>
          <w:color w:val="000000"/>
          <w:sz w:val="22"/>
          <w:szCs w:val="22"/>
        </w:rPr>
      </w:pPr>
      <w:r>
        <w:rPr>
          <w:rFonts w:ascii="Calibri" w:hAnsi="Calibri" w:cs="Tahoma"/>
          <w:color w:val="000000"/>
          <w:sz w:val="22"/>
          <w:szCs w:val="22"/>
        </w:rPr>
        <w:t>IX Ibero-American Conference of Ministers of Labour and Social Security, to be held in Cartagena, Colombia, from May 2</w:t>
      </w:r>
      <w:r w:rsidRPr="00C40623">
        <w:rPr>
          <w:rFonts w:ascii="Calibri" w:hAnsi="Calibri" w:cs="Tahoma"/>
          <w:color w:val="000000"/>
          <w:sz w:val="22"/>
          <w:szCs w:val="22"/>
          <w:vertAlign w:val="superscript"/>
        </w:rPr>
        <w:t>nd</w:t>
      </w:r>
      <w:r>
        <w:rPr>
          <w:rFonts w:ascii="Calibri" w:hAnsi="Calibri" w:cs="Tahoma"/>
          <w:color w:val="000000"/>
          <w:sz w:val="22"/>
          <w:szCs w:val="22"/>
        </w:rPr>
        <w:t xml:space="preserve"> to 3</w:t>
      </w:r>
      <w:r w:rsidRPr="00C40623">
        <w:rPr>
          <w:rFonts w:ascii="Calibri" w:hAnsi="Calibri" w:cs="Tahoma"/>
          <w:color w:val="000000"/>
          <w:sz w:val="22"/>
          <w:szCs w:val="22"/>
          <w:vertAlign w:val="superscript"/>
        </w:rPr>
        <w:t>rd</w:t>
      </w:r>
      <w:r>
        <w:rPr>
          <w:rFonts w:ascii="Calibri" w:hAnsi="Calibri" w:cs="Tahoma"/>
          <w:color w:val="000000"/>
          <w:sz w:val="22"/>
          <w:szCs w:val="22"/>
        </w:rPr>
        <w:t xml:space="preserve"> , 2016.  </w:t>
      </w:r>
    </w:p>
    <w:p w:rsidR="00CD3709" w:rsidRDefault="00CD3709" w:rsidP="0022159A">
      <w:pPr>
        <w:numPr>
          <w:ilvl w:val="0"/>
          <w:numId w:val="22"/>
        </w:numPr>
        <w:jc w:val="both"/>
        <w:rPr>
          <w:rFonts w:ascii="Calibri" w:hAnsi="Calibri" w:cs="Tahoma"/>
          <w:color w:val="000000"/>
          <w:sz w:val="22"/>
          <w:szCs w:val="22"/>
        </w:rPr>
      </w:pPr>
      <w:r>
        <w:rPr>
          <w:rFonts w:ascii="Calibri" w:hAnsi="Calibri" w:cs="Tahoma"/>
          <w:color w:val="000000"/>
          <w:sz w:val="22"/>
          <w:szCs w:val="22"/>
        </w:rPr>
        <w:t>Meeting of the Ministers of Labor of G20, to be held in Beijing, China, from July 11</w:t>
      </w:r>
      <w:r w:rsidRPr="0037168E">
        <w:rPr>
          <w:rFonts w:ascii="Calibri" w:hAnsi="Calibri" w:cs="Tahoma"/>
          <w:color w:val="000000"/>
          <w:sz w:val="22"/>
          <w:szCs w:val="22"/>
          <w:vertAlign w:val="superscript"/>
        </w:rPr>
        <w:t>th</w:t>
      </w:r>
      <w:r>
        <w:rPr>
          <w:rFonts w:ascii="Calibri" w:hAnsi="Calibri" w:cs="Tahoma"/>
          <w:color w:val="000000"/>
          <w:sz w:val="22"/>
          <w:szCs w:val="22"/>
        </w:rPr>
        <w:t xml:space="preserve"> to 13</w:t>
      </w:r>
      <w:r w:rsidRPr="0037168E">
        <w:rPr>
          <w:rFonts w:ascii="Calibri" w:hAnsi="Calibri" w:cs="Tahoma"/>
          <w:color w:val="000000"/>
          <w:sz w:val="22"/>
          <w:szCs w:val="22"/>
          <w:vertAlign w:val="superscript"/>
        </w:rPr>
        <w:t>th</w:t>
      </w:r>
      <w:r>
        <w:rPr>
          <w:rFonts w:ascii="Calibri" w:hAnsi="Calibri" w:cs="Tahoma"/>
          <w:color w:val="000000"/>
          <w:sz w:val="22"/>
          <w:szCs w:val="22"/>
        </w:rPr>
        <w:t xml:space="preserve">, 2016. </w:t>
      </w:r>
    </w:p>
    <w:p w:rsidR="00CD3709" w:rsidRDefault="00CD3709" w:rsidP="007D0C02">
      <w:pPr>
        <w:jc w:val="both"/>
        <w:rPr>
          <w:rFonts w:ascii="Calibri" w:hAnsi="Calibri" w:cs="Tahoma"/>
          <w:color w:val="000000"/>
          <w:sz w:val="22"/>
          <w:szCs w:val="22"/>
        </w:rPr>
      </w:pPr>
    </w:p>
    <w:p w:rsidR="00CD3709" w:rsidRPr="007D0C02" w:rsidRDefault="00CD3709" w:rsidP="007D0C02">
      <w:pPr>
        <w:jc w:val="both"/>
        <w:rPr>
          <w:rFonts w:ascii="Calibri" w:hAnsi="Calibri" w:cs="Tahoma"/>
          <w:color w:val="000000"/>
          <w:sz w:val="22"/>
          <w:szCs w:val="22"/>
        </w:rPr>
      </w:pPr>
      <w:r>
        <w:rPr>
          <w:rFonts w:ascii="Calibri" w:hAnsi="Calibri" w:cs="Tahoma"/>
          <w:color w:val="000000"/>
          <w:sz w:val="22"/>
          <w:szCs w:val="22"/>
        </w:rPr>
        <w:br w:type="page"/>
      </w:r>
      <w:r w:rsidRPr="0009735A">
        <w:rPr>
          <w:rFonts w:ascii="Calibri" w:hAnsi="Calibri"/>
          <w:b/>
          <w:bCs/>
          <w:sz w:val="22"/>
          <w:szCs w:val="22"/>
        </w:rPr>
        <w:t xml:space="preserve">6.2  </w:t>
      </w:r>
      <w:r w:rsidRPr="0009735A">
        <w:rPr>
          <w:rFonts w:ascii="Calibri" w:hAnsi="Calibri"/>
          <w:b/>
          <w:bCs/>
          <w:sz w:val="22"/>
          <w:szCs w:val="22"/>
          <w:u w:val="single"/>
        </w:rPr>
        <w:t>Initiatives of International Organizations that Contribute to Fulfilling the Mandates of the IACML</w:t>
      </w:r>
    </w:p>
    <w:p w:rsidR="00CD3709" w:rsidRPr="0022159A" w:rsidRDefault="00CD3709" w:rsidP="007D0C02">
      <w:pPr>
        <w:jc w:val="both"/>
        <w:rPr>
          <w:rFonts w:ascii="Calibri" w:hAnsi="Calibri" w:cs="Tahoma"/>
          <w:color w:val="000000"/>
          <w:sz w:val="22"/>
          <w:szCs w:val="22"/>
        </w:rPr>
      </w:pPr>
    </w:p>
    <w:p w:rsidR="00CD3709" w:rsidRPr="008A302D" w:rsidRDefault="00CD3709" w:rsidP="007D0C02">
      <w:pPr>
        <w:jc w:val="both"/>
        <w:rPr>
          <w:rFonts w:ascii="Calibri" w:hAnsi="Calibri" w:cs="Tahoma"/>
          <w:color w:val="000000"/>
          <w:sz w:val="22"/>
          <w:szCs w:val="22"/>
        </w:rPr>
      </w:pPr>
      <w:r w:rsidRPr="00BE20E1">
        <w:rPr>
          <w:rFonts w:ascii="Calibri" w:hAnsi="Calibri" w:cs="Tahoma"/>
          <w:color w:val="000000"/>
          <w:sz w:val="22"/>
          <w:szCs w:val="22"/>
        </w:rPr>
        <w:t xml:space="preserve">The international organizations partnered with the IACML process shared the following ongoing initiatives and projects, which can contribute to fulfilling the mandates of the </w:t>
      </w:r>
      <w:r>
        <w:rPr>
          <w:rFonts w:ascii="Calibri" w:hAnsi="Calibri" w:cs="Tahoma"/>
          <w:color w:val="000000"/>
          <w:sz w:val="22"/>
          <w:szCs w:val="22"/>
        </w:rPr>
        <w:t>X</w:t>
      </w:r>
      <w:r w:rsidRPr="00BE20E1">
        <w:rPr>
          <w:rFonts w:ascii="Calibri" w:hAnsi="Calibri" w:cs="Tahoma"/>
          <w:color w:val="000000"/>
          <w:sz w:val="22"/>
          <w:szCs w:val="22"/>
        </w:rPr>
        <w:t>I</w:t>
      </w:r>
      <w:r>
        <w:rPr>
          <w:rFonts w:ascii="Calibri" w:hAnsi="Calibri" w:cs="Tahoma"/>
          <w:color w:val="000000"/>
          <w:sz w:val="22"/>
          <w:szCs w:val="22"/>
        </w:rPr>
        <w:t>X</w:t>
      </w:r>
      <w:r w:rsidRPr="00BE20E1">
        <w:rPr>
          <w:rFonts w:ascii="Calibri" w:hAnsi="Calibri" w:cs="Tahoma"/>
          <w:color w:val="000000"/>
          <w:sz w:val="22"/>
          <w:szCs w:val="22"/>
        </w:rPr>
        <w:t xml:space="preserve"> IACML. ILO, IDB, ECLAC</w:t>
      </w:r>
      <w:r>
        <w:rPr>
          <w:rFonts w:ascii="Calibri" w:hAnsi="Calibri" w:cs="Tahoma"/>
          <w:color w:val="000000"/>
          <w:sz w:val="22"/>
          <w:szCs w:val="22"/>
        </w:rPr>
        <w:t>, PAHO</w:t>
      </w:r>
      <w:r w:rsidRPr="00BE20E1">
        <w:rPr>
          <w:rFonts w:ascii="Calibri" w:hAnsi="Calibri" w:cs="Tahoma"/>
          <w:color w:val="000000"/>
          <w:sz w:val="22"/>
          <w:szCs w:val="22"/>
        </w:rPr>
        <w:t xml:space="preserve"> and CISS made presentations</w:t>
      </w:r>
      <w:r w:rsidRPr="0009735A">
        <w:rPr>
          <w:rFonts w:ascii="Calibri" w:hAnsi="Calibri" w:cs="Tahoma"/>
          <w:color w:val="000000"/>
          <w:sz w:val="22"/>
          <w:szCs w:val="22"/>
        </w:rPr>
        <w:t xml:space="preserve"> during the meeting</w:t>
      </w:r>
      <w:r>
        <w:rPr>
          <w:rFonts w:ascii="Calibri" w:hAnsi="Calibri" w:cs="Tahoma"/>
          <w:color w:val="000000"/>
          <w:sz w:val="22"/>
          <w:szCs w:val="22"/>
        </w:rPr>
        <w:t xml:space="preserve">. </w:t>
      </w:r>
    </w:p>
    <w:p w:rsidR="00CD3709" w:rsidRDefault="00CD3709" w:rsidP="007D0C02">
      <w:pPr>
        <w:jc w:val="both"/>
        <w:rPr>
          <w:rFonts w:ascii="Calibri" w:hAnsi="Calibri" w:cs="Tahoma"/>
          <w:color w:val="000000"/>
          <w:sz w:val="22"/>
          <w:szCs w:val="22"/>
        </w:rPr>
      </w:pPr>
    </w:p>
    <w:p w:rsidR="00CD3709" w:rsidRPr="00764025" w:rsidRDefault="00CD3709" w:rsidP="007D0C02">
      <w:pPr>
        <w:jc w:val="both"/>
        <w:rPr>
          <w:rFonts w:ascii="Calibri" w:hAnsi="Calibri" w:cs="Tahoma"/>
          <w:color w:val="000000"/>
          <w:sz w:val="22"/>
          <w:szCs w:val="22"/>
        </w:rPr>
      </w:pPr>
    </w:p>
    <w:p w:rsidR="00CD3709" w:rsidRPr="008E664B" w:rsidRDefault="00CD3709" w:rsidP="00B76A07">
      <w:pPr>
        <w:jc w:val="both"/>
        <w:rPr>
          <w:rFonts w:ascii="Calibri" w:hAnsi="Calibri" w:cs="Tahoma"/>
          <w:b/>
          <w:color w:val="000000"/>
          <w:sz w:val="22"/>
          <w:szCs w:val="22"/>
        </w:rPr>
      </w:pPr>
      <w:r w:rsidRPr="008E664B">
        <w:rPr>
          <w:rFonts w:ascii="Calibri" w:hAnsi="Calibri" w:cs="Tahoma"/>
          <w:b/>
          <w:color w:val="000000"/>
          <w:sz w:val="22"/>
          <w:szCs w:val="22"/>
        </w:rPr>
        <w:t>International Labor Organization (ILO)</w:t>
      </w:r>
    </w:p>
    <w:p w:rsidR="00CD3709" w:rsidRDefault="00CD3709" w:rsidP="00B76A07">
      <w:pPr>
        <w:jc w:val="both"/>
        <w:rPr>
          <w:rFonts w:ascii="Calibri" w:hAnsi="Calibri" w:cs="Tahoma"/>
          <w:color w:val="000000"/>
          <w:sz w:val="22"/>
          <w:szCs w:val="22"/>
        </w:rPr>
      </w:pPr>
    </w:p>
    <w:p w:rsidR="00CD3709" w:rsidRDefault="00CD3709" w:rsidP="00423FB3">
      <w:pPr>
        <w:numPr>
          <w:ilvl w:val="0"/>
          <w:numId w:val="20"/>
        </w:numPr>
        <w:ind w:hanging="423"/>
        <w:jc w:val="both"/>
        <w:rPr>
          <w:rFonts w:ascii="Calibri" w:hAnsi="Calibri" w:cs="Tahoma"/>
          <w:color w:val="000000"/>
          <w:sz w:val="22"/>
          <w:szCs w:val="22"/>
        </w:rPr>
      </w:pPr>
      <w:r>
        <w:rPr>
          <w:rFonts w:ascii="Calibri" w:hAnsi="Calibri" w:cs="Tahoma"/>
          <w:color w:val="000000"/>
          <w:sz w:val="22"/>
          <w:szCs w:val="22"/>
        </w:rPr>
        <w:t>ILO presented its three main regional objectives at the moment: Productive Development Policies for inclusive growth for more and better jobs, which coincides with objective 8 of the 2030 Agenda for Sustainable Development; continue efforts to promote formalization; and strengthen respect and enforcement of labor regulations and legislation.</w:t>
      </w:r>
    </w:p>
    <w:p w:rsidR="00CD3709" w:rsidRDefault="00CD3709" w:rsidP="00423FB3">
      <w:pPr>
        <w:tabs>
          <w:tab w:val="num" w:pos="720"/>
        </w:tabs>
        <w:ind w:left="720" w:hanging="423"/>
        <w:jc w:val="both"/>
        <w:rPr>
          <w:rFonts w:ascii="Calibri" w:hAnsi="Calibri" w:cs="Tahoma"/>
          <w:color w:val="000000"/>
          <w:sz w:val="22"/>
          <w:szCs w:val="22"/>
        </w:rPr>
      </w:pPr>
    </w:p>
    <w:p w:rsidR="00CD3709" w:rsidRDefault="00CD3709" w:rsidP="00423FB3">
      <w:pPr>
        <w:numPr>
          <w:ilvl w:val="0"/>
          <w:numId w:val="20"/>
        </w:numPr>
        <w:ind w:hanging="423"/>
        <w:jc w:val="both"/>
        <w:rPr>
          <w:rFonts w:ascii="Calibri" w:hAnsi="Calibri" w:cs="Tahoma"/>
          <w:color w:val="000000"/>
          <w:sz w:val="22"/>
          <w:szCs w:val="22"/>
        </w:rPr>
      </w:pPr>
      <w:r>
        <w:rPr>
          <w:rFonts w:ascii="Calibri" w:hAnsi="Calibri" w:cs="Tahoma"/>
          <w:color w:val="000000"/>
          <w:sz w:val="22"/>
          <w:szCs w:val="22"/>
        </w:rPr>
        <w:t xml:space="preserve">It highlighted four ways to achieve these priorities: Knowledge generation, technical assistance, strengthening of employers and workers’ organizations, and dissemination of required knowledge and experiences. </w:t>
      </w:r>
    </w:p>
    <w:p w:rsidR="00CD3709" w:rsidRPr="00FA49E0" w:rsidRDefault="00CD3709" w:rsidP="00423FB3">
      <w:pPr>
        <w:tabs>
          <w:tab w:val="num" w:pos="720"/>
        </w:tabs>
        <w:ind w:left="720" w:hanging="423"/>
        <w:jc w:val="both"/>
        <w:rPr>
          <w:rFonts w:ascii="Calibri" w:hAnsi="Calibri" w:cs="Tahoma"/>
          <w:color w:val="000000"/>
          <w:sz w:val="22"/>
          <w:szCs w:val="22"/>
        </w:rPr>
      </w:pPr>
    </w:p>
    <w:p w:rsidR="00CD3709" w:rsidRPr="00FF39AF" w:rsidRDefault="00CD3709" w:rsidP="00423FB3">
      <w:pPr>
        <w:numPr>
          <w:ilvl w:val="0"/>
          <w:numId w:val="20"/>
        </w:numPr>
        <w:ind w:hanging="423"/>
        <w:jc w:val="both"/>
        <w:rPr>
          <w:rFonts w:ascii="Calibri" w:hAnsi="Calibri"/>
          <w:sz w:val="22"/>
          <w:szCs w:val="22"/>
        </w:rPr>
      </w:pPr>
      <w:r>
        <w:rPr>
          <w:rFonts w:ascii="Calibri" w:hAnsi="Calibri" w:cs="Tahoma"/>
          <w:color w:val="000000"/>
          <w:sz w:val="22"/>
          <w:szCs w:val="22"/>
        </w:rPr>
        <w:t xml:space="preserve">ILO highlighted the Programme for the Promotion of Formalization in Latin America and the Caribbean (FORLAC),  specially its efforts to identify the techniques and policies that have worked (and which ones have not) in order to reduce informality, especially focusing on some countries that are falling behind in this area. </w:t>
      </w:r>
    </w:p>
    <w:p w:rsidR="00CD3709" w:rsidRDefault="00CD3709" w:rsidP="00423FB3">
      <w:pPr>
        <w:tabs>
          <w:tab w:val="num" w:pos="720"/>
        </w:tabs>
        <w:ind w:left="720" w:hanging="423"/>
        <w:jc w:val="both"/>
        <w:rPr>
          <w:rFonts w:ascii="Calibri" w:hAnsi="Calibri" w:cs="Tahoma"/>
          <w:color w:val="000000"/>
          <w:sz w:val="22"/>
          <w:szCs w:val="22"/>
        </w:rPr>
      </w:pPr>
    </w:p>
    <w:p w:rsidR="00CD3709" w:rsidRPr="00780323" w:rsidRDefault="00CD3709" w:rsidP="00423FB3">
      <w:pPr>
        <w:numPr>
          <w:ilvl w:val="0"/>
          <w:numId w:val="20"/>
        </w:numPr>
        <w:ind w:hanging="423"/>
        <w:jc w:val="both"/>
        <w:rPr>
          <w:rFonts w:ascii="Calibri" w:hAnsi="Calibri" w:cs="Tahoma"/>
          <w:color w:val="000000"/>
          <w:sz w:val="22"/>
          <w:szCs w:val="22"/>
        </w:rPr>
      </w:pPr>
      <w:r>
        <w:rPr>
          <w:rFonts w:ascii="Calibri" w:hAnsi="Calibri" w:cs="Tahoma"/>
          <w:color w:val="000000"/>
          <w:sz w:val="22"/>
          <w:szCs w:val="22"/>
        </w:rPr>
        <w:t xml:space="preserve">Regarding their current priorities and actions, the ILO finds that there is strong correlation with the IACML’s mandates. Specifically, within the topics of Working Group 1, the ILO can contribute in: the promotion of decent work and full and productive employment within the 2030 Agenda for Sustainable Development; </w:t>
      </w:r>
      <w:r w:rsidRPr="00D5055C">
        <w:rPr>
          <w:rFonts w:ascii="Calibri" w:hAnsi="Calibri"/>
          <w:sz w:val="22"/>
          <w:szCs w:val="22"/>
        </w:rPr>
        <w:t>Integration of labor, productive, and education policies</w:t>
      </w:r>
      <w:r>
        <w:rPr>
          <w:rFonts w:ascii="Calibri" w:hAnsi="Calibri"/>
          <w:sz w:val="22"/>
          <w:szCs w:val="22"/>
        </w:rPr>
        <w:t xml:space="preserve">; </w:t>
      </w:r>
      <w:r w:rsidRPr="00D5055C">
        <w:rPr>
          <w:rFonts w:ascii="Calibri" w:hAnsi="Calibri"/>
          <w:sz w:val="22"/>
          <w:szCs w:val="22"/>
        </w:rPr>
        <w:t>Policies and programs related to youth employment and the school-to-work transition;</w:t>
      </w:r>
      <w:r>
        <w:rPr>
          <w:sz w:val="22"/>
          <w:szCs w:val="22"/>
        </w:rPr>
        <w:t xml:space="preserve"> </w:t>
      </w:r>
      <w:r>
        <w:rPr>
          <w:rFonts w:ascii="Calibri" w:hAnsi="Calibri" w:cs="Tahoma"/>
          <w:color w:val="000000"/>
          <w:sz w:val="22"/>
          <w:szCs w:val="22"/>
        </w:rPr>
        <w:t>technical and professio</w:t>
      </w:r>
      <w:r w:rsidRPr="00D5055C">
        <w:rPr>
          <w:rFonts w:ascii="Calibri" w:hAnsi="Calibri" w:cs="Tahoma"/>
          <w:color w:val="000000"/>
          <w:sz w:val="22"/>
          <w:szCs w:val="22"/>
        </w:rPr>
        <w:t xml:space="preserve">nal training; </w:t>
      </w:r>
      <w:r w:rsidRPr="00D5055C">
        <w:rPr>
          <w:rFonts w:ascii="Calibri" w:hAnsi="Calibri"/>
          <w:sz w:val="22"/>
          <w:szCs w:val="22"/>
        </w:rPr>
        <w:t>the role of sustainable enterprises to employment and to the protection of labor rights;</w:t>
      </w:r>
      <w:r>
        <w:rPr>
          <w:rFonts w:ascii="Calibri" w:hAnsi="Calibri" w:cs="Tahoma"/>
          <w:color w:val="000000"/>
          <w:sz w:val="22"/>
          <w:szCs w:val="22"/>
        </w:rPr>
        <w:t xml:space="preserve">  and the </w:t>
      </w:r>
      <w:r w:rsidRPr="00D5055C">
        <w:rPr>
          <w:rFonts w:ascii="Calibri" w:hAnsi="Calibri"/>
          <w:sz w:val="22"/>
          <w:szCs w:val="22"/>
        </w:rPr>
        <w:t>transition from the informal to the formal economy</w:t>
      </w:r>
      <w:r>
        <w:rPr>
          <w:rFonts w:ascii="Calibri" w:hAnsi="Calibri"/>
          <w:sz w:val="22"/>
          <w:szCs w:val="22"/>
        </w:rPr>
        <w:t>.</w:t>
      </w:r>
    </w:p>
    <w:p w:rsidR="00CD3709" w:rsidRDefault="00CD3709" w:rsidP="00423FB3">
      <w:pPr>
        <w:tabs>
          <w:tab w:val="num" w:pos="720"/>
        </w:tabs>
        <w:ind w:left="720" w:hanging="423"/>
        <w:jc w:val="both"/>
        <w:rPr>
          <w:rFonts w:ascii="Calibri" w:hAnsi="Calibri" w:cs="Tahoma"/>
          <w:color w:val="000000"/>
          <w:sz w:val="22"/>
          <w:szCs w:val="22"/>
        </w:rPr>
      </w:pPr>
    </w:p>
    <w:p w:rsidR="00CD3709" w:rsidRDefault="00CD3709" w:rsidP="00423FB3">
      <w:pPr>
        <w:numPr>
          <w:ilvl w:val="0"/>
          <w:numId w:val="20"/>
        </w:numPr>
        <w:ind w:hanging="423"/>
        <w:jc w:val="both"/>
        <w:rPr>
          <w:rFonts w:ascii="Calibri" w:hAnsi="Calibri" w:cs="Tahoma"/>
          <w:color w:val="000000"/>
          <w:sz w:val="22"/>
          <w:szCs w:val="22"/>
        </w:rPr>
      </w:pPr>
      <w:r>
        <w:rPr>
          <w:rFonts w:ascii="Calibri" w:hAnsi="Calibri" w:cs="Tahoma"/>
          <w:color w:val="000000"/>
          <w:sz w:val="22"/>
          <w:szCs w:val="22"/>
        </w:rPr>
        <w:t>ILO underlined that, in the subject of technical and professional training; it coordinates the</w:t>
      </w:r>
      <w:r w:rsidRPr="00780323">
        <w:rPr>
          <w:rFonts w:ascii="Calibri" w:hAnsi="Calibri" w:cs="Tahoma"/>
          <w:color w:val="000000"/>
          <w:sz w:val="22"/>
          <w:szCs w:val="22"/>
        </w:rPr>
        <w:t xml:space="preserve"> Inter-American Centre for Knowledge Development in Vocational Training (CINTERFOR)</w:t>
      </w:r>
      <w:r>
        <w:rPr>
          <w:rFonts w:ascii="Calibri" w:hAnsi="Calibri" w:cs="Tahoma"/>
          <w:color w:val="000000"/>
          <w:sz w:val="22"/>
          <w:szCs w:val="22"/>
        </w:rPr>
        <w:t xml:space="preserve">, acting as the center of a knowledge-sharing network between institutions and organisms dedicated to this topic. It also highlighted the studies made in four countries regarding the role of sustainable enterprises in employment and the protection of labor rights. </w:t>
      </w:r>
    </w:p>
    <w:p w:rsidR="00CD3709" w:rsidRDefault="00CD3709" w:rsidP="00423FB3">
      <w:pPr>
        <w:tabs>
          <w:tab w:val="num" w:pos="720"/>
        </w:tabs>
        <w:ind w:left="720" w:hanging="423"/>
        <w:jc w:val="both"/>
        <w:rPr>
          <w:rFonts w:ascii="Calibri" w:hAnsi="Calibri" w:cs="Tahoma"/>
          <w:color w:val="000000"/>
          <w:sz w:val="22"/>
          <w:szCs w:val="22"/>
        </w:rPr>
      </w:pPr>
    </w:p>
    <w:p w:rsidR="00CD3709" w:rsidRPr="008344CB" w:rsidRDefault="00CD3709" w:rsidP="00423FB3">
      <w:pPr>
        <w:numPr>
          <w:ilvl w:val="0"/>
          <w:numId w:val="20"/>
        </w:numPr>
        <w:ind w:hanging="423"/>
        <w:jc w:val="both"/>
        <w:rPr>
          <w:rFonts w:ascii="Calibri" w:hAnsi="Calibri" w:cs="Tahoma"/>
          <w:color w:val="000000"/>
          <w:sz w:val="22"/>
          <w:szCs w:val="22"/>
        </w:rPr>
      </w:pPr>
      <w:r w:rsidRPr="008344CB">
        <w:rPr>
          <w:rFonts w:ascii="Calibri" w:hAnsi="Calibri" w:cs="Tahoma"/>
          <w:color w:val="000000"/>
          <w:sz w:val="22"/>
          <w:szCs w:val="22"/>
        </w:rPr>
        <w:t xml:space="preserve">With regards to the topics of Working Group 2, the ILO can contribute in: </w:t>
      </w:r>
      <w:r w:rsidRPr="008344CB">
        <w:rPr>
          <w:rFonts w:ascii="Calibri" w:hAnsi="Calibri"/>
          <w:sz w:val="22"/>
          <w:szCs w:val="22"/>
        </w:rPr>
        <w:t>Promoting awareness of the rights of all workers, including migrant workers</w:t>
      </w:r>
      <w:r w:rsidRPr="008344CB">
        <w:rPr>
          <w:rFonts w:ascii="Calibri" w:hAnsi="Calibri" w:cs="Tahoma"/>
          <w:color w:val="000000"/>
          <w:sz w:val="22"/>
          <w:szCs w:val="22"/>
        </w:rPr>
        <w:t xml:space="preserve">; </w:t>
      </w:r>
      <w:r w:rsidRPr="008344CB">
        <w:rPr>
          <w:rFonts w:ascii="Calibri" w:hAnsi="Calibri"/>
          <w:sz w:val="22"/>
          <w:szCs w:val="22"/>
        </w:rPr>
        <w:t>enforcement of labor legislation and regulations</w:t>
      </w:r>
      <w:r w:rsidRPr="008344CB">
        <w:rPr>
          <w:rFonts w:ascii="Calibri" w:hAnsi="Calibri" w:cs="Tahoma"/>
          <w:color w:val="000000"/>
          <w:sz w:val="22"/>
          <w:szCs w:val="22"/>
        </w:rPr>
        <w:t xml:space="preserve">; </w:t>
      </w:r>
      <w:r w:rsidRPr="008344CB">
        <w:rPr>
          <w:rFonts w:ascii="Calibri" w:hAnsi="Calibri"/>
          <w:sz w:val="22"/>
          <w:szCs w:val="22"/>
        </w:rPr>
        <w:t>Strengthening of social dialogue and collective bargaining mechanisms</w:t>
      </w:r>
      <w:r w:rsidRPr="008344CB">
        <w:rPr>
          <w:rFonts w:ascii="Calibri" w:hAnsi="Calibri" w:cs="Tahoma"/>
          <w:color w:val="000000"/>
          <w:sz w:val="22"/>
          <w:szCs w:val="22"/>
        </w:rPr>
        <w:t xml:space="preserve">; </w:t>
      </w:r>
      <w:r w:rsidRPr="008344CB">
        <w:rPr>
          <w:rFonts w:ascii="Calibri" w:hAnsi="Calibri"/>
          <w:sz w:val="22"/>
          <w:szCs w:val="22"/>
        </w:rPr>
        <w:t>Prevention and eradication of child labor</w:t>
      </w:r>
      <w:r w:rsidRPr="008344CB">
        <w:rPr>
          <w:rFonts w:ascii="Calibri" w:hAnsi="Calibri" w:cs="Tahoma"/>
          <w:color w:val="000000"/>
          <w:sz w:val="22"/>
          <w:szCs w:val="22"/>
        </w:rPr>
        <w:t xml:space="preserve"> and social security. </w:t>
      </w:r>
    </w:p>
    <w:p w:rsidR="00CD3709" w:rsidRDefault="00CD3709" w:rsidP="00B76A07">
      <w:pPr>
        <w:jc w:val="both"/>
        <w:rPr>
          <w:rFonts w:ascii="Calibri" w:hAnsi="Calibri" w:cs="Tahoma"/>
          <w:b/>
          <w:color w:val="000000"/>
          <w:sz w:val="22"/>
          <w:szCs w:val="22"/>
        </w:rPr>
      </w:pPr>
    </w:p>
    <w:p w:rsidR="00CD3709" w:rsidRDefault="00CD3709" w:rsidP="00B76A07">
      <w:pPr>
        <w:jc w:val="both"/>
        <w:rPr>
          <w:rFonts w:ascii="Calibri" w:hAnsi="Calibri" w:cs="Tahoma"/>
          <w:b/>
          <w:color w:val="000000"/>
          <w:sz w:val="22"/>
          <w:szCs w:val="22"/>
        </w:rPr>
      </w:pPr>
    </w:p>
    <w:p w:rsidR="00CD3709" w:rsidRPr="00B35DE8" w:rsidRDefault="00CD3709" w:rsidP="00B76A07">
      <w:pPr>
        <w:jc w:val="both"/>
        <w:rPr>
          <w:rFonts w:ascii="Calibri" w:hAnsi="Calibri" w:cs="Tahoma"/>
          <w:b/>
          <w:color w:val="000000"/>
          <w:sz w:val="22"/>
          <w:szCs w:val="22"/>
        </w:rPr>
      </w:pPr>
      <w:r>
        <w:rPr>
          <w:rFonts w:ascii="Calibri" w:hAnsi="Calibri" w:cs="Tahoma"/>
          <w:b/>
          <w:color w:val="000000"/>
          <w:sz w:val="22"/>
          <w:szCs w:val="22"/>
        </w:rPr>
        <w:br w:type="page"/>
      </w:r>
      <w:r w:rsidRPr="00B35DE8">
        <w:rPr>
          <w:rFonts w:ascii="Calibri" w:hAnsi="Calibri" w:cs="Tahoma"/>
          <w:b/>
          <w:color w:val="000000"/>
          <w:sz w:val="22"/>
          <w:szCs w:val="22"/>
        </w:rPr>
        <w:t xml:space="preserve">Pan-American Health Organization (PAHO): </w:t>
      </w:r>
      <w:r>
        <w:rPr>
          <w:rFonts w:ascii="Calibri" w:hAnsi="Calibri" w:cs="Tahoma"/>
          <w:b/>
          <w:color w:val="000000"/>
          <w:sz w:val="22"/>
          <w:szCs w:val="22"/>
        </w:rPr>
        <w:t xml:space="preserve"> </w:t>
      </w:r>
    </w:p>
    <w:p w:rsidR="00CD3709" w:rsidRDefault="00CD3709" w:rsidP="00B76A07">
      <w:pPr>
        <w:jc w:val="both"/>
        <w:rPr>
          <w:rFonts w:ascii="Calibri" w:hAnsi="Calibri" w:cs="Tahoma"/>
          <w:color w:val="000000"/>
          <w:sz w:val="22"/>
          <w:szCs w:val="22"/>
        </w:rPr>
      </w:pPr>
    </w:p>
    <w:p w:rsidR="00CD3709" w:rsidRDefault="00CD3709" w:rsidP="00B76A07">
      <w:pPr>
        <w:numPr>
          <w:ilvl w:val="0"/>
          <w:numId w:val="21"/>
        </w:numPr>
        <w:jc w:val="both"/>
        <w:rPr>
          <w:rFonts w:ascii="Calibri" w:hAnsi="Calibri" w:cs="Tahoma"/>
          <w:sz w:val="22"/>
          <w:szCs w:val="22"/>
        </w:rPr>
      </w:pPr>
      <w:r>
        <w:rPr>
          <w:rFonts w:ascii="Calibri" w:hAnsi="Calibri" w:cs="Tahoma"/>
          <w:sz w:val="22"/>
          <w:szCs w:val="22"/>
        </w:rPr>
        <w:t xml:space="preserve">PAHO </w:t>
      </w:r>
      <w:r w:rsidRPr="00B35DE8">
        <w:rPr>
          <w:rFonts w:ascii="Calibri" w:hAnsi="Calibri" w:cs="Tahoma"/>
          <w:sz w:val="22"/>
          <w:szCs w:val="22"/>
        </w:rPr>
        <w:t>highlighted the approval</w:t>
      </w:r>
      <w:r>
        <w:rPr>
          <w:rFonts w:ascii="Calibri" w:hAnsi="Calibri" w:cs="Tahoma"/>
          <w:sz w:val="22"/>
          <w:szCs w:val="22"/>
        </w:rPr>
        <w:t xml:space="preserve"> of the 2015-2025 Plan of Action on Worker’s Health, </w:t>
      </w:r>
      <w:r w:rsidRPr="00B35DE8">
        <w:rPr>
          <w:rFonts w:ascii="Calibri" w:hAnsi="Calibri" w:cs="Tahoma"/>
          <w:sz w:val="22"/>
          <w:szCs w:val="22"/>
        </w:rPr>
        <w:t xml:space="preserve">which was </w:t>
      </w:r>
      <w:r>
        <w:rPr>
          <w:rFonts w:ascii="Calibri" w:hAnsi="Calibri" w:cs="Tahoma"/>
          <w:sz w:val="22"/>
          <w:szCs w:val="22"/>
        </w:rPr>
        <w:t>presented</w:t>
      </w:r>
      <w:r w:rsidRPr="00B35DE8">
        <w:rPr>
          <w:rFonts w:ascii="Calibri" w:hAnsi="Calibri" w:cs="Tahoma"/>
          <w:sz w:val="22"/>
          <w:szCs w:val="22"/>
        </w:rPr>
        <w:t xml:space="preserve"> during the XIX IACML in Cancun</w:t>
      </w:r>
      <w:r>
        <w:rPr>
          <w:rFonts w:ascii="Calibri" w:hAnsi="Calibri" w:cs="Tahoma"/>
          <w:sz w:val="22"/>
          <w:szCs w:val="22"/>
        </w:rPr>
        <w:t>. The objective of the Plan of Action is to s</w:t>
      </w:r>
      <w:r w:rsidRPr="00B35DE8">
        <w:rPr>
          <w:rFonts w:ascii="Calibri" w:hAnsi="Calibri" w:cs="Tahoma"/>
          <w:sz w:val="22"/>
          <w:szCs w:val="22"/>
        </w:rPr>
        <w:t>trengthen</w:t>
      </w:r>
      <w:r>
        <w:rPr>
          <w:rFonts w:ascii="Calibri" w:hAnsi="Calibri" w:cs="Tahoma"/>
          <w:sz w:val="22"/>
          <w:szCs w:val="22"/>
        </w:rPr>
        <w:t xml:space="preserve"> </w:t>
      </w:r>
      <w:r w:rsidRPr="00B35DE8">
        <w:rPr>
          <w:rFonts w:ascii="Calibri" w:hAnsi="Calibri" w:cs="Tahoma"/>
          <w:sz w:val="22"/>
          <w:szCs w:val="22"/>
        </w:rPr>
        <w:t xml:space="preserve">the </w:t>
      </w:r>
      <w:r>
        <w:rPr>
          <w:rFonts w:ascii="Calibri" w:hAnsi="Calibri" w:cs="Tahoma"/>
          <w:sz w:val="22"/>
          <w:szCs w:val="22"/>
        </w:rPr>
        <w:t>intersector</w:t>
      </w:r>
      <w:r w:rsidRPr="00B35DE8">
        <w:rPr>
          <w:rFonts w:ascii="Calibri" w:hAnsi="Calibri" w:cs="Tahoma"/>
          <w:sz w:val="22"/>
          <w:szCs w:val="22"/>
        </w:rPr>
        <w:t xml:space="preserve">al response to deliver integral attention to </w:t>
      </w:r>
      <w:r>
        <w:rPr>
          <w:rFonts w:ascii="Calibri" w:hAnsi="Calibri" w:cs="Tahoma"/>
          <w:sz w:val="22"/>
          <w:szCs w:val="22"/>
        </w:rPr>
        <w:t xml:space="preserve">worker’s health </w:t>
      </w:r>
      <w:r w:rsidRPr="00B76A07">
        <w:rPr>
          <w:rFonts w:ascii="Calibri" w:hAnsi="Calibri" w:cs="Tahoma"/>
          <w:sz w:val="22"/>
          <w:szCs w:val="22"/>
        </w:rPr>
        <w:t xml:space="preserve">through the execution of updated policies, plans and regulations. </w:t>
      </w:r>
    </w:p>
    <w:p w:rsidR="00CD3709" w:rsidRDefault="00CD3709" w:rsidP="00764025">
      <w:pPr>
        <w:ind w:left="288"/>
        <w:jc w:val="both"/>
        <w:rPr>
          <w:rFonts w:ascii="Calibri" w:hAnsi="Calibri" w:cs="Tahoma"/>
          <w:sz w:val="22"/>
          <w:szCs w:val="22"/>
        </w:rPr>
      </w:pPr>
    </w:p>
    <w:p w:rsidR="00CD3709" w:rsidRDefault="00CD3709" w:rsidP="007C3DCA">
      <w:pPr>
        <w:numPr>
          <w:ilvl w:val="0"/>
          <w:numId w:val="21"/>
        </w:numPr>
        <w:jc w:val="both"/>
        <w:rPr>
          <w:rFonts w:ascii="Calibri" w:hAnsi="Calibri" w:cs="Tahoma"/>
          <w:sz w:val="22"/>
          <w:szCs w:val="22"/>
        </w:rPr>
      </w:pPr>
      <w:r>
        <w:rPr>
          <w:rFonts w:ascii="Calibri" w:hAnsi="Calibri" w:cs="Tahoma"/>
          <w:sz w:val="22"/>
          <w:szCs w:val="22"/>
        </w:rPr>
        <w:t xml:space="preserve">Their proposals to the IACML include: </w:t>
      </w:r>
      <w:r w:rsidRPr="007C3DCA">
        <w:rPr>
          <w:rFonts w:ascii="Calibri" w:hAnsi="Calibri" w:cs="Tahoma"/>
          <w:sz w:val="22"/>
          <w:szCs w:val="22"/>
        </w:rPr>
        <w:t>Develop and update legislation and technical</w:t>
      </w:r>
      <w:r>
        <w:rPr>
          <w:rFonts w:ascii="Calibri" w:hAnsi="Calibri" w:cs="Tahoma"/>
          <w:sz w:val="22"/>
          <w:szCs w:val="22"/>
        </w:rPr>
        <w:t xml:space="preserve"> regulations on workers’ health; iden</w:t>
      </w:r>
      <w:r w:rsidRPr="007C3DCA">
        <w:rPr>
          <w:rFonts w:ascii="Calibri" w:hAnsi="Calibri" w:cs="Tahoma"/>
          <w:sz w:val="22"/>
          <w:szCs w:val="22"/>
        </w:rPr>
        <w:t>tify, evaluate, prevent, and control hazardous conditions</w:t>
      </w:r>
      <w:r>
        <w:rPr>
          <w:rFonts w:ascii="Calibri" w:hAnsi="Calibri" w:cs="Tahoma"/>
          <w:sz w:val="22"/>
          <w:szCs w:val="22"/>
        </w:rPr>
        <w:t xml:space="preserve"> and exposures in the workplace; increase </w:t>
      </w:r>
      <w:r w:rsidRPr="007C3DCA">
        <w:rPr>
          <w:rFonts w:ascii="Calibri" w:hAnsi="Calibri" w:cs="Tahoma"/>
          <w:sz w:val="22"/>
          <w:szCs w:val="22"/>
        </w:rPr>
        <w:t>access to and coverage</w:t>
      </w:r>
      <w:r>
        <w:rPr>
          <w:rFonts w:ascii="Calibri" w:hAnsi="Calibri" w:cs="Tahoma"/>
          <w:sz w:val="22"/>
          <w:szCs w:val="22"/>
        </w:rPr>
        <w:t xml:space="preserve"> of health services for workers; p</w:t>
      </w:r>
      <w:r w:rsidRPr="007C3DCA">
        <w:rPr>
          <w:rFonts w:ascii="Calibri" w:hAnsi="Calibri" w:cs="Tahoma"/>
          <w:sz w:val="22"/>
          <w:szCs w:val="22"/>
        </w:rPr>
        <w:t>romote health, well-being, an</w:t>
      </w:r>
      <w:r>
        <w:rPr>
          <w:rFonts w:ascii="Calibri" w:hAnsi="Calibri" w:cs="Tahoma"/>
          <w:sz w:val="22"/>
          <w:szCs w:val="22"/>
        </w:rPr>
        <w:t>d healthy work in the workplace; s</w:t>
      </w:r>
      <w:r w:rsidRPr="007C3DCA">
        <w:rPr>
          <w:rFonts w:ascii="Calibri" w:hAnsi="Calibri" w:cs="Tahoma"/>
          <w:sz w:val="22"/>
          <w:szCs w:val="22"/>
        </w:rPr>
        <w:t>trengthen diagnostic capacity, information systems, epidemiological surveillance</w:t>
      </w:r>
      <w:r>
        <w:rPr>
          <w:rFonts w:ascii="Calibri" w:hAnsi="Calibri" w:cs="Tahoma"/>
          <w:sz w:val="22"/>
          <w:szCs w:val="22"/>
        </w:rPr>
        <w:t xml:space="preserve"> a</w:t>
      </w:r>
      <w:r w:rsidRPr="007C3DCA">
        <w:rPr>
          <w:rFonts w:ascii="Calibri" w:hAnsi="Calibri" w:cs="Tahoma"/>
          <w:sz w:val="22"/>
          <w:szCs w:val="22"/>
        </w:rPr>
        <w:t>nd research in the field of occupational diseases, injuries, and deaths.</w:t>
      </w:r>
    </w:p>
    <w:p w:rsidR="00CD3709" w:rsidRPr="00B76A07" w:rsidRDefault="00CD3709" w:rsidP="000E5C59">
      <w:pPr>
        <w:jc w:val="both"/>
        <w:rPr>
          <w:rFonts w:ascii="Calibri" w:hAnsi="Calibri" w:cs="Tahoma"/>
          <w:sz w:val="22"/>
          <w:szCs w:val="22"/>
        </w:rPr>
      </w:pPr>
    </w:p>
    <w:p w:rsidR="00CD3709" w:rsidRPr="009D3EC7" w:rsidRDefault="00CD3709" w:rsidP="000E5C59">
      <w:pPr>
        <w:numPr>
          <w:ilvl w:val="0"/>
          <w:numId w:val="21"/>
        </w:numPr>
        <w:jc w:val="both"/>
        <w:rPr>
          <w:rFonts w:ascii="Calibri" w:hAnsi="Calibri" w:cs="Tahoma"/>
          <w:sz w:val="22"/>
          <w:szCs w:val="22"/>
        </w:rPr>
      </w:pPr>
      <w:r w:rsidRPr="00B76A07">
        <w:rPr>
          <w:rFonts w:ascii="Calibri" w:hAnsi="Calibri" w:cs="Tahoma"/>
          <w:sz w:val="22"/>
          <w:szCs w:val="22"/>
        </w:rPr>
        <w:t>PAHO proposed joint activities with the IACML, such as the celebration of the World Day for Safety and Health at Work (April 28</w:t>
      </w:r>
      <w:r w:rsidRPr="00B76A07">
        <w:rPr>
          <w:rFonts w:ascii="Calibri" w:hAnsi="Calibri" w:cs="Tahoma"/>
          <w:sz w:val="22"/>
          <w:szCs w:val="22"/>
          <w:vertAlign w:val="superscript"/>
        </w:rPr>
        <w:t>th</w:t>
      </w:r>
      <w:r w:rsidRPr="00B76A07">
        <w:rPr>
          <w:rFonts w:ascii="Calibri" w:hAnsi="Calibri" w:cs="Tahoma"/>
          <w:sz w:val="22"/>
          <w:szCs w:val="22"/>
        </w:rPr>
        <w:t xml:space="preserve">) through a Webinar, a joint workshop IACML-OAS-RIAL-PAHO about Occupational Health and Safety, a series of Webinars on health, work and mining, as well as technical assistance from PAHO to countries that request it. The proposal of a joint celebration of the World Day for Safety and Health at Work was accepted. </w:t>
      </w:r>
    </w:p>
    <w:p w:rsidR="00CD3709" w:rsidRPr="009D3EC7" w:rsidRDefault="00CD3709" w:rsidP="000E5C59">
      <w:pPr>
        <w:jc w:val="both"/>
        <w:rPr>
          <w:rFonts w:ascii="Calibri" w:hAnsi="Calibri" w:cs="Tahoma"/>
          <w:sz w:val="22"/>
          <w:szCs w:val="22"/>
        </w:rPr>
      </w:pPr>
    </w:p>
    <w:p w:rsidR="00CD3709" w:rsidRDefault="00CD3709" w:rsidP="00423FB3">
      <w:pPr>
        <w:jc w:val="both"/>
        <w:rPr>
          <w:rFonts w:ascii="Calibri" w:hAnsi="Calibri" w:cs="Tahoma"/>
          <w:b/>
          <w:sz w:val="22"/>
          <w:szCs w:val="22"/>
        </w:rPr>
      </w:pPr>
    </w:p>
    <w:p w:rsidR="00CD3709" w:rsidRPr="007753D3" w:rsidRDefault="00CD3709" w:rsidP="00423FB3">
      <w:pPr>
        <w:jc w:val="both"/>
        <w:rPr>
          <w:rFonts w:ascii="Calibri" w:hAnsi="Calibri" w:cs="Tahoma"/>
          <w:b/>
          <w:sz w:val="22"/>
          <w:szCs w:val="22"/>
        </w:rPr>
      </w:pPr>
      <w:r w:rsidRPr="007753D3">
        <w:rPr>
          <w:rFonts w:ascii="Calibri" w:hAnsi="Calibri" w:cs="Tahoma"/>
          <w:b/>
          <w:sz w:val="22"/>
          <w:szCs w:val="22"/>
        </w:rPr>
        <w:t xml:space="preserve">Economic Commission for Latin America and the Caribbean (ECLAC): </w:t>
      </w:r>
    </w:p>
    <w:p w:rsidR="00CD3709" w:rsidRPr="007753D3" w:rsidRDefault="00CD3709" w:rsidP="000E5C59">
      <w:pPr>
        <w:ind w:left="288"/>
        <w:jc w:val="both"/>
        <w:rPr>
          <w:rFonts w:ascii="Calibri" w:hAnsi="Calibri" w:cs="Tahoma"/>
          <w:b/>
          <w:sz w:val="22"/>
          <w:szCs w:val="22"/>
        </w:rPr>
      </w:pPr>
    </w:p>
    <w:p w:rsidR="00CD3709" w:rsidRDefault="00CD3709" w:rsidP="000E5C59">
      <w:pPr>
        <w:numPr>
          <w:ilvl w:val="0"/>
          <w:numId w:val="26"/>
        </w:numPr>
        <w:tabs>
          <w:tab w:val="left" w:pos="360"/>
        </w:tabs>
        <w:jc w:val="both"/>
        <w:rPr>
          <w:rFonts w:ascii="Calibri" w:hAnsi="Calibri" w:cs="Tahoma"/>
          <w:sz w:val="22"/>
          <w:szCs w:val="22"/>
        </w:rPr>
      </w:pPr>
      <w:r w:rsidRPr="007753D3">
        <w:rPr>
          <w:rFonts w:ascii="Calibri" w:hAnsi="Calibri" w:cs="Tahoma"/>
          <w:sz w:val="22"/>
          <w:szCs w:val="22"/>
        </w:rPr>
        <w:t xml:space="preserve">ECLAC highlighted the document presented during the Regional Conference on Social Development of 2015, which underscores the importance of productive employment and decent work to improve social indicators in the region. It includes policy recommendations to improve coordination between social policies and the labor market. </w:t>
      </w:r>
    </w:p>
    <w:p w:rsidR="00CD3709" w:rsidRPr="007753D3" w:rsidRDefault="00CD3709" w:rsidP="00222639">
      <w:pPr>
        <w:tabs>
          <w:tab w:val="left" w:pos="360"/>
        </w:tabs>
        <w:ind w:left="792"/>
        <w:jc w:val="both"/>
        <w:rPr>
          <w:rFonts w:ascii="Calibri" w:hAnsi="Calibri" w:cs="Tahoma"/>
          <w:sz w:val="22"/>
          <w:szCs w:val="22"/>
        </w:rPr>
      </w:pPr>
    </w:p>
    <w:p w:rsidR="00CD3709" w:rsidRDefault="00CD3709" w:rsidP="000E5C59">
      <w:pPr>
        <w:numPr>
          <w:ilvl w:val="0"/>
          <w:numId w:val="26"/>
        </w:numPr>
        <w:tabs>
          <w:tab w:val="left" w:pos="360"/>
        </w:tabs>
        <w:jc w:val="both"/>
        <w:rPr>
          <w:rFonts w:ascii="Calibri" w:hAnsi="Calibri" w:cs="Tahoma"/>
          <w:sz w:val="22"/>
          <w:szCs w:val="22"/>
        </w:rPr>
      </w:pPr>
      <w:r w:rsidRPr="007753D3">
        <w:rPr>
          <w:rFonts w:ascii="Calibri" w:hAnsi="Calibri" w:cs="Tahoma"/>
          <w:sz w:val="22"/>
          <w:szCs w:val="22"/>
        </w:rPr>
        <w:t xml:space="preserve">Joint project with other United Nations Commissions, which will develop a toolbox on the design and implementation of public policies for equality. It will include an analysis on labor market policies and its role in promoting equality. </w:t>
      </w:r>
    </w:p>
    <w:p w:rsidR="00CD3709" w:rsidRPr="007753D3" w:rsidRDefault="00CD3709" w:rsidP="00222639">
      <w:pPr>
        <w:tabs>
          <w:tab w:val="left" w:pos="360"/>
        </w:tabs>
        <w:jc w:val="both"/>
        <w:rPr>
          <w:rFonts w:ascii="Calibri" w:hAnsi="Calibri" w:cs="Tahoma"/>
          <w:sz w:val="22"/>
          <w:szCs w:val="22"/>
        </w:rPr>
      </w:pPr>
    </w:p>
    <w:p w:rsidR="00CD3709" w:rsidRDefault="00CD3709" w:rsidP="000E5C59">
      <w:pPr>
        <w:numPr>
          <w:ilvl w:val="0"/>
          <w:numId w:val="26"/>
        </w:numPr>
        <w:tabs>
          <w:tab w:val="left" w:pos="360"/>
        </w:tabs>
        <w:jc w:val="both"/>
        <w:rPr>
          <w:rFonts w:ascii="Calibri" w:hAnsi="Calibri" w:cs="Tahoma"/>
          <w:sz w:val="22"/>
          <w:szCs w:val="22"/>
        </w:rPr>
      </w:pPr>
      <w:r w:rsidRPr="007753D3">
        <w:rPr>
          <w:rFonts w:ascii="Calibri" w:hAnsi="Calibri" w:cs="Tahoma"/>
          <w:sz w:val="22"/>
          <w:szCs w:val="22"/>
        </w:rPr>
        <w:t>Implementation of diagnostics o</w:t>
      </w:r>
      <w:r>
        <w:rPr>
          <w:rFonts w:ascii="Calibri" w:hAnsi="Calibri" w:cs="Tahoma"/>
          <w:sz w:val="22"/>
          <w:szCs w:val="22"/>
        </w:rPr>
        <w:t>n</w:t>
      </w:r>
      <w:r w:rsidRPr="007753D3">
        <w:rPr>
          <w:rFonts w:ascii="Calibri" w:hAnsi="Calibri" w:cs="Tahoma"/>
          <w:sz w:val="22"/>
          <w:szCs w:val="22"/>
        </w:rPr>
        <w:t xml:space="preserve"> national training and formation systems which will highlight strengths and weaknesses, as well as programs on the subject that promotes inclusion. This project is on-going in 5 countries of the region. </w:t>
      </w:r>
    </w:p>
    <w:p w:rsidR="00CD3709" w:rsidRPr="007753D3" w:rsidRDefault="00CD3709" w:rsidP="00222639">
      <w:pPr>
        <w:tabs>
          <w:tab w:val="left" w:pos="360"/>
        </w:tabs>
        <w:jc w:val="both"/>
        <w:rPr>
          <w:rFonts w:ascii="Calibri" w:hAnsi="Calibri" w:cs="Tahoma"/>
          <w:sz w:val="22"/>
          <w:szCs w:val="22"/>
        </w:rPr>
      </w:pPr>
    </w:p>
    <w:p w:rsidR="00CD3709" w:rsidRDefault="00CD3709" w:rsidP="000E5C59">
      <w:pPr>
        <w:numPr>
          <w:ilvl w:val="0"/>
          <w:numId w:val="26"/>
        </w:numPr>
        <w:tabs>
          <w:tab w:val="left" w:pos="360"/>
        </w:tabs>
        <w:jc w:val="both"/>
        <w:rPr>
          <w:rFonts w:ascii="Calibri" w:hAnsi="Calibri" w:cs="Tahoma"/>
          <w:sz w:val="22"/>
          <w:szCs w:val="22"/>
        </w:rPr>
      </w:pPr>
      <w:r w:rsidRPr="007753D3">
        <w:rPr>
          <w:rFonts w:ascii="Calibri" w:hAnsi="Calibri" w:cs="Tahoma"/>
          <w:sz w:val="22"/>
          <w:szCs w:val="22"/>
        </w:rPr>
        <w:t xml:space="preserve">One of the biggest </w:t>
      </w:r>
      <w:r>
        <w:rPr>
          <w:rFonts w:ascii="Calibri" w:hAnsi="Calibri" w:cs="Tahoma"/>
          <w:sz w:val="22"/>
          <w:szCs w:val="22"/>
        </w:rPr>
        <w:t>common characteristics</w:t>
      </w:r>
      <w:r w:rsidRPr="007753D3">
        <w:rPr>
          <w:rFonts w:ascii="Calibri" w:hAnsi="Calibri" w:cs="Tahoma"/>
          <w:sz w:val="22"/>
          <w:szCs w:val="22"/>
        </w:rPr>
        <w:t xml:space="preserve"> between ECLAC and the IACML is the importance given to th</w:t>
      </w:r>
      <w:r>
        <w:rPr>
          <w:rFonts w:ascii="Calibri" w:hAnsi="Calibri" w:cs="Tahoma"/>
          <w:sz w:val="22"/>
          <w:szCs w:val="22"/>
        </w:rPr>
        <w:t>e link between education and labor.</w:t>
      </w:r>
      <w:r w:rsidRPr="007753D3">
        <w:rPr>
          <w:rFonts w:ascii="Calibri" w:hAnsi="Calibri" w:cs="Tahoma"/>
          <w:sz w:val="22"/>
          <w:szCs w:val="22"/>
        </w:rPr>
        <w:t xml:space="preserve"> ECLAC is carrying out a project to strengthen this link and promote political dialogue on the subject, with participation of academic, employers and workers’ organizations, as well as governments. </w:t>
      </w:r>
    </w:p>
    <w:p w:rsidR="00CD3709" w:rsidRPr="007753D3" w:rsidRDefault="00CD3709" w:rsidP="00222639">
      <w:pPr>
        <w:tabs>
          <w:tab w:val="left" w:pos="360"/>
        </w:tabs>
        <w:jc w:val="both"/>
        <w:rPr>
          <w:rFonts w:ascii="Calibri" w:hAnsi="Calibri" w:cs="Tahoma"/>
          <w:sz w:val="22"/>
          <w:szCs w:val="22"/>
        </w:rPr>
      </w:pPr>
    </w:p>
    <w:p w:rsidR="00CD3709" w:rsidRPr="007753D3" w:rsidRDefault="00CD3709" w:rsidP="000E5C59">
      <w:pPr>
        <w:numPr>
          <w:ilvl w:val="0"/>
          <w:numId w:val="26"/>
        </w:numPr>
        <w:tabs>
          <w:tab w:val="left" w:pos="360"/>
        </w:tabs>
        <w:jc w:val="both"/>
        <w:rPr>
          <w:rFonts w:ascii="Calibri" w:hAnsi="Calibri" w:cs="Tahoma"/>
          <w:sz w:val="22"/>
          <w:szCs w:val="22"/>
        </w:rPr>
      </w:pPr>
      <w:r w:rsidRPr="007753D3">
        <w:rPr>
          <w:rFonts w:ascii="Calibri" w:hAnsi="Calibri" w:cs="Tahoma"/>
          <w:sz w:val="22"/>
          <w:szCs w:val="22"/>
        </w:rPr>
        <w:t>Regarding youth employment, another IACML</w:t>
      </w:r>
      <w:r>
        <w:rPr>
          <w:rFonts w:ascii="Calibri" w:hAnsi="Calibri" w:cs="Tahoma"/>
          <w:sz w:val="22"/>
          <w:szCs w:val="22"/>
        </w:rPr>
        <w:t xml:space="preserve"> </w:t>
      </w:r>
      <w:r w:rsidRPr="007753D3">
        <w:rPr>
          <w:rFonts w:ascii="Calibri" w:hAnsi="Calibri" w:cs="Tahoma"/>
          <w:sz w:val="22"/>
          <w:szCs w:val="22"/>
        </w:rPr>
        <w:t>priority topic, ECLAC highlighted the toolbox “Social Inclusion of youth in the context of increasing violence and insecurity with a focus on Central America”, for analysis and policy design; the Youth Observatory for Latin America and the Caribbean, which includes policies and programs relating to thi</w:t>
      </w:r>
      <w:r>
        <w:rPr>
          <w:rFonts w:ascii="Calibri" w:hAnsi="Calibri" w:cs="Tahoma"/>
          <w:sz w:val="22"/>
          <w:szCs w:val="22"/>
        </w:rPr>
        <w:t>s topic; and a study on school to</w:t>
      </w:r>
      <w:r w:rsidRPr="007753D3">
        <w:rPr>
          <w:rFonts w:ascii="Calibri" w:hAnsi="Calibri" w:cs="Tahoma"/>
          <w:sz w:val="22"/>
          <w:szCs w:val="22"/>
        </w:rPr>
        <w:t xml:space="preserve"> work transition, which highlights similarities and differences between countries. </w:t>
      </w:r>
    </w:p>
    <w:p w:rsidR="00CD3709" w:rsidRPr="007753D3" w:rsidRDefault="00CD3709" w:rsidP="001E6995">
      <w:pPr>
        <w:tabs>
          <w:tab w:val="left" w:pos="360"/>
        </w:tabs>
        <w:jc w:val="both"/>
        <w:rPr>
          <w:rFonts w:ascii="Calibri" w:hAnsi="Calibri" w:cs="Tahoma"/>
          <w:sz w:val="22"/>
          <w:szCs w:val="22"/>
        </w:rPr>
      </w:pPr>
    </w:p>
    <w:p w:rsidR="00CD3709" w:rsidRPr="007753D3" w:rsidRDefault="00CD3709" w:rsidP="001E6995">
      <w:pPr>
        <w:tabs>
          <w:tab w:val="left" w:pos="360"/>
        </w:tabs>
        <w:jc w:val="both"/>
        <w:rPr>
          <w:rFonts w:ascii="Calibri" w:hAnsi="Calibri" w:cs="Tahoma"/>
          <w:b/>
          <w:sz w:val="22"/>
          <w:szCs w:val="22"/>
        </w:rPr>
      </w:pPr>
      <w:r>
        <w:rPr>
          <w:rFonts w:ascii="Calibri" w:hAnsi="Calibri" w:cs="Tahoma"/>
          <w:b/>
          <w:sz w:val="22"/>
          <w:szCs w:val="22"/>
        </w:rPr>
        <w:br w:type="page"/>
      </w:r>
      <w:r w:rsidRPr="007753D3">
        <w:rPr>
          <w:rFonts w:ascii="Calibri" w:hAnsi="Calibri" w:cs="Tahoma"/>
          <w:b/>
          <w:sz w:val="22"/>
          <w:szCs w:val="22"/>
        </w:rPr>
        <w:t>Inter-American Confe</w:t>
      </w:r>
      <w:r>
        <w:rPr>
          <w:rFonts w:ascii="Calibri" w:hAnsi="Calibri" w:cs="Tahoma"/>
          <w:b/>
          <w:sz w:val="22"/>
          <w:szCs w:val="22"/>
        </w:rPr>
        <w:t>rence on Social Security (CISS):</w:t>
      </w:r>
    </w:p>
    <w:p w:rsidR="00CD3709" w:rsidRPr="007753D3" w:rsidRDefault="00CD3709" w:rsidP="001E6995">
      <w:pPr>
        <w:tabs>
          <w:tab w:val="left" w:pos="360"/>
        </w:tabs>
        <w:jc w:val="both"/>
        <w:rPr>
          <w:rFonts w:ascii="Calibri" w:hAnsi="Calibri" w:cs="Tahoma"/>
          <w:sz w:val="22"/>
          <w:szCs w:val="22"/>
        </w:rPr>
      </w:pPr>
    </w:p>
    <w:p w:rsidR="00CD3709" w:rsidRDefault="00CD3709" w:rsidP="001E6995">
      <w:pPr>
        <w:numPr>
          <w:ilvl w:val="0"/>
          <w:numId w:val="28"/>
        </w:numPr>
        <w:tabs>
          <w:tab w:val="left" w:pos="360"/>
        </w:tabs>
        <w:jc w:val="both"/>
        <w:rPr>
          <w:rFonts w:ascii="Calibri" w:hAnsi="Calibri" w:cs="Tahoma"/>
          <w:sz w:val="22"/>
          <w:szCs w:val="22"/>
        </w:rPr>
      </w:pPr>
      <w:r w:rsidRPr="007753D3">
        <w:rPr>
          <w:rFonts w:ascii="Calibri" w:hAnsi="Calibri" w:cs="Tahoma"/>
          <w:sz w:val="22"/>
          <w:szCs w:val="22"/>
        </w:rPr>
        <w:t xml:space="preserve">CISS has worked closely with the IACML recently, especially in the development of the study on social security agreements. It </w:t>
      </w:r>
      <w:r>
        <w:rPr>
          <w:rFonts w:ascii="Calibri" w:hAnsi="Calibri" w:cs="Tahoma"/>
          <w:sz w:val="22"/>
          <w:szCs w:val="22"/>
        </w:rPr>
        <w:t>concurs</w:t>
      </w:r>
      <w:r w:rsidRPr="007753D3">
        <w:rPr>
          <w:rFonts w:ascii="Calibri" w:hAnsi="Calibri" w:cs="Tahoma"/>
          <w:sz w:val="22"/>
          <w:szCs w:val="22"/>
        </w:rPr>
        <w:t xml:space="preserve"> with the IACML on the importance of continuing to work on the s</w:t>
      </w:r>
      <w:r>
        <w:rPr>
          <w:rFonts w:ascii="Calibri" w:hAnsi="Calibri" w:cs="Tahoma"/>
          <w:sz w:val="22"/>
          <w:szCs w:val="22"/>
        </w:rPr>
        <w:t xml:space="preserve">ubject, and reaffirmed its commitment </w:t>
      </w:r>
      <w:r w:rsidRPr="007753D3">
        <w:rPr>
          <w:rFonts w:ascii="Calibri" w:hAnsi="Calibri" w:cs="Tahoma"/>
          <w:sz w:val="22"/>
          <w:szCs w:val="22"/>
        </w:rPr>
        <w:t xml:space="preserve">to fulfill mandate 8,f of the Plan of Action of Cancun regarding a database of bilateral and multilateral agreements on social security. </w:t>
      </w:r>
    </w:p>
    <w:p w:rsidR="00CD3709" w:rsidRPr="007753D3" w:rsidRDefault="00CD3709" w:rsidP="00222639">
      <w:pPr>
        <w:tabs>
          <w:tab w:val="left" w:pos="360"/>
        </w:tabs>
        <w:ind w:left="720"/>
        <w:jc w:val="both"/>
        <w:rPr>
          <w:rFonts w:ascii="Calibri" w:hAnsi="Calibri" w:cs="Tahoma"/>
          <w:sz w:val="22"/>
          <w:szCs w:val="22"/>
        </w:rPr>
      </w:pPr>
    </w:p>
    <w:p w:rsidR="00CD3709" w:rsidRPr="008344CB" w:rsidRDefault="00CD3709" w:rsidP="001E6995">
      <w:pPr>
        <w:numPr>
          <w:ilvl w:val="0"/>
          <w:numId w:val="28"/>
        </w:numPr>
        <w:tabs>
          <w:tab w:val="left" w:pos="360"/>
        </w:tabs>
        <w:jc w:val="both"/>
        <w:rPr>
          <w:rFonts w:ascii="Calibri" w:hAnsi="Calibri" w:cs="Tahoma"/>
          <w:sz w:val="22"/>
          <w:szCs w:val="22"/>
        </w:rPr>
      </w:pPr>
      <w:r w:rsidRPr="008344CB">
        <w:rPr>
          <w:rFonts w:ascii="Calibri" w:hAnsi="Calibri" w:cs="Tahoma"/>
          <w:sz w:val="22"/>
          <w:szCs w:val="22"/>
        </w:rPr>
        <w:t>The next step in supporting the IACML is to work with the OAS on the development of this database, allowing countries to see, transparently, the conventions and administrative agreements on social security.</w:t>
      </w:r>
    </w:p>
    <w:p w:rsidR="00CD3709" w:rsidRDefault="00CD3709" w:rsidP="00222639">
      <w:pPr>
        <w:tabs>
          <w:tab w:val="left" w:pos="360"/>
        </w:tabs>
        <w:ind w:left="720"/>
        <w:jc w:val="both"/>
        <w:rPr>
          <w:rFonts w:ascii="Calibri" w:hAnsi="Calibri" w:cs="Tahoma"/>
          <w:sz w:val="22"/>
          <w:szCs w:val="22"/>
        </w:rPr>
      </w:pPr>
    </w:p>
    <w:p w:rsidR="00CD3709" w:rsidRPr="007753D3" w:rsidRDefault="00CD3709" w:rsidP="001E6995">
      <w:pPr>
        <w:numPr>
          <w:ilvl w:val="0"/>
          <w:numId w:val="28"/>
        </w:numPr>
        <w:tabs>
          <w:tab w:val="left" w:pos="360"/>
        </w:tabs>
        <w:jc w:val="both"/>
        <w:rPr>
          <w:rFonts w:ascii="Calibri" w:hAnsi="Calibri" w:cs="Tahoma"/>
          <w:sz w:val="22"/>
          <w:szCs w:val="22"/>
        </w:rPr>
      </w:pPr>
      <w:r w:rsidRPr="007753D3">
        <w:rPr>
          <w:rFonts w:ascii="Calibri" w:hAnsi="Calibri" w:cs="Tahoma"/>
          <w:sz w:val="22"/>
          <w:szCs w:val="22"/>
        </w:rPr>
        <w:t xml:space="preserve">CISS is analyzing the creation of the Continuous Reporting System on Social Security in the Americas, which would be done with the OAS and will be used to share </w:t>
      </w:r>
      <w:r>
        <w:rPr>
          <w:rFonts w:ascii="Calibri" w:hAnsi="Calibri" w:cs="Tahoma"/>
          <w:sz w:val="22"/>
          <w:szCs w:val="22"/>
        </w:rPr>
        <w:t>up-to-date</w:t>
      </w:r>
      <w:r w:rsidRPr="007753D3">
        <w:rPr>
          <w:rFonts w:ascii="Calibri" w:hAnsi="Calibri" w:cs="Tahoma"/>
          <w:sz w:val="22"/>
          <w:szCs w:val="22"/>
        </w:rPr>
        <w:t xml:space="preserve"> information on social security indicators in the region. </w:t>
      </w:r>
    </w:p>
    <w:p w:rsidR="00CD3709" w:rsidRDefault="00CD3709" w:rsidP="00222639">
      <w:pPr>
        <w:tabs>
          <w:tab w:val="left" w:pos="360"/>
        </w:tabs>
        <w:ind w:left="720"/>
        <w:jc w:val="both"/>
        <w:rPr>
          <w:rFonts w:ascii="Calibri" w:hAnsi="Calibri" w:cs="Tahoma"/>
          <w:sz w:val="22"/>
          <w:szCs w:val="22"/>
        </w:rPr>
      </w:pPr>
    </w:p>
    <w:p w:rsidR="00CD3709" w:rsidRPr="007753D3" w:rsidRDefault="00CD3709" w:rsidP="001E6995">
      <w:pPr>
        <w:numPr>
          <w:ilvl w:val="0"/>
          <w:numId w:val="28"/>
        </w:numPr>
        <w:tabs>
          <w:tab w:val="left" w:pos="360"/>
        </w:tabs>
        <w:jc w:val="both"/>
        <w:rPr>
          <w:rFonts w:ascii="Calibri" w:hAnsi="Calibri" w:cs="Tahoma"/>
          <w:sz w:val="22"/>
          <w:szCs w:val="22"/>
        </w:rPr>
      </w:pPr>
      <w:r>
        <w:rPr>
          <w:rFonts w:ascii="Calibri" w:hAnsi="Calibri" w:cs="Tahoma"/>
          <w:sz w:val="22"/>
          <w:szCs w:val="22"/>
        </w:rPr>
        <w:t xml:space="preserve">CISS offered the IACML its </w:t>
      </w:r>
      <w:r w:rsidRPr="007753D3">
        <w:rPr>
          <w:rFonts w:ascii="Calibri" w:hAnsi="Calibri" w:cs="Tahoma"/>
          <w:sz w:val="22"/>
          <w:szCs w:val="22"/>
        </w:rPr>
        <w:t xml:space="preserve">headquarters in Mexico to hold conferences and congresses. </w:t>
      </w:r>
    </w:p>
    <w:p w:rsidR="00CD3709" w:rsidRPr="007753D3" w:rsidRDefault="00CD3709" w:rsidP="00645745">
      <w:pPr>
        <w:tabs>
          <w:tab w:val="left" w:pos="360"/>
        </w:tabs>
        <w:jc w:val="both"/>
        <w:rPr>
          <w:rFonts w:ascii="Calibri" w:hAnsi="Calibri" w:cs="Tahoma"/>
          <w:b/>
          <w:sz w:val="22"/>
          <w:szCs w:val="22"/>
        </w:rPr>
      </w:pPr>
    </w:p>
    <w:p w:rsidR="00CD3709" w:rsidRDefault="00CD3709" w:rsidP="00645745">
      <w:pPr>
        <w:tabs>
          <w:tab w:val="left" w:pos="360"/>
        </w:tabs>
        <w:jc w:val="both"/>
        <w:rPr>
          <w:rFonts w:ascii="Calibri" w:hAnsi="Calibri" w:cs="Tahoma"/>
          <w:b/>
          <w:sz w:val="22"/>
          <w:szCs w:val="22"/>
        </w:rPr>
      </w:pPr>
    </w:p>
    <w:p w:rsidR="00CD3709" w:rsidRPr="007753D3" w:rsidRDefault="00CD3709" w:rsidP="00645745">
      <w:pPr>
        <w:tabs>
          <w:tab w:val="left" w:pos="360"/>
        </w:tabs>
        <w:jc w:val="both"/>
        <w:rPr>
          <w:rFonts w:ascii="Calibri" w:hAnsi="Calibri" w:cs="Tahoma"/>
          <w:b/>
          <w:sz w:val="22"/>
          <w:szCs w:val="22"/>
        </w:rPr>
      </w:pPr>
      <w:r w:rsidRPr="007753D3">
        <w:rPr>
          <w:rFonts w:ascii="Calibri" w:hAnsi="Calibri" w:cs="Tahoma"/>
          <w:b/>
          <w:sz w:val="22"/>
          <w:szCs w:val="22"/>
        </w:rPr>
        <w:t>Inter-American Development Bank (IDB):</w:t>
      </w:r>
    </w:p>
    <w:p w:rsidR="00CD3709" w:rsidRPr="007753D3" w:rsidRDefault="00CD3709" w:rsidP="00645745">
      <w:pPr>
        <w:tabs>
          <w:tab w:val="left" w:pos="360"/>
        </w:tabs>
        <w:jc w:val="both"/>
        <w:rPr>
          <w:rFonts w:ascii="Calibri" w:hAnsi="Calibri" w:cs="Tahoma"/>
          <w:sz w:val="22"/>
          <w:szCs w:val="22"/>
        </w:rPr>
      </w:pPr>
    </w:p>
    <w:p w:rsidR="00CD3709" w:rsidRDefault="00CD3709" w:rsidP="00645745">
      <w:pPr>
        <w:numPr>
          <w:ilvl w:val="0"/>
          <w:numId w:val="29"/>
        </w:numPr>
        <w:tabs>
          <w:tab w:val="left" w:pos="360"/>
        </w:tabs>
        <w:jc w:val="both"/>
        <w:rPr>
          <w:rFonts w:ascii="Calibri" w:hAnsi="Calibri" w:cs="Tahoma"/>
          <w:sz w:val="22"/>
          <w:szCs w:val="22"/>
        </w:rPr>
      </w:pPr>
      <w:r>
        <w:rPr>
          <w:rFonts w:ascii="Calibri" w:hAnsi="Calibri" w:cs="Tahoma"/>
          <w:sz w:val="22"/>
          <w:szCs w:val="22"/>
        </w:rPr>
        <w:t>IDB shared the three main objectives of its Labor Market Unit</w:t>
      </w:r>
      <w:r w:rsidRPr="007753D3">
        <w:rPr>
          <w:rFonts w:ascii="Calibri" w:hAnsi="Calibri" w:cs="Tahoma"/>
          <w:sz w:val="22"/>
          <w:szCs w:val="22"/>
        </w:rPr>
        <w:t>. The first two (to Improve Access to Work and to Improve Worker’s Career Paths) go hand in hand with Working Group 1 of the IACML, and the third (Improve Access to Social Security), with Working Group 2.</w:t>
      </w:r>
    </w:p>
    <w:p w:rsidR="00CD3709" w:rsidRDefault="00CD3709" w:rsidP="00440744">
      <w:pPr>
        <w:tabs>
          <w:tab w:val="left" w:pos="360"/>
        </w:tabs>
        <w:ind w:left="288"/>
        <w:jc w:val="both"/>
        <w:rPr>
          <w:rFonts w:ascii="Calibri" w:hAnsi="Calibri" w:cs="Tahoma"/>
          <w:sz w:val="22"/>
          <w:szCs w:val="22"/>
        </w:rPr>
      </w:pPr>
    </w:p>
    <w:p w:rsidR="00CD3709" w:rsidRPr="007753D3" w:rsidRDefault="00CD3709" w:rsidP="00645745">
      <w:pPr>
        <w:numPr>
          <w:ilvl w:val="0"/>
          <w:numId w:val="29"/>
        </w:numPr>
        <w:tabs>
          <w:tab w:val="left" w:pos="360"/>
        </w:tabs>
        <w:jc w:val="both"/>
        <w:rPr>
          <w:rFonts w:ascii="Calibri" w:hAnsi="Calibri" w:cs="Tahoma"/>
          <w:sz w:val="22"/>
          <w:szCs w:val="22"/>
        </w:rPr>
      </w:pPr>
      <w:r w:rsidRPr="007753D3">
        <w:rPr>
          <w:rFonts w:ascii="Calibri" w:hAnsi="Calibri" w:cs="Tahoma"/>
          <w:sz w:val="22"/>
          <w:szCs w:val="22"/>
        </w:rPr>
        <w:t xml:space="preserve"> Regarding Access to Work, the IDB provides technical and financial support to increase coverage of Employment Services and improve training programs. Recently, i</w:t>
      </w:r>
      <w:r>
        <w:rPr>
          <w:rFonts w:ascii="Calibri" w:hAnsi="Calibri" w:cs="Tahoma"/>
          <w:sz w:val="22"/>
          <w:szCs w:val="22"/>
        </w:rPr>
        <w:t>t published</w:t>
      </w:r>
      <w:r w:rsidRPr="007753D3">
        <w:rPr>
          <w:rFonts w:ascii="Calibri" w:hAnsi="Calibri" w:cs="Tahoma"/>
          <w:sz w:val="22"/>
          <w:szCs w:val="22"/>
        </w:rPr>
        <w:t xml:space="preserve"> “Jobs for Growth” and “The World of Public Employment Services”, which give policy recommendations. It coordinates the Technical Support Network to Employment Services in Latin America and the Caribbean (SEALC Network) and evaluates the impact of specific programs. </w:t>
      </w:r>
    </w:p>
    <w:p w:rsidR="00CD3709" w:rsidRPr="007753D3" w:rsidRDefault="00CD3709" w:rsidP="00974696">
      <w:pPr>
        <w:tabs>
          <w:tab w:val="left" w:pos="360"/>
        </w:tabs>
        <w:jc w:val="both"/>
        <w:rPr>
          <w:rFonts w:ascii="Calibri" w:hAnsi="Calibri" w:cs="Tahoma"/>
          <w:sz w:val="22"/>
          <w:szCs w:val="22"/>
        </w:rPr>
      </w:pPr>
    </w:p>
    <w:p w:rsidR="00CD3709" w:rsidRPr="007753D3" w:rsidRDefault="00CD3709" w:rsidP="00645745">
      <w:pPr>
        <w:numPr>
          <w:ilvl w:val="0"/>
          <w:numId w:val="29"/>
        </w:numPr>
        <w:tabs>
          <w:tab w:val="left" w:pos="360"/>
        </w:tabs>
        <w:jc w:val="both"/>
        <w:rPr>
          <w:rFonts w:ascii="Calibri" w:hAnsi="Calibri" w:cs="Tahoma"/>
          <w:sz w:val="22"/>
          <w:szCs w:val="22"/>
        </w:rPr>
      </w:pPr>
      <w:r w:rsidRPr="007753D3">
        <w:rPr>
          <w:rFonts w:ascii="Calibri" w:hAnsi="Calibri" w:cs="Tahoma"/>
          <w:sz w:val="22"/>
          <w:szCs w:val="22"/>
        </w:rPr>
        <w:t xml:space="preserve">Regarding the improvement of career paths, the IDB provides technical and financial support to improve continuous training systems and to develop instruments to anticipate skills demands. </w:t>
      </w:r>
    </w:p>
    <w:p w:rsidR="00CD3709" w:rsidRPr="007753D3" w:rsidRDefault="00CD3709" w:rsidP="002A0F94">
      <w:pPr>
        <w:tabs>
          <w:tab w:val="left" w:pos="360"/>
        </w:tabs>
        <w:jc w:val="both"/>
        <w:rPr>
          <w:rFonts w:ascii="Calibri" w:hAnsi="Calibri" w:cs="Tahoma"/>
          <w:sz w:val="22"/>
          <w:szCs w:val="22"/>
        </w:rPr>
      </w:pPr>
    </w:p>
    <w:p w:rsidR="00CD3709" w:rsidRPr="007753D3" w:rsidRDefault="00CD3709" w:rsidP="00645745">
      <w:pPr>
        <w:numPr>
          <w:ilvl w:val="0"/>
          <w:numId w:val="29"/>
        </w:numPr>
        <w:tabs>
          <w:tab w:val="left" w:pos="360"/>
        </w:tabs>
        <w:jc w:val="both"/>
        <w:rPr>
          <w:rFonts w:ascii="Calibri" w:hAnsi="Calibri" w:cs="Tahoma"/>
          <w:sz w:val="22"/>
          <w:szCs w:val="22"/>
        </w:rPr>
      </w:pPr>
      <w:r w:rsidRPr="007753D3">
        <w:rPr>
          <w:rFonts w:ascii="Calibri" w:hAnsi="Calibri" w:cs="Tahoma"/>
          <w:sz w:val="22"/>
          <w:szCs w:val="22"/>
        </w:rPr>
        <w:t>Regarding the improvement of access to social security</w:t>
      </w:r>
      <w:r>
        <w:rPr>
          <w:rFonts w:ascii="Calibri" w:hAnsi="Calibri" w:cs="Tahoma"/>
          <w:sz w:val="22"/>
          <w:szCs w:val="22"/>
        </w:rPr>
        <w:t xml:space="preserve">, </w:t>
      </w:r>
      <w:r w:rsidRPr="007753D3">
        <w:rPr>
          <w:rFonts w:ascii="Calibri" w:hAnsi="Calibri" w:cs="Tahoma"/>
          <w:sz w:val="22"/>
          <w:szCs w:val="22"/>
        </w:rPr>
        <w:t xml:space="preserve">several recent investigations, the elaboration of the Longitudinal Social Protection Survey (LSPS) and the Social Security Observatory for Latin America and the Caribbean were mentioned. In addition, they highlighted the Network for Pensions in Latin America and the Caribbean (PLAC), which intends to enhance the pension systems in the region and could become a part of the IACML’s agenda. </w:t>
      </w:r>
    </w:p>
    <w:p w:rsidR="00CD3709" w:rsidRPr="007753D3" w:rsidRDefault="00CD3709" w:rsidP="002A0F94">
      <w:pPr>
        <w:tabs>
          <w:tab w:val="left" w:pos="360"/>
        </w:tabs>
        <w:jc w:val="both"/>
        <w:rPr>
          <w:rFonts w:ascii="Calibri" w:hAnsi="Calibri" w:cs="Tahoma"/>
          <w:sz w:val="22"/>
          <w:szCs w:val="22"/>
        </w:rPr>
      </w:pPr>
    </w:p>
    <w:p w:rsidR="00CD3709" w:rsidRPr="007753D3" w:rsidRDefault="00CD3709" w:rsidP="00645745">
      <w:pPr>
        <w:numPr>
          <w:ilvl w:val="0"/>
          <w:numId w:val="29"/>
        </w:numPr>
        <w:tabs>
          <w:tab w:val="left" w:pos="360"/>
        </w:tabs>
        <w:jc w:val="both"/>
        <w:rPr>
          <w:rFonts w:ascii="Calibri" w:hAnsi="Calibri" w:cs="Tahoma"/>
          <w:sz w:val="22"/>
          <w:szCs w:val="22"/>
        </w:rPr>
      </w:pPr>
      <w:r w:rsidRPr="007753D3">
        <w:rPr>
          <w:rFonts w:ascii="Calibri" w:hAnsi="Calibri" w:cs="Tahoma"/>
          <w:sz w:val="22"/>
          <w:szCs w:val="22"/>
        </w:rPr>
        <w:t xml:space="preserve">IDB underlined the Labor and Social Security Information System (SIMS) which contains comparable statistics for 23 countries, institutional information, and academic publications. </w:t>
      </w:r>
    </w:p>
    <w:p w:rsidR="00CD3709" w:rsidRPr="00F036D0" w:rsidRDefault="00CD3709" w:rsidP="002A0F94">
      <w:pPr>
        <w:tabs>
          <w:tab w:val="left" w:pos="360"/>
        </w:tabs>
        <w:jc w:val="both"/>
        <w:rPr>
          <w:rFonts w:ascii="Calibri" w:hAnsi="Calibri" w:cs="Tahoma"/>
          <w:sz w:val="22"/>
          <w:szCs w:val="22"/>
        </w:rPr>
        <w:sectPr w:rsidR="00CD3709" w:rsidRPr="00F036D0" w:rsidSect="000172CA">
          <w:footerReference w:type="even" r:id="rId10"/>
          <w:footerReference w:type="default" r:id="rId11"/>
          <w:pgSz w:w="12240" w:h="15840"/>
          <w:pgMar w:top="1440" w:right="1440" w:bottom="1260" w:left="1440" w:header="720" w:footer="720" w:gutter="0"/>
          <w:cols w:space="720"/>
          <w:docGrid w:linePitch="360"/>
        </w:sectPr>
      </w:pPr>
    </w:p>
    <w:p w:rsidR="00CD3709" w:rsidRPr="002A0466" w:rsidRDefault="00CD3709" w:rsidP="003A5590">
      <w:pPr>
        <w:jc w:val="center"/>
        <w:rPr>
          <w:rFonts w:ascii="Calibri" w:hAnsi="Calibri"/>
          <w:b/>
          <w:bCs/>
          <w:caps/>
          <w:sz w:val="22"/>
          <w:szCs w:val="22"/>
        </w:rPr>
      </w:pPr>
      <w:r>
        <w:rPr>
          <w:noProof/>
        </w:rPr>
        <w:pict>
          <v:shape id="_x0000_s1028" type="#_x0000_t75" style="position:absolute;left:0;text-align:left;margin-left:-17.8pt;margin-top:-9pt;width:701.8pt;height:456.3pt;z-index:251658752">
            <v:imagedata r:id="rId12" o:title=""/>
          </v:shape>
        </w:pict>
      </w:r>
    </w:p>
    <w:sectPr w:rsidR="00CD3709" w:rsidRPr="002A0466" w:rsidSect="00BA3522">
      <w:footerReference w:type="even" r:id="rId13"/>
      <w:footerReference w:type="default" r:id="rId14"/>
      <w:pgSz w:w="15840" w:h="12240" w:orient="landscape"/>
      <w:pgMar w:top="1440" w:right="1440" w:bottom="1440" w:left="12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709" w:rsidRDefault="00CD3709">
      <w:r>
        <w:separator/>
      </w:r>
    </w:p>
  </w:endnote>
  <w:endnote w:type="continuationSeparator" w:id="0">
    <w:p w:rsidR="00CD3709" w:rsidRDefault="00CD3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ngs">
    <w:altName w:val="Arial Unicode MS"/>
    <w:panose1 w:val="00000000000000000000"/>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09" w:rsidRDefault="00CD3709" w:rsidP="00EA2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D3709" w:rsidRDefault="00CD3709" w:rsidP="00BA7E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09" w:rsidRPr="00BA7E2A" w:rsidRDefault="00CD3709" w:rsidP="00EA2EAB">
    <w:pPr>
      <w:pStyle w:val="Footer"/>
      <w:framePr w:wrap="around" w:vAnchor="text" w:hAnchor="margin" w:xAlign="right" w:y="1"/>
      <w:rPr>
        <w:rStyle w:val="PageNumber"/>
        <w:rFonts w:ascii="Calibri" w:hAnsi="Calibri"/>
        <w:sz w:val="22"/>
        <w:szCs w:val="22"/>
      </w:rPr>
    </w:pPr>
    <w:r w:rsidRPr="00BA7E2A">
      <w:rPr>
        <w:rStyle w:val="PageNumber"/>
        <w:rFonts w:ascii="Calibri" w:hAnsi="Calibri"/>
        <w:sz w:val="22"/>
        <w:szCs w:val="22"/>
      </w:rPr>
      <w:fldChar w:fldCharType="begin"/>
    </w:r>
    <w:r w:rsidRPr="00BA7E2A">
      <w:rPr>
        <w:rStyle w:val="PageNumber"/>
        <w:rFonts w:ascii="Calibri" w:hAnsi="Calibri"/>
        <w:sz w:val="22"/>
        <w:szCs w:val="22"/>
      </w:rPr>
      <w:instrText xml:space="preserve">PAGE  </w:instrText>
    </w:r>
    <w:r w:rsidRPr="00BA7E2A">
      <w:rPr>
        <w:rStyle w:val="PageNumber"/>
        <w:rFonts w:ascii="Calibri" w:hAnsi="Calibri"/>
        <w:sz w:val="22"/>
        <w:szCs w:val="22"/>
      </w:rPr>
      <w:fldChar w:fldCharType="separate"/>
    </w:r>
    <w:r>
      <w:rPr>
        <w:rStyle w:val="PageNumber"/>
        <w:rFonts w:ascii="Calibri" w:hAnsi="Calibri"/>
        <w:noProof/>
        <w:sz w:val="22"/>
        <w:szCs w:val="22"/>
      </w:rPr>
      <w:t>8</w:t>
    </w:r>
    <w:r w:rsidRPr="00BA7E2A">
      <w:rPr>
        <w:rStyle w:val="PageNumber"/>
        <w:rFonts w:ascii="Calibri" w:hAnsi="Calibri"/>
        <w:sz w:val="22"/>
        <w:szCs w:val="22"/>
      </w:rPr>
      <w:fldChar w:fldCharType="end"/>
    </w:r>
  </w:p>
  <w:p w:rsidR="00CD3709" w:rsidRDefault="00CD3709" w:rsidP="00BA7E2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09" w:rsidRDefault="00CD3709" w:rsidP="00EA2E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D3709" w:rsidRDefault="00CD3709" w:rsidP="00BA7E2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09" w:rsidRPr="00BA7E2A" w:rsidRDefault="00CD3709" w:rsidP="00EA2EAB">
    <w:pPr>
      <w:pStyle w:val="Footer"/>
      <w:framePr w:wrap="around" w:vAnchor="text" w:hAnchor="margin" w:xAlign="right" w:y="1"/>
      <w:rPr>
        <w:rStyle w:val="PageNumber"/>
        <w:rFonts w:ascii="Calibri" w:hAnsi="Calibri"/>
        <w:sz w:val="22"/>
        <w:szCs w:val="22"/>
      </w:rPr>
    </w:pPr>
    <w:r w:rsidRPr="00BA7E2A">
      <w:rPr>
        <w:rStyle w:val="PageNumber"/>
        <w:rFonts w:ascii="Calibri" w:hAnsi="Calibri"/>
        <w:sz w:val="22"/>
        <w:szCs w:val="22"/>
      </w:rPr>
      <w:fldChar w:fldCharType="begin"/>
    </w:r>
    <w:r w:rsidRPr="00BA7E2A">
      <w:rPr>
        <w:rStyle w:val="PageNumber"/>
        <w:rFonts w:ascii="Calibri" w:hAnsi="Calibri"/>
        <w:sz w:val="22"/>
        <w:szCs w:val="22"/>
      </w:rPr>
      <w:instrText xml:space="preserve">PAGE  </w:instrText>
    </w:r>
    <w:r w:rsidRPr="00BA7E2A">
      <w:rPr>
        <w:rStyle w:val="PageNumber"/>
        <w:rFonts w:ascii="Calibri" w:hAnsi="Calibri"/>
        <w:sz w:val="22"/>
        <w:szCs w:val="22"/>
      </w:rPr>
      <w:fldChar w:fldCharType="separate"/>
    </w:r>
    <w:r>
      <w:rPr>
        <w:rStyle w:val="PageNumber"/>
        <w:rFonts w:ascii="Calibri" w:hAnsi="Calibri"/>
        <w:noProof/>
        <w:sz w:val="22"/>
        <w:szCs w:val="22"/>
      </w:rPr>
      <w:t>11</w:t>
    </w:r>
    <w:r w:rsidRPr="00BA7E2A">
      <w:rPr>
        <w:rStyle w:val="PageNumber"/>
        <w:rFonts w:ascii="Calibri" w:hAnsi="Calibri"/>
        <w:sz w:val="22"/>
        <w:szCs w:val="22"/>
      </w:rPr>
      <w:fldChar w:fldCharType="end"/>
    </w:r>
  </w:p>
  <w:p w:rsidR="00CD3709" w:rsidRDefault="00CD3709" w:rsidP="00BA7E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709" w:rsidRDefault="00CD3709">
      <w:r>
        <w:separator/>
      </w:r>
    </w:p>
  </w:footnote>
  <w:footnote w:type="continuationSeparator" w:id="0">
    <w:p w:rsidR="00CD3709" w:rsidRDefault="00CD3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63DC"/>
    <w:multiLevelType w:val="multilevel"/>
    <w:tmpl w:val="C87A8D00"/>
    <w:lvl w:ilvl="0">
      <w:start w:val="2"/>
      <w:numFmt w:val="upperRoman"/>
      <w:lvlText w:val="%1."/>
      <w:lvlJc w:val="left"/>
      <w:pPr>
        <w:tabs>
          <w:tab w:val="num" w:pos="1080"/>
        </w:tabs>
        <w:ind w:left="1080" w:hanging="720"/>
      </w:pPr>
      <w:rPr>
        <w:rFonts w:cs="Times New Roman" w:hint="default"/>
        <w:b/>
      </w:rPr>
    </w:lvl>
    <w:lvl w:ilvl="1">
      <w:start w:val="1"/>
      <w:numFmt w:val="decimal"/>
      <w:isLgl/>
      <w:lvlText w:val="%1.%2"/>
      <w:lvlJc w:val="left"/>
      <w:pPr>
        <w:tabs>
          <w:tab w:val="num" w:pos="720"/>
        </w:tabs>
        <w:ind w:left="720" w:hanging="360"/>
      </w:pPr>
      <w:rPr>
        <w:rFonts w:cs="Times New Roman" w:hint="default"/>
        <w:u w:val="none"/>
      </w:rPr>
    </w:lvl>
    <w:lvl w:ilvl="2">
      <w:start w:val="1"/>
      <w:numFmt w:val="decimal"/>
      <w:isLgl/>
      <w:lvlText w:val="%1.%2.%3"/>
      <w:lvlJc w:val="left"/>
      <w:pPr>
        <w:tabs>
          <w:tab w:val="num" w:pos="1080"/>
        </w:tabs>
        <w:ind w:left="1080" w:hanging="720"/>
      </w:pPr>
      <w:rPr>
        <w:rFonts w:cs="Times New Roman" w:hint="default"/>
        <w:u w:val="none"/>
      </w:rPr>
    </w:lvl>
    <w:lvl w:ilvl="3">
      <w:start w:val="1"/>
      <w:numFmt w:val="decimal"/>
      <w:isLgl/>
      <w:lvlText w:val="%1.%2.%3.%4"/>
      <w:lvlJc w:val="left"/>
      <w:pPr>
        <w:tabs>
          <w:tab w:val="num" w:pos="1080"/>
        </w:tabs>
        <w:ind w:left="1080" w:hanging="720"/>
      </w:pPr>
      <w:rPr>
        <w:rFonts w:cs="Times New Roman" w:hint="default"/>
        <w:u w:val="none"/>
      </w:rPr>
    </w:lvl>
    <w:lvl w:ilvl="4">
      <w:start w:val="1"/>
      <w:numFmt w:val="decimal"/>
      <w:isLgl/>
      <w:lvlText w:val="%1.%2.%3.%4.%5"/>
      <w:lvlJc w:val="left"/>
      <w:pPr>
        <w:tabs>
          <w:tab w:val="num" w:pos="1440"/>
        </w:tabs>
        <w:ind w:left="1440" w:hanging="1080"/>
      </w:pPr>
      <w:rPr>
        <w:rFonts w:cs="Times New Roman" w:hint="default"/>
        <w:u w:val="none"/>
      </w:rPr>
    </w:lvl>
    <w:lvl w:ilvl="5">
      <w:start w:val="1"/>
      <w:numFmt w:val="decimal"/>
      <w:isLgl/>
      <w:lvlText w:val="%1.%2.%3.%4.%5.%6"/>
      <w:lvlJc w:val="left"/>
      <w:pPr>
        <w:tabs>
          <w:tab w:val="num" w:pos="1440"/>
        </w:tabs>
        <w:ind w:left="1440" w:hanging="1080"/>
      </w:pPr>
      <w:rPr>
        <w:rFonts w:cs="Times New Roman" w:hint="default"/>
        <w:u w:val="none"/>
      </w:rPr>
    </w:lvl>
    <w:lvl w:ilvl="6">
      <w:start w:val="1"/>
      <w:numFmt w:val="decimal"/>
      <w:isLgl/>
      <w:lvlText w:val="%1.%2.%3.%4.%5.%6.%7"/>
      <w:lvlJc w:val="left"/>
      <w:pPr>
        <w:tabs>
          <w:tab w:val="num" w:pos="1800"/>
        </w:tabs>
        <w:ind w:left="1800" w:hanging="1440"/>
      </w:pPr>
      <w:rPr>
        <w:rFonts w:cs="Times New Roman" w:hint="default"/>
        <w:u w:val="none"/>
      </w:rPr>
    </w:lvl>
    <w:lvl w:ilvl="7">
      <w:start w:val="1"/>
      <w:numFmt w:val="decimal"/>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2160"/>
        </w:tabs>
        <w:ind w:left="2160" w:hanging="1800"/>
      </w:pPr>
      <w:rPr>
        <w:rFonts w:cs="Times New Roman" w:hint="default"/>
        <w:u w:val="none"/>
      </w:rPr>
    </w:lvl>
  </w:abstractNum>
  <w:abstractNum w:abstractNumId="1">
    <w:nsid w:val="127308EC"/>
    <w:multiLevelType w:val="hybridMultilevel"/>
    <w:tmpl w:val="8826979A"/>
    <w:lvl w:ilvl="0" w:tplc="7074AE76">
      <w:start w:val="1"/>
      <w:numFmt w:val="decimal"/>
      <w:lvlText w:val="%1)"/>
      <w:lvlJc w:val="left"/>
      <w:pPr>
        <w:tabs>
          <w:tab w:val="num" w:pos="720"/>
        </w:tabs>
        <w:ind w:left="720" w:hanging="360"/>
      </w:pPr>
      <w:rPr>
        <w:rFonts w:ascii="Calibri" w:eastAsia="MS Minngs" w:hAnsi="Calibri" w:cs="Times New Roman"/>
      </w:rPr>
    </w:lvl>
    <w:lvl w:ilvl="1" w:tplc="ECFAF564">
      <w:start w:val="4"/>
      <w:numFmt w:val="lowerLetter"/>
      <w:lvlText w:val="%2)"/>
      <w:lvlJc w:val="left"/>
      <w:pPr>
        <w:tabs>
          <w:tab w:val="num" w:pos="1440"/>
        </w:tabs>
        <w:ind w:left="1440" w:hanging="360"/>
      </w:pPr>
      <w:rPr>
        <w:rFonts w:cs="Times New Roman" w:hint="default"/>
      </w:rPr>
    </w:lvl>
    <w:lvl w:ilvl="2" w:tplc="1E0052EE">
      <w:start w:val="4"/>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847BDE"/>
    <w:multiLevelType w:val="hybridMultilevel"/>
    <w:tmpl w:val="9210E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3D7908"/>
    <w:multiLevelType w:val="hybridMultilevel"/>
    <w:tmpl w:val="D122BD98"/>
    <w:lvl w:ilvl="0" w:tplc="C9FC55A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844C8B"/>
    <w:multiLevelType w:val="hybridMultilevel"/>
    <w:tmpl w:val="8F58C2CA"/>
    <w:lvl w:ilvl="0" w:tplc="EF9CC2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1391C"/>
    <w:multiLevelType w:val="hybridMultilevel"/>
    <w:tmpl w:val="2A08F11E"/>
    <w:lvl w:ilvl="0" w:tplc="3CD62E40">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A509FB"/>
    <w:multiLevelType w:val="hybridMultilevel"/>
    <w:tmpl w:val="2564BE04"/>
    <w:lvl w:ilvl="0" w:tplc="5ABEA644">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42CD5"/>
    <w:multiLevelType w:val="hybridMultilevel"/>
    <w:tmpl w:val="569E5608"/>
    <w:lvl w:ilvl="0" w:tplc="C5FC035C">
      <w:start w:val="2"/>
      <w:numFmt w:val="bullet"/>
      <w:lvlText w:val="-"/>
      <w:lvlJc w:val="left"/>
      <w:pPr>
        <w:ind w:left="720" w:hanging="360"/>
      </w:pPr>
      <w:rPr>
        <w:rFonts w:ascii="Soberana Sans" w:eastAsia="Times New Roman" w:hAnsi="Soberana Sans" w:hint="default"/>
        <w:vanish w:val="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1C703414"/>
    <w:multiLevelType w:val="multilevel"/>
    <w:tmpl w:val="D89C63F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D35BF1"/>
    <w:multiLevelType w:val="multilevel"/>
    <w:tmpl w:val="81F03198"/>
    <w:lvl w:ilvl="0">
      <w:start w:val="1"/>
      <w:numFmt w:val="decimal"/>
      <w:lvlText w:val="%1."/>
      <w:lvlJc w:val="left"/>
      <w:pPr>
        <w:tabs>
          <w:tab w:val="num" w:pos="720"/>
        </w:tabs>
        <w:ind w:left="720" w:hanging="360"/>
      </w:pPr>
      <w:rPr>
        <w:rFonts w:cs="Times New Roman" w:hint="default"/>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6611779"/>
    <w:multiLevelType w:val="hybridMultilevel"/>
    <w:tmpl w:val="A0601D20"/>
    <w:lvl w:ilvl="0" w:tplc="992EE00A">
      <w:start w:val="1"/>
      <w:numFmt w:val="decimal"/>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F5A578C"/>
    <w:multiLevelType w:val="hybridMultilevel"/>
    <w:tmpl w:val="A2F8706E"/>
    <w:lvl w:ilvl="0" w:tplc="3CD62E40">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784473"/>
    <w:multiLevelType w:val="hybridMultilevel"/>
    <w:tmpl w:val="71EE5926"/>
    <w:lvl w:ilvl="0" w:tplc="3CD62E40">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
    <w:nsid w:val="3AFE5EFD"/>
    <w:multiLevelType w:val="hybridMultilevel"/>
    <w:tmpl w:val="C7BE676C"/>
    <w:lvl w:ilvl="0" w:tplc="3CD62E40">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A45141"/>
    <w:multiLevelType w:val="hybridMultilevel"/>
    <w:tmpl w:val="EFEA763C"/>
    <w:lvl w:ilvl="0" w:tplc="E5F226F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6B32A0"/>
    <w:multiLevelType w:val="hybridMultilevel"/>
    <w:tmpl w:val="D25E0B98"/>
    <w:lvl w:ilvl="0" w:tplc="F38C03C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E564E3"/>
    <w:multiLevelType w:val="hybridMultilevel"/>
    <w:tmpl w:val="D89C6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B63773"/>
    <w:multiLevelType w:val="multilevel"/>
    <w:tmpl w:val="74A6A7C6"/>
    <w:lvl w:ilvl="0">
      <w:start w:val="2"/>
      <w:numFmt w:val="upperRoman"/>
      <w:lvlText w:val="%1."/>
      <w:lvlJc w:val="left"/>
      <w:pPr>
        <w:tabs>
          <w:tab w:val="num" w:pos="1080"/>
        </w:tabs>
        <w:ind w:left="1080" w:hanging="720"/>
      </w:pPr>
      <w:rPr>
        <w:rFonts w:cs="Times New Roman" w:hint="default"/>
        <w:b w:val="0"/>
      </w:rPr>
    </w:lvl>
    <w:lvl w:ilvl="1">
      <w:start w:val="1"/>
      <w:numFmt w:val="decimal"/>
      <w:isLgl/>
      <w:lvlText w:val="%1.%2"/>
      <w:lvlJc w:val="left"/>
      <w:pPr>
        <w:tabs>
          <w:tab w:val="num" w:pos="720"/>
        </w:tabs>
        <w:ind w:left="720" w:hanging="360"/>
      </w:pPr>
      <w:rPr>
        <w:rFonts w:cs="Times New Roman" w:hint="default"/>
        <w:u w:val="none"/>
      </w:rPr>
    </w:lvl>
    <w:lvl w:ilvl="2">
      <w:start w:val="1"/>
      <w:numFmt w:val="decimal"/>
      <w:isLgl/>
      <w:lvlText w:val="%1.%2.%3"/>
      <w:lvlJc w:val="left"/>
      <w:pPr>
        <w:tabs>
          <w:tab w:val="num" w:pos="1080"/>
        </w:tabs>
        <w:ind w:left="1080" w:hanging="720"/>
      </w:pPr>
      <w:rPr>
        <w:rFonts w:cs="Times New Roman" w:hint="default"/>
        <w:u w:val="none"/>
      </w:rPr>
    </w:lvl>
    <w:lvl w:ilvl="3">
      <w:start w:val="1"/>
      <w:numFmt w:val="decimal"/>
      <w:isLgl/>
      <w:lvlText w:val="%1.%2.%3.%4"/>
      <w:lvlJc w:val="left"/>
      <w:pPr>
        <w:tabs>
          <w:tab w:val="num" w:pos="1080"/>
        </w:tabs>
        <w:ind w:left="1080" w:hanging="720"/>
      </w:pPr>
      <w:rPr>
        <w:rFonts w:cs="Times New Roman" w:hint="default"/>
        <w:u w:val="none"/>
      </w:rPr>
    </w:lvl>
    <w:lvl w:ilvl="4">
      <w:start w:val="1"/>
      <w:numFmt w:val="decimal"/>
      <w:isLgl/>
      <w:lvlText w:val="%1.%2.%3.%4.%5"/>
      <w:lvlJc w:val="left"/>
      <w:pPr>
        <w:tabs>
          <w:tab w:val="num" w:pos="1440"/>
        </w:tabs>
        <w:ind w:left="1440" w:hanging="1080"/>
      </w:pPr>
      <w:rPr>
        <w:rFonts w:cs="Times New Roman" w:hint="default"/>
        <w:u w:val="none"/>
      </w:rPr>
    </w:lvl>
    <w:lvl w:ilvl="5">
      <w:start w:val="1"/>
      <w:numFmt w:val="decimal"/>
      <w:isLgl/>
      <w:lvlText w:val="%1.%2.%3.%4.%5.%6"/>
      <w:lvlJc w:val="left"/>
      <w:pPr>
        <w:tabs>
          <w:tab w:val="num" w:pos="1440"/>
        </w:tabs>
        <w:ind w:left="1440" w:hanging="1080"/>
      </w:pPr>
      <w:rPr>
        <w:rFonts w:cs="Times New Roman" w:hint="default"/>
        <w:u w:val="none"/>
      </w:rPr>
    </w:lvl>
    <w:lvl w:ilvl="6">
      <w:start w:val="1"/>
      <w:numFmt w:val="decimal"/>
      <w:isLgl/>
      <w:lvlText w:val="%1.%2.%3.%4.%5.%6.%7"/>
      <w:lvlJc w:val="left"/>
      <w:pPr>
        <w:tabs>
          <w:tab w:val="num" w:pos="1800"/>
        </w:tabs>
        <w:ind w:left="1800" w:hanging="1440"/>
      </w:pPr>
      <w:rPr>
        <w:rFonts w:cs="Times New Roman" w:hint="default"/>
        <w:u w:val="none"/>
      </w:rPr>
    </w:lvl>
    <w:lvl w:ilvl="7">
      <w:start w:val="1"/>
      <w:numFmt w:val="decimal"/>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2160"/>
        </w:tabs>
        <w:ind w:left="2160" w:hanging="1800"/>
      </w:pPr>
      <w:rPr>
        <w:rFonts w:cs="Times New Roman" w:hint="default"/>
        <w:u w:val="none"/>
      </w:rPr>
    </w:lvl>
  </w:abstractNum>
  <w:abstractNum w:abstractNumId="18">
    <w:nsid w:val="59DC21B3"/>
    <w:multiLevelType w:val="hybridMultilevel"/>
    <w:tmpl w:val="F63AD596"/>
    <w:lvl w:ilvl="0" w:tplc="F38C03C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A9022B"/>
    <w:multiLevelType w:val="multilevel"/>
    <w:tmpl w:val="068C9EC8"/>
    <w:lvl w:ilvl="0">
      <w:start w:val="1"/>
      <w:numFmt w:val="decimal"/>
      <w:lvlText w:val="%1."/>
      <w:lvlJc w:val="left"/>
      <w:pPr>
        <w:tabs>
          <w:tab w:val="num" w:pos="720"/>
        </w:tabs>
        <w:ind w:left="720" w:hanging="360"/>
      </w:pPr>
      <w:rPr>
        <w:rFonts w:cs="Times New Roman" w:hint="default"/>
        <w:b/>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4235E40"/>
    <w:multiLevelType w:val="multilevel"/>
    <w:tmpl w:val="C87A8D00"/>
    <w:lvl w:ilvl="0">
      <w:start w:val="2"/>
      <w:numFmt w:val="upperRoman"/>
      <w:lvlText w:val="%1."/>
      <w:lvlJc w:val="left"/>
      <w:pPr>
        <w:tabs>
          <w:tab w:val="num" w:pos="1080"/>
        </w:tabs>
        <w:ind w:left="1080" w:hanging="720"/>
      </w:pPr>
      <w:rPr>
        <w:rFonts w:cs="Times New Roman" w:hint="default"/>
        <w:b/>
      </w:rPr>
    </w:lvl>
    <w:lvl w:ilvl="1">
      <w:start w:val="1"/>
      <w:numFmt w:val="decimal"/>
      <w:isLgl/>
      <w:lvlText w:val="%1.%2"/>
      <w:lvlJc w:val="left"/>
      <w:pPr>
        <w:tabs>
          <w:tab w:val="num" w:pos="720"/>
        </w:tabs>
        <w:ind w:left="720" w:hanging="360"/>
      </w:pPr>
      <w:rPr>
        <w:rFonts w:cs="Times New Roman" w:hint="default"/>
        <w:u w:val="none"/>
      </w:rPr>
    </w:lvl>
    <w:lvl w:ilvl="2">
      <w:start w:val="1"/>
      <w:numFmt w:val="decimal"/>
      <w:isLgl/>
      <w:lvlText w:val="%1.%2.%3"/>
      <w:lvlJc w:val="left"/>
      <w:pPr>
        <w:tabs>
          <w:tab w:val="num" w:pos="1080"/>
        </w:tabs>
        <w:ind w:left="1080" w:hanging="720"/>
      </w:pPr>
      <w:rPr>
        <w:rFonts w:cs="Times New Roman" w:hint="default"/>
        <w:u w:val="none"/>
      </w:rPr>
    </w:lvl>
    <w:lvl w:ilvl="3">
      <w:start w:val="1"/>
      <w:numFmt w:val="decimal"/>
      <w:isLgl/>
      <w:lvlText w:val="%1.%2.%3.%4"/>
      <w:lvlJc w:val="left"/>
      <w:pPr>
        <w:tabs>
          <w:tab w:val="num" w:pos="1080"/>
        </w:tabs>
        <w:ind w:left="1080" w:hanging="720"/>
      </w:pPr>
      <w:rPr>
        <w:rFonts w:cs="Times New Roman" w:hint="default"/>
        <w:u w:val="none"/>
      </w:rPr>
    </w:lvl>
    <w:lvl w:ilvl="4">
      <w:start w:val="1"/>
      <w:numFmt w:val="decimal"/>
      <w:isLgl/>
      <w:lvlText w:val="%1.%2.%3.%4.%5"/>
      <w:lvlJc w:val="left"/>
      <w:pPr>
        <w:tabs>
          <w:tab w:val="num" w:pos="1440"/>
        </w:tabs>
        <w:ind w:left="1440" w:hanging="1080"/>
      </w:pPr>
      <w:rPr>
        <w:rFonts w:cs="Times New Roman" w:hint="default"/>
        <w:u w:val="none"/>
      </w:rPr>
    </w:lvl>
    <w:lvl w:ilvl="5">
      <w:start w:val="1"/>
      <w:numFmt w:val="decimal"/>
      <w:isLgl/>
      <w:lvlText w:val="%1.%2.%3.%4.%5.%6"/>
      <w:lvlJc w:val="left"/>
      <w:pPr>
        <w:tabs>
          <w:tab w:val="num" w:pos="1440"/>
        </w:tabs>
        <w:ind w:left="1440" w:hanging="1080"/>
      </w:pPr>
      <w:rPr>
        <w:rFonts w:cs="Times New Roman" w:hint="default"/>
        <w:u w:val="none"/>
      </w:rPr>
    </w:lvl>
    <w:lvl w:ilvl="6">
      <w:start w:val="1"/>
      <w:numFmt w:val="decimal"/>
      <w:isLgl/>
      <w:lvlText w:val="%1.%2.%3.%4.%5.%6.%7"/>
      <w:lvlJc w:val="left"/>
      <w:pPr>
        <w:tabs>
          <w:tab w:val="num" w:pos="1800"/>
        </w:tabs>
        <w:ind w:left="1800" w:hanging="1440"/>
      </w:pPr>
      <w:rPr>
        <w:rFonts w:cs="Times New Roman" w:hint="default"/>
        <w:u w:val="none"/>
      </w:rPr>
    </w:lvl>
    <w:lvl w:ilvl="7">
      <w:start w:val="1"/>
      <w:numFmt w:val="decimal"/>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2160"/>
        </w:tabs>
        <w:ind w:left="2160" w:hanging="1800"/>
      </w:pPr>
      <w:rPr>
        <w:rFonts w:cs="Times New Roman" w:hint="default"/>
        <w:u w:val="none"/>
      </w:rPr>
    </w:lvl>
  </w:abstractNum>
  <w:abstractNum w:abstractNumId="21">
    <w:nsid w:val="65C872B6"/>
    <w:multiLevelType w:val="hybridMultilevel"/>
    <w:tmpl w:val="13785250"/>
    <w:lvl w:ilvl="0" w:tplc="9C3C4F86">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E411F4"/>
    <w:multiLevelType w:val="hybridMultilevel"/>
    <w:tmpl w:val="D484778C"/>
    <w:lvl w:ilvl="0" w:tplc="BF7220EA">
      <w:start w:val="1"/>
      <w:numFmt w:val="decimal"/>
      <w:lvlText w:val="%1)"/>
      <w:lvlJc w:val="left"/>
      <w:pPr>
        <w:tabs>
          <w:tab w:val="num" w:pos="720"/>
        </w:tabs>
        <w:ind w:left="720" w:hanging="360"/>
      </w:pPr>
      <w:rPr>
        <w:rFonts w:ascii="Calibri" w:eastAsia="MS Minngs" w:hAnsi="Calibri" w:cs="Times New Roman"/>
      </w:rPr>
    </w:lvl>
    <w:lvl w:ilvl="1" w:tplc="ECFAF564">
      <w:start w:val="4"/>
      <w:numFmt w:val="lowerLetter"/>
      <w:lvlText w:val="%2)"/>
      <w:lvlJc w:val="left"/>
      <w:pPr>
        <w:tabs>
          <w:tab w:val="num" w:pos="1440"/>
        </w:tabs>
        <w:ind w:left="1440" w:hanging="360"/>
      </w:pPr>
      <w:rPr>
        <w:rFonts w:cs="Times New Roman" w:hint="default"/>
      </w:rPr>
    </w:lvl>
    <w:lvl w:ilvl="2" w:tplc="1E0052EE">
      <w:start w:val="4"/>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9B21A7C"/>
    <w:multiLevelType w:val="hybridMultilevel"/>
    <w:tmpl w:val="9EFEE2B2"/>
    <w:lvl w:ilvl="0" w:tplc="8B12B0A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E3D6010"/>
    <w:multiLevelType w:val="hybridMultilevel"/>
    <w:tmpl w:val="E188A7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EAF0E72"/>
    <w:multiLevelType w:val="hybridMultilevel"/>
    <w:tmpl w:val="D16009BA"/>
    <w:lvl w:ilvl="0" w:tplc="3CD62E40">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757C3B"/>
    <w:multiLevelType w:val="multilevel"/>
    <w:tmpl w:val="C87A8D00"/>
    <w:lvl w:ilvl="0">
      <w:start w:val="2"/>
      <w:numFmt w:val="upperRoman"/>
      <w:lvlText w:val="%1."/>
      <w:lvlJc w:val="left"/>
      <w:pPr>
        <w:tabs>
          <w:tab w:val="num" w:pos="1080"/>
        </w:tabs>
        <w:ind w:left="1080" w:hanging="720"/>
      </w:pPr>
      <w:rPr>
        <w:rFonts w:cs="Times New Roman" w:hint="default"/>
        <w:b/>
      </w:rPr>
    </w:lvl>
    <w:lvl w:ilvl="1">
      <w:start w:val="1"/>
      <w:numFmt w:val="decimal"/>
      <w:isLgl/>
      <w:lvlText w:val="%1.%2"/>
      <w:lvlJc w:val="left"/>
      <w:pPr>
        <w:tabs>
          <w:tab w:val="num" w:pos="720"/>
        </w:tabs>
        <w:ind w:left="720" w:hanging="360"/>
      </w:pPr>
      <w:rPr>
        <w:rFonts w:cs="Times New Roman" w:hint="default"/>
        <w:u w:val="none"/>
      </w:rPr>
    </w:lvl>
    <w:lvl w:ilvl="2">
      <w:start w:val="1"/>
      <w:numFmt w:val="decimal"/>
      <w:isLgl/>
      <w:lvlText w:val="%1.%2.%3"/>
      <w:lvlJc w:val="left"/>
      <w:pPr>
        <w:tabs>
          <w:tab w:val="num" w:pos="1080"/>
        </w:tabs>
        <w:ind w:left="1080" w:hanging="720"/>
      </w:pPr>
      <w:rPr>
        <w:rFonts w:cs="Times New Roman" w:hint="default"/>
        <w:u w:val="none"/>
      </w:rPr>
    </w:lvl>
    <w:lvl w:ilvl="3">
      <w:start w:val="1"/>
      <w:numFmt w:val="decimal"/>
      <w:isLgl/>
      <w:lvlText w:val="%1.%2.%3.%4"/>
      <w:lvlJc w:val="left"/>
      <w:pPr>
        <w:tabs>
          <w:tab w:val="num" w:pos="1080"/>
        </w:tabs>
        <w:ind w:left="1080" w:hanging="720"/>
      </w:pPr>
      <w:rPr>
        <w:rFonts w:cs="Times New Roman" w:hint="default"/>
        <w:u w:val="none"/>
      </w:rPr>
    </w:lvl>
    <w:lvl w:ilvl="4">
      <w:start w:val="1"/>
      <w:numFmt w:val="decimal"/>
      <w:isLgl/>
      <w:lvlText w:val="%1.%2.%3.%4.%5"/>
      <w:lvlJc w:val="left"/>
      <w:pPr>
        <w:tabs>
          <w:tab w:val="num" w:pos="1440"/>
        </w:tabs>
        <w:ind w:left="1440" w:hanging="1080"/>
      </w:pPr>
      <w:rPr>
        <w:rFonts w:cs="Times New Roman" w:hint="default"/>
        <w:u w:val="none"/>
      </w:rPr>
    </w:lvl>
    <w:lvl w:ilvl="5">
      <w:start w:val="1"/>
      <w:numFmt w:val="decimal"/>
      <w:isLgl/>
      <w:lvlText w:val="%1.%2.%3.%4.%5.%6"/>
      <w:lvlJc w:val="left"/>
      <w:pPr>
        <w:tabs>
          <w:tab w:val="num" w:pos="1440"/>
        </w:tabs>
        <w:ind w:left="1440" w:hanging="1080"/>
      </w:pPr>
      <w:rPr>
        <w:rFonts w:cs="Times New Roman" w:hint="default"/>
        <w:u w:val="none"/>
      </w:rPr>
    </w:lvl>
    <w:lvl w:ilvl="6">
      <w:start w:val="1"/>
      <w:numFmt w:val="decimal"/>
      <w:isLgl/>
      <w:lvlText w:val="%1.%2.%3.%4.%5.%6.%7"/>
      <w:lvlJc w:val="left"/>
      <w:pPr>
        <w:tabs>
          <w:tab w:val="num" w:pos="1800"/>
        </w:tabs>
        <w:ind w:left="1800" w:hanging="1440"/>
      </w:pPr>
      <w:rPr>
        <w:rFonts w:cs="Times New Roman" w:hint="default"/>
        <w:u w:val="none"/>
      </w:rPr>
    </w:lvl>
    <w:lvl w:ilvl="7">
      <w:start w:val="1"/>
      <w:numFmt w:val="decimal"/>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2160"/>
        </w:tabs>
        <w:ind w:left="2160" w:hanging="1800"/>
      </w:pPr>
      <w:rPr>
        <w:rFonts w:cs="Times New Roman" w:hint="default"/>
        <w:u w:val="none"/>
      </w:rPr>
    </w:lvl>
  </w:abstractNum>
  <w:abstractNum w:abstractNumId="27">
    <w:nsid w:val="727F513D"/>
    <w:multiLevelType w:val="hybridMultilevel"/>
    <w:tmpl w:val="C2AE1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BC627C"/>
    <w:multiLevelType w:val="hybridMultilevel"/>
    <w:tmpl w:val="0096F414"/>
    <w:lvl w:ilvl="0" w:tplc="F38C03C6">
      <w:start w:val="1"/>
      <w:numFmt w:val="bullet"/>
      <w:lvlText w:val=""/>
      <w:lvlJc w:val="left"/>
      <w:pPr>
        <w:tabs>
          <w:tab w:val="num" w:pos="540"/>
        </w:tabs>
        <w:ind w:left="540" w:hanging="360"/>
      </w:pPr>
      <w:rPr>
        <w:rFonts w:ascii="Symbol" w:hAnsi="Symbol" w:hint="default"/>
        <w:sz w:val="16"/>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9">
    <w:nsid w:val="72CE1A8F"/>
    <w:multiLevelType w:val="hybridMultilevel"/>
    <w:tmpl w:val="1DE2D1C8"/>
    <w:lvl w:ilvl="0" w:tplc="2DB01F1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6AF74A4"/>
    <w:multiLevelType w:val="hybridMultilevel"/>
    <w:tmpl w:val="112E5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080C7A"/>
    <w:multiLevelType w:val="hybridMultilevel"/>
    <w:tmpl w:val="B2666BBC"/>
    <w:lvl w:ilvl="0" w:tplc="3CD62E40">
      <w:start w:val="1"/>
      <w:numFmt w:val="bullet"/>
      <w:lvlText w:val=""/>
      <w:lvlJc w:val="left"/>
      <w:pPr>
        <w:tabs>
          <w:tab w:val="num" w:pos="720"/>
        </w:tabs>
        <w:ind w:left="720"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683F57"/>
    <w:multiLevelType w:val="hybridMultilevel"/>
    <w:tmpl w:val="2774E02E"/>
    <w:lvl w:ilvl="0" w:tplc="EE94310C">
      <w:start w:val="1"/>
      <w:numFmt w:val="upp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7FB50DBC"/>
    <w:multiLevelType w:val="hybridMultilevel"/>
    <w:tmpl w:val="22F8EA7C"/>
    <w:lvl w:ilvl="0" w:tplc="F38C03C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4"/>
  </w:num>
  <w:num w:numId="2">
    <w:abstractNumId w:val="20"/>
  </w:num>
  <w:num w:numId="3">
    <w:abstractNumId w:val="21"/>
  </w:num>
  <w:num w:numId="4">
    <w:abstractNumId w:val="10"/>
  </w:num>
  <w:num w:numId="5">
    <w:abstractNumId w:val="28"/>
  </w:num>
  <w:num w:numId="6">
    <w:abstractNumId w:val="2"/>
  </w:num>
  <w:num w:numId="7">
    <w:abstractNumId w:val="27"/>
  </w:num>
  <w:num w:numId="8">
    <w:abstractNumId w:val="24"/>
  </w:num>
  <w:num w:numId="9">
    <w:abstractNumId w:val="18"/>
  </w:num>
  <w:num w:numId="10">
    <w:abstractNumId w:val="15"/>
  </w:num>
  <w:num w:numId="11">
    <w:abstractNumId w:val="16"/>
  </w:num>
  <w:num w:numId="12">
    <w:abstractNumId w:val="23"/>
  </w:num>
  <w:num w:numId="13">
    <w:abstractNumId w:val="4"/>
  </w:num>
  <w:num w:numId="14">
    <w:abstractNumId w:val="6"/>
  </w:num>
  <w:num w:numId="15">
    <w:abstractNumId w:val="29"/>
  </w:num>
  <w:num w:numId="16">
    <w:abstractNumId w:val="8"/>
  </w:num>
  <w:num w:numId="17">
    <w:abstractNumId w:val="3"/>
  </w:num>
  <w:num w:numId="18">
    <w:abstractNumId w:val="1"/>
  </w:num>
  <w:num w:numId="19">
    <w:abstractNumId w:val="22"/>
  </w:num>
  <w:num w:numId="20">
    <w:abstractNumId w:val="31"/>
  </w:num>
  <w:num w:numId="21">
    <w:abstractNumId w:val="5"/>
  </w:num>
  <w:num w:numId="22">
    <w:abstractNumId w:val="25"/>
  </w:num>
  <w:num w:numId="23">
    <w:abstractNumId w:val="30"/>
  </w:num>
  <w:num w:numId="24">
    <w:abstractNumId w:val="7"/>
  </w:num>
  <w:num w:numId="25">
    <w:abstractNumId w:val="32"/>
  </w:num>
  <w:num w:numId="26">
    <w:abstractNumId w:val="12"/>
  </w:num>
  <w:num w:numId="27">
    <w:abstractNumId w:val="33"/>
  </w:num>
  <w:num w:numId="28">
    <w:abstractNumId w:val="13"/>
  </w:num>
  <w:num w:numId="29">
    <w:abstractNumId w:val="11"/>
  </w:num>
  <w:num w:numId="30">
    <w:abstractNumId w:val="17"/>
  </w:num>
  <w:num w:numId="31">
    <w:abstractNumId w:val="9"/>
  </w:num>
  <w:num w:numId="32">
    <w:abstractNumId w:val="19"/>
  </w:num>
  <w:num w:numId="33">
    <w:abstractNumId w:val="26"/>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C85"/>
    <w:rsid w:val="000029C9"/>
    <w:rsid w:val="00006440"/>
    <w:rsid w:val="0001664D"/>
    <w:rsid w:val="000172CA"/>
    <w:rsid w:val="00021F00"/>
    <w:rsid w:val="000269C0"/>
    <w:rsid w:val="00033CE1"/>
    <w:rsid w:val="000351DE"/>
    <w:rsid w:val="0003749F"/>
    <w:rsid w:val="0004574D"/>
    <w:rsid w:val="0004718D"/>
    <w:rsid w:val="000504F8"/>
    <w:rsid w:val="00051314"/>
    <w:rsid w:val="00053718"/>
    <w:rsid w:val="00062B09"/>
    <w:rsid w:val="00063F95"/>
    <w:rsid w:val="00067B55"/>
    <w:rsid w:val="00074E99"/>
    <w:rsid w:val="00075FCB"/>
    <w:rsid w:val="00076E42"/>
    <w:rsid w:val="00080AA8"/>
    <w:rsid w:val="000828AD"/>
    <w:rsid w:val="000848D9"/>
    <w:rsid w:val="00091B59"/>
    <w:rsid w:val="00094EA8"/>
    <w:rsid w:val="0009712B"/>
    <w:rsid w:val="0009735A"/>
    <w:rsid w:val="0009748E"/>
    <w:rsid w:val="000A4B75"/>
    <w:rsid w:val="000A70DB"/>
    <w:rsid w:val="000B0A30"/>
    <w:rsid w:val="000B16A5"/>
    <w:rsid w:val="000B35DE"/>
    <w:rsid w:val="000C2F3F"/>
    <w:rsid w:val="000C35A7"/>
    <w:rsid w:val="000C3D46"/>
    <w:rsid w:val="000C5939"/>
    <w:rsid w:val="000C5BB0"/>
    <w:rsid w:val="000D082E"/>
    <w:rsid w:val="000E492E"/>
    <w:rsid w:val="000E5C59"/>
    <w:rsid w:val="000E5D4D"/>
    <w:rsid w:val="000E784F"/>
    <w:rsid w:val="000E7F3D"/>
    <w:rsid w:val="000F03AE"/>
    <w:rsid w:val="000F152E"/>
    <w:rsid w:val="000F4427"/>
    <w:rsid w:val="000F4CD2"/>
    <w:rsid w:val="000F4F44"/>
    <w:rsid w:val="0010501A"/>
    <w:rsid w:val="00106DAB"/>
    <w:rsid w:val="00110F05"/>
    <w:rsid w:val="001110CB"/>
    <w:rsid w:val="0011113C"/>
    <w:rsid w:val="001134DB"/>
    <w:rsid w:val="0012314F"/>
    <w:rsid w:val="00124081"/>
    <w:rsid w:val="00126F87"/>
    <w:rsid w:val="00131C04"/>
    <w:rsid w:val="0013249C"/>
    <w:rsid w:val="00133515"/>
    <w:rsid w:val="001403C2"/>
    <w:rsid w:val="001407E1"/>
    <w:rsid w:val="00140E5E"/>
    <w:rsid w:val="00141E58"/>
    <w:rsid w:val="00147AB2"/>
    <w:rsid w:val="00147ADB"/>
    <w:rsid w:val="00152F3B"/>
    <w:rsid w:val="001536BC"/>
    <w:rsid w:val="001552D8"/>
    <w:rsid w:val="00156969"/>
    <w:rsid w:val="00156E78"/>
    <w:rsid w:val="001572A1"/>
    <w:rsid w:val="00157F21"/>
    <w:rsid w:val="0016013A"/>
    <w:rsid w:val="0016056C"/>
    <w:rsid w:val="0016068B"/>
    <w:rsid w:val="0016181F"/>
    <w:rsid w:val="001640A3"/>
    <w:rsid w:val="001643D5"/>
    <w:rsid w:val="00171D0A"/>
    <w:rsid w:val="00175421"/>
    <w:rsid w:val="00175C1D"/>
    <w:rsid w:val="0018002A"/>
    <w:rsid w:val="00180D7A"/>
    <w:rsid w:val="00191F5F"/>
    <w:rsid w:val="001930E4"/>
    <w:rsid w:val="001934B5"/>
    <w:rsid w:val="00193845"/>
    <w:rsid w:val="00195286"/>
    <w:rsid w:val="001A1312"/>
    <w:rsid w:val="001A1CCF"/>
    <w:rsid w:val="001A4DF4"/>
    <w:rsid w:val="001A7FE0"/>
    <w:rsid w:val="001B1034"/>
    <w:rsid w:val="001B3040"/>
    <w:rsid w:val="001B5ECC"/>
    <w:rsid w:val="001B71D1"/>
    <w:rsid w:val="001B759B"/>
    <w:rsid w:val="001C0E83"/>
    <w:rsid w:val="001C5186"/>
    <w:rsid w:val="001C52E0"/>
    <w:rsid w:val="001D3611"/>
    <w:rsid w:val="001D4C0A"/>
    <w:rsid w:val="001D4DC1"/>
    <w:rsid w:val="001D6406"/>
    <w:rsid w:val="001D7F4C"/>
    <w:rsid w:val="001E3E09"/>
    <w:rsid w:val="001E542D"/>
    <w:rsid w:val="001E63C4"/>
    <w:rsid w:val="001E65B2"/>
    <w:rsid w:val="001E6995"/>
    <w:rsid w:val="001E699F"/>
    <w:rsid w:val="001E6BA8"/>
    <w:rsid w:val="001E79F2"/>
    <w:rsid w:val="001F0572"/>
    <w:rsid w:val="001F62F6"/>
    <w:rsid w:val="002006B3"/>
    <w:rsid w:val="00201F59"/>
    <w:rsid w:val="00203736"/>
    <w:rsid w:val="002049D0"/>
    <w:rsid w:val="00204A49"/>
    <w:rsid w:val="0020665F"/>
    <w:rsid w:val="002069BE"/>
    <w:rsid w:val="00221139"/>
    <w:rsid w:val="0022159A"/>
    <w:rsid w:val="00222639"/>
    <w:rsid w:val="002256BC"/>
    <w:rsid w:val="002335CA"/>
    <w:rsid w:val="00236206"/>
    <w:rsid w:val="00237B96"/>
    <w:rsid w:val="00237C8D"/>
    <w:rsid w:val="0024011E"/>
    <w:rsid w:val="00242001"/>
    <w:rsid w:val="002446E7"/>
    <w:rsid w:val="00252721"/>
    <w:rsid w:val="00254D15"/>
    <w:rsid w:val="0025558C"/>
    <w:rsid w:val="002625F3"/>
    <w:rsid w:val="00262B84"/>
    <w:rsid w:val="002679DC"/>
    <w:rsid w:val="002708ED"/>
    <w:rsid w:val="00277269"/>
    <w:rsid w:val="002819F6"/>
    <w:rsid w:val="00282832"/>
    <w:rsid w:val="00282940"/>
    <w:rsid w:val="002832B6"/>
    <w:rsid w:val="0028399E"/>
    <w:rsid w:val="002849A5"/>
    <w:rsid w:val="0028545F"/>
    <w:rsid w:val="002859C0"/>
    <w:rsid w:val="002864F1"/>
    <w:rsid w:val="00287B45"/>
    <w:rsid w:val="00292541"/>
    <w:rsid w:val="0029575E"/>
    <w:rsid w:val="0029670C"/>
    <w:rsid w:val="002A0466"/>
    <w:rsid w:val="002A0F94"/>
    <w:rsid w:val="002A163C"/>
    <w:rsid w:val="002A362D"/>
    <w:rsid w:val="002A3F30"/>
    <w:rsid w:val="002A3FC0"/>
    <w:rsid w:val="002A4788"/>
    <w:rsid w:val="002B0172"/>
    <w:rsid w:val="002B3BE8"/>
    <w:rsid w:val="002B420F"/>
    <w:rsid w:val="002B577A"/>
    <w:rsid w:val="002B660A"/>
    <w:rsid w:val="002B76E7"/>
    <w:rsid w:val="002C3EA0"/>
    <w:rsid w:val="002D224E"/>
    <w:rsid w:val="002D260F"/>
    <w:rsid w:val="002D4312"/>
    <w:rsid w:val="002D5F64"/>
    <w:rsid w:val="002E0A82"/>
    <w:rsid w:val="002E27E5"/>
    <w:rsid w:val="002E7DD3"/>
    <w:rsid w:val="002F16D3"/>
    <w:rsid w:val="002F234C"/>
    <w:rsid w:val="002F309F"/>
    <w:rsid w:val="002F5982"/>
    <w:rsid w:val="00305AB0"/>
    <w:rsid w:val="00306432"/>
    <w:rsid w:val="00306F9C"/>
    <w:rsid w:val="00310662"/>
    <w:rsid w:val="00310950"/>
    <w:rsid w:val="003132D2"/>
    <w:rsid w:val="00313CFF"/>
    <w:rsid w:val="00317D72"/>
    <w:rsid w:val="00323454"/>
    <w:rsid w:val="00333ABB"/>
    <w:rsid w:val="003354B6"/>
    <w:rsid w:val="00336BC2"/>
    <w:rsid w:val="00337828"/>
    <w:rsid w:val="00340528"/>
    <w:rsid w:val="0034106F"/>
    <w:rsid w:val="00346776"/>
    <w:rsid w:val="00363B29"/>
    <w:rsid w:val="00365525"/>
    <w:rsid w:val="0037168E"/>
    <w:rsid w:val="0037172E"/>
    <w:rsid w:val="0038057A"/>
    <w:rsid w:val="003815AF"/>
    <w:rsid w:val="00382B1D"/>
    <w:rsid w:val="00386955"/>
    <w:rsid w:val="00390888"/>
    <w:rsid w:val="003918E5"/>
    <w:rsid w:val="00395506"/>
    <w:rsid w:val="00395B6C"/>
    <w:rsid w:val="00396556"/>
    <w:rsid w:val="0039776D"/>
    <w:rsid w:val="003A453B"/>
    <w:rsid w:val="003A5590"/>
    <w:rsid w:val="003B4AD0"/>
    <w:rsid w:val="003B5435"/>
    <w:rsid w:val="003C102A"/>
    <w:rsid w:val="003C274A"/>
    <w:rsid w:val="003C7017"/>
    <w:rsid w:val="003D2272"/>
    <w:rsid w:val="003D3497"/>
    <w:rsid w:val="003D46A5"/>
    <w:rsid w:val="003E3EFF"/>
    <w:rsid w:val="003E460B"/>
    <w:rsid w:val="003E546F"/>
    <w:rsid w:val="003F10A6"/>
    <w:rsid w:val="003F1AFB"/>
    <w:rsid w:val="003F2E7B"/>
    <w:rsid w:val="003F36B7"/>
    <w:rsid w:val="003F3B6A"/>
    <w:rsid w:val="00401B4E"/>
    <w:rsid w:val="00402AB0"/>
    <w:rsid w:val="00404F7F"/>
    <w:rsid w:val="004061FE"/>
    <w:rsid w:val="00406CC8"/>
    <w:rsid w:val="00413D3B"/>
    <w:rsid w:val="00415DB6"/>
    <w:rsid w:val="00416A10"/>
    <w:rsid w:val="0042036E"/>
    <w:rsid w:val="00421717"/>
    <w:rsid w:val="00423FB3"/>
    <w:rsid w:val="004251F9"/>
    <w:rsid w:val="00425FF0"/>
    <w:rsid w:val="00427476"/>
    <w:rsid w:val="00431CE5"/>
    <w:rsid w:val="004358F4"/>
    <w:rsid w:val="00440744"/>
    <w:rsid w:val="004519AB"/>
    <w:rsid w:val="00452D7F"/>
    <w:rsid w:val="00461373"/>
    <w:rsid w:val="00461B1C"/>
    <w:rsid w:val="00461FD6"/>
    <w:rsid w:val="00462F75"/>
    <w:rsid w:val="00464E35"/>
    <w:rsid w:val="004678AB"/>
    <w:rsid w:val="004710A5"/>
    <w:rsid w:val="00472145"/>
    <w:rsid w:val="004725A1"/>
    <w:rsid w:val="00473012"/>
    <w:rsid w:val="00473B89"/>
    <w:rsid w:val="0047440E"/>
    <w:rsid w:val="00476029"/>
    <w:rsid w:val="00476C5F"/>
    <w:rsid w:val="004812A4"/>
    <w:rsid w:val="00487197"/>
    <w:rsid w:val="00487852"/>
    <w:rsid w:val="00487897"/>
    <w:rsid w:val="00493A4C"/>
    <w:rsid w:val="004A1AB0"/>
    <w:rsid w:val="004A67E2"/>
    <w:rsid w:val="004A7622"/>
    <w:rsid w:val="004B0174"/>
    <w:rsid w:val="004B0C01"/>
    <w:rsid w:val="004B0F2E"/>
    <w:rsid w:val="004B23A0"/>
    <w:rsid w:val="004B278F"/>
    <w:rsid w:val="004B6794"/>
    <w:rsid w:val="004B6C42"/>
    <w:rsid w:val="004B7816"/>
    <w:rsid w:val="004C0711"/>
    <w:rsid w:val="004C077D"/>
    <w:rsid w:val="004C7EB3"/>
    <w:rsid w:val="004D210B"/>
    <w:rsid w:val="004D282E"/>
    <w:rsid w:val="004D6F80"/>
    <w:rsid w:val="004E3A4F"/>
    <w:rsid w:val="004E402A"/>
    <w:rsid w:val="004E6DE9"/>
    <w:rsid w:val="004F069A"/>
    <w:rsid w:val="004F533B"/>
    <w:rsid w:val="004F5883"/>
    <w:rsid w:val="004F66F3"/>
    <w:rsid w:val="004F6B3C"/>
    <w:rsid w:val="004F7E7F"/>
    <w:rsid w:val="00501BED"/>
    <w:rsid w:val="00504A25"/>
    <w:rsid w:val="00510070"/>
    <w:rsid w:val="00510446"/>
    <w:rsid w:val="005114A9"/>
    <w:rsid w:val="00513D5B"/>
    <w:rsid w:val="00513E28"/>
    <w:rsid w:val="005158DF"/>
    <w:rsid w:val="00516EAF"/>
    <w:rsid w:val="00522744"/>
    <w:rsid w:val="00523900"/>
    <w:rsid w:val="005247F4"/>
    <w:rsid w:val="00531463"/>
    <w:rsid w:val="005405BC"/>
    <w:rsid w:val="005421D0"/>
    <w:rsid w:val="00545E55"/>
    <w:rsid w:val="00551FF5"/>
    <w:rsid w:val="00553E6A"/>
    <w:rsid w:val="00560B96"/>
    <w:rsid w:val="00561AFC"/>
    <w:rsid w:val="00561D83"/>
    <w:rsid w:val="005639F1"/>
    <w:rsid w:val="00566B2E"/>
    <w:rsid w:val="005711C6"/>
    <w:rsid w:val="005738A2"/>
    <w:rsid w:val="0057407E"/>
    <w:rsid w:val="00577356"/>
    <w:rsid w:val="00582CDC"/>
    <w:rsid w:val="00582D8B"/>
    <w:rsid w:val="00584501"/>
    <w:rsid w:val="00585DB0"/>
    <w:rsid w:val="00590DA8"/>
    <w:rsid w:val="00596259"/>
    <w:rsid w:val="005A4C5A"/>
    <w:rsid w:val="005A519A"/>
    <w:rsid w:val="005B185F"/>
    <w:rsid w:val="005B45F7"/>
    <w:rsid w:val="005C22B6"/>
    <w:rsid w:val="005C247C"/>
    <w:rsid w:val="005C33C9"/>
    <w:rsid w:val="005C5A46"/>
    <w:rsid w:val="005C7148"/>
    <w:rsid w:val="005D2A60"/>
    <w:rsid w:val="005D3733"/>
    <w:rsid w:val="005D5316"/>
    <w:rsid w:val="005D6FDF"/>
    <w:rsid w:val="005E16B6"/>
    <w:rsid w:val="005E2689"/>
    <w:rsid w:val="005E2A33"/>
    <w:rsid w:val="005E2B4A"/>
    <w:rsid w:val="005E3E94"/>
    <w:rsid w:val="005E3FC3"/>
    <w:rsid w:val="005E5710"/>
    <w:rsid w:val="005E61DE"/>
    <w:rsid w:val="005E682F"/>
    <w:rsid w:val="005F20F2"/>
    <w:rsid w:val="005F5C38"/>
    <w:rsid w:val="005F60AB"/>
    <w:rsid w:val="005F640E"/>
    <w:rsid w:val="0060072C"/>
    <w:rsid w:val="006008EA"/>
    <w:rsid w:val="006053AA"/>
    <w:rsid w:val="00606BE4"/>
    <w:rsid w:val="00607CA8"/>
    <w:rsid w:val="00612D08"/>
    <w:rsid w:val="00612DEE"/>
    <w:rsid w:val="00616BB3"/>
    <w:rsid w:val="00620A29"/>
    <w:rsid w:val="00623B69"/>
    <w:rsid w:val="00625A4A"/>
    <w:rsid w:val="006267A4"/>
    <w:rsid w:val="0063418D"/>
    <w:rsid w:val="006355E9"/>
    <w:rsid w:val="0063599B"/>
    <w:rsid w:val="006361EA"/>
    <w:rsid w:val="00645745"/>
    <w:rsid w:val="0065443A"/>
    <w:rsid w:val="006574E0"/>
    <w:rsid w:val="00657B49"/>
    <w:rsid w:val="00660994"/>
    <w:rsid w:val="00661115"/>
    <w:rsid w:val="00667952"/>
    <w:rsid w:val="006707D1"/>
    <w:rsid w:val="00672AFE"/>
    <w:rsid w:val="00672E04"/>
    <w:rsid w:val="006766CD"/>
    <w:rsid w:val="006772D4"/>
    <w:rsid w:val="006800A7"/>
    <w:rsid w:val="006829E8"/>
    <w:rsid w:val="00682AEA"/>
    <w:rsid w:val="00683656"/>
    <w:rsid w:val="00687034"/>
    <w:rsid w:val="00694094"/>
    <w:rsid w:val="0069424F"/>
    <w:rsid w:val="00694DAC"/>
    <w:rsid w:val="00695B26"/>
    <w:rsid w:val="006A41B2"/>
    <w:rsid w:val="006A695F"/>
    <w:rsid w:val="006A70A9"/>
    <w:rsid w:val="006B0F9A"/>
    <w:rsid w:val="006B2992"/>
    <w:rsid w:val="006B3C6A"/>
    <w:rsid w:val="006B4A97"/>
    <w:rsid w:val="006B553C"/>
    <w:rsid w:val="006B5D00"/>
    <w:rsid w:val="006B6361"/>
    <w:rsid w:val="006C0BC3"/>
    <w:rsid w:val="006D16B1"/>
    <w:rsid w:val="006D24CF"/>
    <w:rsid w:val="006D2804"/>
    <w:rsid w:val="006D460A"/>
    <w:rsid w:val="006D6639"/>
    <w:rsid w:val="006D7475"/>
    <w:rsid w:val="006E68D3"/>
    <w:rsid w:val="006E7994"/>
    <w:rsid w:val="006F07AF"/>
    <w:rsid w:val="006F28D3"/>
    <w:rsid w:val="006F5F72"/>
    <w:rsid w:val="006F6113"/>
    <w:rsid w:val="007048FD"/>
    <w:rsid w:val="00707492"/>
    <w:rsid w:val="00707AD1"/>
    <w:rsid w:val="00710A49"/>
    <w:rsid w:val="007117AF"/>
    <w:rsid w:val="00716D01"/>
    <w:rsid w:val="0071762F"/>
    <w:rsid w:val="00725844"/>
    <w:rsid w:val="007303EB"/>
    <w:rsid w:val="00732CA2"/>
    <w:rsid w:val="007362A0"/>
    <w:rsid w:val="00736689"/>
    <w:rsid w:val="00736704"/>
    <w:rsid w:val="007374B6"/>
    <w:rsid w:val="00740BCC"/>
    <w:rsid w:val="00743646"/>
    <w:rsid w:val="007447EB"/>
    <w:rsid w:val="007500B7"/>
    <w:rsid w:val="00752A9E"/>
    <w:rsid w:val="00752BB8"/>
    <w:rsid w:val="00756101"/>
    <w:rsid w:val="00756A0F"/>
    <w:rsid w:val="00764025"/>
    <w:rsid w:val="00764743"/>
    <w:rsid w:val="00764A14"/>
    <w:rsid w:val="007716E1"/>
    <w:rsid w:val="00772BCF"/>
    <w:rsid w:val="007753D3"/>
    <w:rsid w:val="0077764D"/>
    <w:rsid w:val="00777797"/>
    <w:rsid w:val="00780323"/>
    <w:rsid w:val="0078202F"/>
    <w:rsid w:val="007821B7"/>
    <w:rsid w:val="00793724"/>
    <w:rsid w:val="007945C3"/>
    <w:rsid w:val="00796D23"/>
    <w:rsid w:val="007A000A"/>
    <w:rsid w:val="007A0180"/>
    <w:rsid w:val="007A2138"/>
    <w:rsid w:val="007A47E0"/>
    <w:rsid w:val="007A4E98"/>
    <w:rsid w:val="007A5539"/>
    <w:rsid w:val="007A57A8"/>
    <w:rsid w:val="007A6F3C"/>
    <w:rsid w:val="007B20AE"/>
    <w:rsid w:val="007B6D5D"/>
    <w:rsid w:val="007C0E37"/>
    <w:rsid w:val="007C330F"/>
    <w:rsid w:val="007C3DCA"/>
    <w:rsid w:val="007C47D7"/>
    <w:rsid w:val="007D027D"/>
    <w:rsid w:val="007D0C02"/>
    <w:rsid w:val="007D205A"/>
    <w:rsid w:val="007D2262"/>
    <w:rsid w:val="007D2BFD"/>
    <w:rsid w:val="007D4B5E"/>
    <w:rsid w:val="007D66DA"/>
    <w:rsid w:val="007D6F8F"/>
    <w:rsid w:val="007E1C8B"/>
    <w:rsid w:val="007E233D"/>
    <w:rsid w:val="007E7E3F"/>
    <w:rsid w:val="007E7F50"/>
    <w:rsid w:val="007F5E8C"/>
    <w:rsid w:val="007F6520"/>
    <w:rsid w:val="007F6A2F"/>
    <w:rsid w:val="007F714B"/>
    <w:rsid w:val="008015BE"/>
    <w:rsid w:val="00804A94"/>
    <w:rsid w:val="0080545A"/>
    <w:rsid w:val="00807551"/>
    <w:rsid w:val="00807B97"/>
    <w:rsid w:val="0081162E"/>
    <w:rsid w:val="008132E4"/>
    <w:rsid w:val="00813AA3"/>
    <w:rsid w:val="008168FF"/>
    <w:rsid w:val="008258F2"/>
    <w:rsid w:val="0082719F"/>
    <w:rsid w:val="008273B8"/>
    <w:rsid w:val="00830A36"/>
    <w:rsid w:val="008344CB"/>
    <w:rsid w:val="00842416"/>
    <w:rsid w:val="00842A23"/>
    <w:rsid w:val="00844B90"/>
    <w:rsid w:val="008459A8"/>
    <w:rsid w:val="00850070"/>
    <w:rsid w:val="00861508"/>
    <w:rsid w:val="008635C3"/>
    <w:rsid w:val="00863BBC"/>
    <w:rsid w:val="0086609C"/>
    <w:rsid w:val="00867A1B"/>
    <w:rsid w:val="00871915"/>
    <w:rsid w:val="00871DDF"/>
    <w:rsid w:val="00871FBA"/>
    <w:rsid w:val="00874CE0"/>
    <w:rsid w:val="00875E8F"/>
    <w:rsid w:val="008769E7"/>
    <w:rsid w:val="00880D5C"/>
    <w:rsid w:val="008824D1"/>
    <w:rsid w:val="008921B6"/>
    <w:rsid w:val="00892458"/>
    <w:rsid w:val="00892489"/>
    <w:rsid w:val="00893831"/>
    <w:rsid w:val="00896157"/>
    <w:rsid w:val="0089647F"/>
    <w:rsid w:val="00896953"/>
    <w:rsid w:val="008A06C1"/>
    <w:rsid w:val="008A177E"/>
    <w:rsid w:val="008A302D"/>
    <w:rsid w:val="008A4C8A"/>
    <w:rsid w:val="008A5C15"/>
    <w:rsid w:val="008A6F75"/>
    <w:rsid w:val="008B0016"/>
    <w:rsid w:val="008B20F8"/>
    <w:rsid w:val="008C070E"/>
    <w:rsid w:val="008C082B"/>
    <w:rsid w:val="008C37EA"/>
    <w:rsid w:val="008E1D91"/>
    <w:rsid w:val="008E611D"/>
    <w:rsid w:val="008E664B"/>
    <w:rsid w:val="008F399A"/>
    <w:rsid w:val="008F415F"/>
    <w:rsid w:val="008F72F5"/>
    <w:rsid w:val="008F7CE1"/>
    <w:rsid w:val="00900A21"/>
    <w:rsid w:val="009012B8"/>
    <w:rsid w:val="00901862"/>
    <w:rsid w:val="009022EF"/>
    <w:rsid w:val="009048C2"/>
    <w:rsid w:val="00905490"/>
    <w:rsid w:val="00906419"/>
    <w:rsid w:val="00912EC8"/>
    <w:rsid w:val="00915395"/>
    <w:rsid w:val="00915B11"/>
    <w:rsid w:val="00917474"/>
    <w:rsid w:val="009221A1"/>
    <w:rsid w:val="00923982"/>
    <w:rsid w:val="00925415"/>
    <w:rsid w:val="0094528F"/>
    <w:rsid w:val="009521ED"/>
    <w:rsid w:val="00953267"/>
    <w:rsid w:val="00953E20"/>
    <w:rsid w:val="00954D9A"/>
    <w:rsid w:val="009623C6"/>
    <w:rsid w:val="00973B2D"/>
    <w:rsid w:val="00973C72"/>
    <w:rsid w:val="0097450D"/>
    <w:rsid w:val="00974696"/>
    <w:rsid w:val="009746D7"/>
    <w:rsid w:val="00974DF2"/>
    <w:rsid w:val="00975652"/>
    <w:rsid w:val="00975770"/>
    <w:rsid w:val="009778BF"/>
    <w:rsid w:val="00977E18"/>
    <w:rsid w:val="00980CE6"/>
    <w:rsid w:val="009814EC"/>
    <w:rsid w:val="0098277D"/>
    <w:rsid w:val="0098385E"/>
    <w:rsid w:val="0098529A"/>
    <w:rsid w:val="00985F61"/>
    <w:rsid w:val="00994846"/>
    <w:rsid w:val="009971CF"/>
    <w:rsid w:val="00997471"/>
    <w:rsid w:val="009A1A33"/>
    <w:rsid w:val="009A33D7"/>
    <w:rsid w:val="009A586F"/>
    <w:rsid w:val="009A780F"/>
    <w:rsid w:val="009A7C8A"/>
    <w:rsid w:val="009B2AB5"/>
    <w:rsid w:val="009B5C07"/>
    <w:rsid w:val="009B6ECD"/>
    <w:rsid w:val="009B713B"/>
    <w:rsid w:val="009B7C07"/>
    <w:rsid w:val="009C092A"/>
    <w:rsid w:val="009D1737"/>
    <w:rsid w:val="009D3EC7"/>
    <w:rsid w:val="009D4AD3"/>
    <w:rsid w:val="009E48C1"/>
    <w:rsid w:val="009E54CB"/>
    <w:rsid w:val="009F07DC"/>
    <w:rsid w:val="009F16F0"/>
    <w:rsid w:val="00A033CF"/>
    <w:rsid w:val="00A0394D"/>
    <w:rsid w:val="00A116CC"/>
    <w:rsid w:val="00A13F45"/>
    <w:rsid w:val="00A14D5D"/>
    <w:rsid w:val="00A3007A"/>
    <w:rsid w:val="00A32608"/>
    <w:rsid w:val="00A32D6D"/>
    <w:rsid w:val="00A43192"/>
    <w:rsid w:val="00A455CE"/>
    <w:rsid w:val="00A45B71"/>
    <w:rsid w:val="00A5376D"/>
    <w:rsid w:val="00A55C06"/>
    <w:rsid w:val="00A56C02"/>
    <w:rsid w:val="00A570BA"/>
    <w:rsid w:val="00A57314"/>
    <w:rsid w:val="00A60C90"/>
    <w:rsid w:val="00A661BE"/>
    <w:rsid w:val="00A72555"/>
    <w:rsid w:val="00A72B25"/>
    <w:rsid w:val="00A72F57"/>
    <w:rsid w:val="00A730EA"/>
    <w:rsid w:val="00A85C1B"/>
    <w:rsid w:val="00A91FA6"/>
    <w:rsid w:val="00AA4D47"/>
    <w:rsid w:val="00AA6BED"/>
    <w:rsid w:val="00AB0999"/>
    <w:rsid w:val="00AB1EF5"/>
    <w:rsid w:val="00AB223E"/>
    <w:rsid w:val="00AB26C5"/>
    <w:rsid w:val="00AB2728"/>
    <w:rsid w:val="00AB2CF8"/>
    <w:rsid w:val="00AB68E3"/>
    <w:rsid w:val="00AB71DE"/>
    <w:rsid w:val="00AB7503"/>
    <w:rsid w:val="00AC0DA8"/>
    <w:rsid w:val="00AC3310"/>
    <w:rsid w:val="00AD17E7"/>
    <w:rsid w:val="00AD197E"/>
    <w:rsid w:val="00AD4601"/>
    <w:rsid w:val="00AD5E64"/>
    <w:rsid w:val="00AD6696"/>
    <w:rsid w:val="00AE619A"/>
    <w:rsid w:val="00AE6B74"/>
    <w:rsid w:val="00AF0956"/>
    <w:rsid w:val="00AF1368"/>
    <w:rsid w:val="00AF712C"/>
    <w:rsid w:val="00B05E14"/>
    <w:rsid w:val="00B11FA3"/>
    <w:rsid w:val="00B168BC"/>
    <w:rsid w:val="00B30FB4"/>
    <w:rsid w:val="00B32F6F"/>
    <w:rsid w:val="00B33193"/>
    <w:rsid w:val="00B3384D"/>
    <w:rsid w:val="00B33CA2"/>
    <w:rsid w:val="00B3481D"/>
    <w:rsid w:val="00B3564A"/>
    <w:rsid w:val="00B35DE8"/>
    <w:rsid w:val="00B36967"/>
    <w:rsid w:val="00B40A6A"/>
    <w:rsid w:val="00B40D18"/>
    <w:rsid w:val="00B50FBB"/>
    <w:rsid w:val="00B55704"/>
    <w:rsid w:val="00B5703E"/>
    <w:rsid w:val="00B61444"/>
    <w:rsid w:val="00B62633"/>
    <w:rsid w:val="00B62CCD"/>
    <w:rsid w:val="00B64BB8"/>
    <w:rsid w:val="00B73DC2"/>
    <w:rsid w:val="00B74274"/>
    <w:rsid w:val="00B757BC"/>
    <w:rsid w:val="00B765AB"/>
    <w:rsid w:val="00B76A07"/>
    <w:rsid w:val="00B7745A"/>
    <w:rsid w:val="00B8149B"/>
    <w:rsid w:val="00B83BDD"/>
    <w:rsid w:val="00B84724"/>
    <w:rsid w:val="00B8498C"/>
    <w:rsid w:val="00B87CDF"/>
    <w:rsid w:val="00B90232"/>
    <w:rsid w:val="00B9110E"/>
    <w:rsid w:val="00B911DE"/>
    <w:rsid w:val="00B93B79"/>
    <w:rsid w:val="00B946EF"/>
    <w:rsid w:val="00B94AC7"/>
    <w:rsid w:val="00B9544D"/>
    <w:rsid w:val="00B969EB"/>
    <w:rsid w:val="00BA1D57"/>
    <w:rsid w:val="00BA2EDB"/>
    <w:rsid w:val="00BA3522"/>
    <w:rsid w:val="00BA4F28"/>
    <w:rsid w:val="00BA51DB"/>
    <w:rsid w:val="00BA5982"/>
    <w:rsid w:val="00BA7E2A"/>
    <w:rsid w:val="00BB0661"/>
    <w:rsid w:val="00BB10F7"/>
    <w:rsid w:val="00BC0499"/>
    <w:rsid w:val="00BC0CC8"/>
    <w:rsid w:val="00BD032A"/>
    <w:rsid w:val="00BD0BA7"/>
    <w:rsid w:val="00BD233E"/>
    <w:rsid w:val="00BD26D8"/>
    <w:rsid w:val="00BD3C93"/>
    <w:rsid w:val="00BD4D8D"/>
    <w:rsid w:val="00BE0FCC"/>
    <w:rsid w:val="00BE122A"/>
    <w:rsid w:val="00BE20E1"/>
    <w:rsid w:val="00BF3A23"/>
    <w:rsid w:val="00BF4A5D"/>
    <w:rsid w:val="00C01267"/>
    <w:rsid w:val="00C0316A"/>
    <w:rsid w:val="00C05DBA"/>
    <w:rsid w:val="00C07479"/>
    <w:rsid w:val="00C10B38"/>
    <w:rsid w:val="00C13335"/>
    <w:rsid w:val="00C20E36"/>
    <w:rsid w:val="00C22182"/>
    <w:rsid w:val="00C2290E"/>
    <w:rsid w:val="00C23172"/>
    <w:rsid w:val="00C30058"/>
    <w:rsid w:val="00C3250E"/>
    <w:rsid w:val="00C35D53"/>
    <w:rsid w:val="00C37348"/>
    <w:rsid w:val="00C40623"/>
    <w:rsid w:val="00C40B00"/>
    <w:rsid w:val="00C4416F"/>
    <w:rsid w:val="00C53D96"/>
    <w:rsid w:val="00C57CCB"/>
    <w:rsid w:val="00C63A17"/>
    <w:rsid w:val="00C72A34"/>
    <w:rsid w:val="00C77135"/>
    <w:rsid w:val="00C82F3D"/>
    <w:rsid w:val="00C929BD"/>
    <w:rsid w:val="00C971B3"/>
    <w:rsid w:val="00CA037D"/>
    <w:rsid w:val="00CA1A50"/>
    <w:rsid w:val="00CA6F03"/>
    <w:rsid w:val="00CB1689"/>
    <w:rsid w:val="00CB3463"/>
    <w:rsid w:val="00CB3479"/>
    <w:rsid w:val="00CC6E1C"/>
    <w:rsid w:val="00CC71F9"/>
    <w:rsid w:val="00CC79F0"/>
    <w:rsid w:val="00CD04DD"/>
    <w:rsid w:val="00CD0933"/>
    <w:rsid w:val="00CD1B50"/>
    <w:rsid w:val="00CD2A42"/>
    <w:rsid w:val="00CD2AEF"/>
    <w:rsid w:val="00CD3709"/>
    <w:rsid w:val="00CD43EF"/>
    <w:rsid w:val="00CD65E1"/>
    <w:rsid w:val="00CE0BD3"/>
    <w:rsid w:val="00CE519B"/>
    <w:rsid w:val="00CE5DB3"/>
    <w:rsid w:val="00CE5DD7"/>
    <w:rsid w:val="00CE7298"/>
    <w:rsid w:val="00D035D5"/>
    <w:rsid w:val="00D03638"/>
    <w:rsid w:val="00D03E0D"/>
    <w:rsid w:val="00D05CD2"/>
    <w:rsid w:val="00D10D1E"/>
    <w:rsid w:val="00D10E11"/>
    <w:rsid w:val="00D149C5"/>
    <w:rsid w:val="00D2425E"/>
    <w:rsid w:val="00D25440"/>
    <w:rsid w:val="00D27487"/>
    <w:rsid w:val="00D4093A"/>
    <w:rsid w:val="00D44188"/>
    <w:rsid w:val="00D46596"/>
    <w:rsid w:val="00D47540"/>
    <w:rsid w:val="00D47ACF"/>
    <w:rsid w:val="00D5055C"/>
    <w:rsid w:val="00D50DC9"/>
    <w:rsid w:val="00D5302C"/>
    <w:rsid w:val="00D54424"/>
    <w:rsid w:val="00D550A5"/>
    <w:rsid w:val="00D62FE6"/>
    <w:rsid w:val="00D64F72"/>
    <w:rsid w:val="00D67129"/>
    <w:rsid w:val="00D71AA6"/>
    <w:rsid w:val="00D8320A"/>
    <w:rsid w:val="00D8381A"/>
    <w:rsid w:val="00D84964"/>
    <w:rsid w:val="00D96C32"/>
    <w:rsid w:val="00D9794E"/>
    <w:rsid w:val="00DA0EDE"/>
    <w:rsid w:val="00DB1F11"/>
    <w:rsid w:val="00DB2136"/>
    <w:rsid w:val="00DB29EF"/>
    <w:rsid w:val="00DB2D9A"/>
    <w:rsid w:val="00DB45B1"/>
    <w:rsid w:val="00DC0FF7"/>
    <w:rsid w:val="00DC2566"/>
    <w:rsid w:val="00DC34E5"/>
    <w:rsid w:val="00DC3D8C"/>
    <w:rsid w:val="00DC5600"/>
    <w:rsid w:val="00DC7E3E"/>
    <w:rsid w:val="00DD2163"/>
    <w:rsid w:val="00DD24D4"/>
    <w:rsid w:val="00DD54AA"/>
    <w:rsid w:val="00DD6642"/>
    <w:rsid w:val="00DD7896"/>
    <w:rsid w:val="00DE03A4"/>
    <w:rsid w:val="00DE40E9"/>
    <w:rsid w:val="00DE53CE"/>
    <w:rsid w:val="00DF0998"/>
    <w:rsid w:val="00DF217C"/>
    <w:rsid w:val="00E01856"/>
    <w:rsid w:val="00E10B1D"/>
    <w:rsid w:val="00E11FA4"/>
    <w:rsid w:val="00E13FC6"/>
    <w:rsid w:val="00E1403E"/>
    <w:rsid w:val="00E21794"/>
    <w:rsid w:val="00E314D9"/>
    <w:rsid w:val="00E4090C"/>
    <w:rsid w:val="00E40DCF"/>
    <w:rsid w:val="00E4276F"/>
    <w:rsid w:val="00E46816"/>
    <w:rsid w:val="00E47145"/>
    <w:rsid w:val="00E52952"/>
    <w:rsid w:val="00E64BA4"/>
    <w:rsid w:val="00E716ED"/>
    <w:rsid w:val="00E71C17"/>
    <w:rsid w:val="00E80026"/>
    <w:rsid w:val="00E80A89"/>
    <w:rsid w:val="00E81189"/>
    <w:rsid w:val="00E811D1"/>
    <w:rsid w:val="00E9153D"/>
    <w:rsid w:val="00E91863"/>
    <w:rsid w:val="00E91BF7"/>
    <w:rsid w:val="00E93EDC"/>
    <w:rsid w:val="00E94DCB"/>
    <w:rsid w:val="00E9795F"/>
    <w:rsid w:val="00EA0BBF"/>
    <w:rsid w:val="00EA2EAB"/>
    <w:rsid w:val="00EB5034"/>
    <w:rsid w:val="00EB74DC"/>
    <w:rsid w:val="00EB77F1"/>
    <w:rsid w:val="00EC524C"/>
    <w:rsid w:val="00EC680B"/>
    <w:rsid w:val="00EC6F51"/>
    <w:rsid w:val="00ED2036"/>
    <w:rsid w:val="00ED252A"/>
    <w:rsid w:val="00ED3812"/>
    <w:rsid w:val="00ED494B"/>
    <w:rsid w:val="00EE1215"/>
    <w:rsid w:val="00EE6F23"/>
    <w:rsid w:val="00EF1044"/>
    <w:rsid w:val="00EF1638"/>
    <w:rsid w:val="00EF2BF7"/>
    <w:rsid w:val="00EF374F"/>
    <w:rsid w:val="00EF4851"/>
    <w:rsid w:val="00EF5D77"/>
    <w:rsid w:val="00EF64A0"/>
    <w:rsid w:val="00F0223F"/>
    <w:rsid w:val="00F036D0"/>
    <w:rsid w:val="00F04DD4"/>
    <w:rsid w:val="00F04F01"/>
    <w:rsid w:val="00F1176A"/>
    <w:rsid w:val="00F128B4"/>
    <w:rsid w:val="00F1349B"/>
    <w:rsid w:val="00F135F6"/>
    <w:rsid w:val="00F15EE6"/>
    <w:rsid w:val="00F17F6B"/>
    <w:rsid w:val="00F3028E"/>
    <w:rsid w:val="00F323AF"/>
    <w:rsid w:val="00F3526F"/>
    <w:rsid w:val="00F35F4A"/>
    <w:rsid w:val="00F405D9"/>
    <w:rsid w:val="00F43173"/>
    <w:rsid w:val="00F43C85"/>
    <w:rsid w:val="00F44D3D"/>
    <w:rsid w:val="00F511E4"/>
    <w:rsid w:val="00F53243"/>
    <w:rsid w:val="00F55C15"/>
    <w:rsid w:val="00F5771A"/>
    <w:rsid w:val="00F65D69"/>
    <w:rsid w:val="00F7101A"/>
    <w:rsid w:val="00F72AFC"/>
    <w:rsid w:val="00F75584"/>
    <w:rsid w:val="00F755D7"/>
    <w:rsid w:val="00F8208E"/>
    <w:rsid w:val="00F83BF1"/>
    <w:rsid w:val="00F905C9"/>
    <w:rsid w:val="00F93A06"/>
    <w:rsid w:val="00F959A9"/>
    <w:rsid w:val="00F96C04"/>
    <w:rsid w:val="00F973D4"/>
    <w:rsid w:val="00FA49E0"/>
    <w:rsid w:val="00FB0D49"/>
    <w:rsid w:val="00FC2105"/>
    <w:rsid w:val="00FC2FF1"/>
    <w:rsid w:val="00FC4AD6"/>
    <w:rsid w:val="00FC57D8"/>
    <w:rsid w:val="00FC6CDC"/>
    <w:rsid w:val="00FC6F88"/>
    <w:rsid w:val="00FD36AB"/>
    <w:rsid w:val="00FD58D9"/>
    <w:rsid w:val="00FE57D0"/>
    <w:rsid w:val="00FE6586"/>
    <w:rsid w:val="00FF0510"/>
    <w:rsid w:val="00FF30D0"/>
    <w:rsid w:val="00FF319D"/>
    <w:rsid w:val="00FF39AF"/>
    <w:rsid w:val="00FF3B80"/>
    <w:rsid w:val="00FF4A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C8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43C85"/>
    <w:pPr>
      <w:tabs>
        <w:tab w:val="left" w:pos="0"/>
        <w:tab w:val="left" w:pos="720"/>
      </w:tabs>
      <w:spacing w:after="180"/>
    </w:pPr>
    <w:rPr>
      <w:sz w:val="22"/>
      <w:szCs w:val="20"/>
      <w:lang w:val="es-UY"/>
    </w:rPr>
  </w:style>
  <w:style w:type="character" w:customStyle="1" w:styleId="BodyTextChar">
    <w:name w:val="Body Text Char"/>
    <w:basedOn w:val="DefaultParagraphFont"/>
    <w:link w:val="BodyText"/>
    <w:uiPriority w:val="99"/>
    <w:semiHidden/>
    <w:locked/>
    <w:rsid w:val="00504A25"/>
    <w:rPr>
      <w:rFonts w:cs="Times New Roman"/>
      <w:sz w:val="24"/>
      <w:szCs w:val="24"/>
    </w:rPr>
  </w:style>
  <w:style w:type="paragraph" w:styleId="Header">
    <w:name w:val="header"/>
    <w:basedOn w:val="Normal"/>
    <w:link w:val="HeaderChar"/>
    <w:uiPriority w:val="99"/>
    <w:rsid w:val="00EF2BF7"/>
    <w:pPr>
      <w:tabs>
        <w:tab w:val="center" w:pos="4320"/>
        <w:tab w:val="right" w:pos="8640"/>
      </w:tabs>
    </w:pPr>
  </w:style>
  <w:style w:type="character" w:customStyle="1" w:styleId="HeaderChar">
    <w:name w:val="Header Char"/>
    <w:basedOn w:val="DefaultParagraphFont"/>
    <w:link w:val="Header"/>
    <w:uiPriority w:val="99"/>
    <w:semiHidden/>
    <w:locked/>
    <w:rsid w:val="00504A25"/>
    <w:rPr>
      <w:rFonts w:cs="Times New Roman"/>
      <w:sz w:val="24"/>
      <w:szCs w:val="24"/>
    </w:rPr>
  </w:style>
  <w:style w:type="paragraph" w:styleId="Footer">
    <w:name w:val="footer"/>
    <w:basedOn w:val="Normal"/>
    <w:link w:val="FooterChar"/>
    <w:uiPriority w:val="99"/>
    <w:rsid w:val="00EF2BF7"/>
    <w:pPr>
      <w:tabs>
        <w:tab w:val="center" w:pos="4320"/>
        <w:tab w:val="right" w:pos="8640"/>
      </w:tabs>
    </w:pPr>
  </w:style>
  <w:style w:type="character" w:customStyle="1" w:styleId="FooterChar">
    <w:name w:val="Footer Char"/>
    <w:basedOn w:val="DefaultParagraphFont"/>
    <w:link w:val="Footer"/>
    <w:uiPriority w:val="99"/>
    <w:semiHidden/>
    <w:locked/>
    <w:rsid w:val="00504A25"/>
    <w:rPr>
      <w:rFonts w:cs="Times New Roman"/>
      <w:sz w:val="24"/>
      <w:szCs w:val="24"/>
    </w:rPr>
  </w:style>
  <w:style w:type="paragraph" w:styleId="BalloonText">
    <w:name w:val="Balloon Text"/>
    <w:basedOn w:val="Normal"/>
    <w:link w:val="BalloonTextChar"/>
    <w:uiPriority w:val="99"/>
    <w:semiHidden/>
    <w:rsid w:val="001D640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4A25"/>
    <w:rPr>
      <w:rFonts w:cs="Times New Roman"/>
      <w:sz w:val="2"/>
    </w:rPr>
  </w:style>
  <w:style w:type="character" w:styleId="FollowedHyperlink">
    <w:name w:val="FollowedHyperlink"/>
    <w:basedOn w:val="DefaultParagraphFont"/>
    <w:uiPriority w:val="99"/>
    <w:rsid w:val="000172CA"/>
    <w:rPr>
      <w:rFonts w:cs="Times New Roman"/>
      <w:color w:val="800080"/>
      <w:u w:val="single"/>
    </w:rPr>
  </w:style>
  <w:style w:type="character" w:styleId="Hyperlink">
    <w:name w:val="Hyperlink"/>
    <w:basedOn w:val="DefaultParagraphFont"/>
    <w:uiPriority w:val="99"/>
    <w:rsid w:val="00DB2136"/>
    <w:rPr>
      <w:rFonts w:cs="Times New Roman"/>
      <w:color w:val="0000FF"/>
      <w:u w:val="single"/>
    </w:rPr>
  </w:style>
  <w:style w:type="character" w:styleId="PageNumber">
    <w:name w:val="page number"/>
    <w:basedOn w:val="DefaultParagraphFont"/>
    <w:uiPriority w:val="99"/>
    <w:rsid w:val="00BA7E2A"/>
    <w:rPr>
      <w:rFonts w:cs="Times New Roman"/>
    </w:rPr>
  </w:style>
  <w:style w:type="character" w:customStyle="1" w:styleId="style421">
    <w:name w:val="style421"/>
    <w:uiPriority w:val="99"/>
    <w:rsid w:val="00A91FA6"/>
    <w:rPr>
      <w:color w:val="333333"/>
      <w:sz w:val="20"/>
    </w:rPr>
  </w:style>
  <w:style w:type="character" w:styleId="CommentReference">
    <w:name w:val="annotation reference"/>
    <w:basedOn w:val="DefaultParagraphFont"/>
    <w:uiPriority w:val="99"/>
    <w:semiHidden/>
    <w:rsid w:val="00A91FA6"/>
    <w:rPr>
      <w:rFonts w:cs="Times New Roman"/>
      <w:sz w:val="16"/>
    </w:rPr>
  </w:style>
  <w:style w:type="paragraph" w:styleId="CommentText">
    <w:name w:val="annotation text"/>
    <w:basedOn w:val="Normal"/>
    <w:link w:val="CommentTextChar"/>
    <w:uiPriority w:val="99"/>
    <w:semiHidden/>
    <w:rsid w:val="00A91FA6"/>
    <w:rPr>
      <w:sz w:val="20"/>
      <w:szCs w:val="20"/>
      <w:lang w:val="es-ES"/>
    </w:rPr>
  </w:style>
  <w:style w:type="character" w:customStyle="1" w:styleId="CommentTextChar">
    <w:name w:val="Comment Text Char"/>
    <w:basedOn w:val="DefaultParagraphFont"/>
    <w:link w:val="CommentText"/>
    <w:uiPriority w:val="99"/>
    <w:semiHidden/>
    <w:locked/>
    <w:rsid w:val="00504A25"/>
    <w:rPr>
      <w:rFonts w:cs="Times New Roman"/>
      <w:sz w:val="20"/>
      <w:szCs w:val="20"/>
    </w:rPr>
  </w:style>
  <w:style w:type="paragraph" w:styleId="ListParagraph">
    <w:name w:val="List Paragraph"/>
    <w:basedOn w:val="Normal"/>
    <w:uiPriority w:val="99"/>
    <w:qFormat/>
    <w:rsid w:val="00201F59"/>
    <w:pPr>
      <w:spacing w:after="200" w:line="276" w:lineRule="auto"/>
      <w:ind w:left="720"/>
      <w:contextualSpacing/>
    </w:pPr>
    <w:rPr>
      <w:rFonts w:ascii="Calibri" w:hAnsi="Calibri"/>
      <w:sz w:val="22"/>
      <w:szCs w:val="22"/>
    </w:rPr>
  </w:style>
  <w:style w:type="paragraph" w:styleId="FootnoteText">
    <w:name w:val="footnote text"/>
    <w:basedOn w:val="Normal"/>
    <w:link w:val="FootnoteTextChar"/>
    <w:uiPriority w:val="99"/>
    <w:semiHidden/>
    <w:rsid w:val="00EF5D77"/>
    <w:rPr>
      <w:sz w:val="20"/>
      <w:szCs w:val="20"/>
    </w:rPr>
  </w:style>
  <w:style w:type="character" w:customStyle="1" w:styleId="FootnoteTextChar">
    <w:name w:val="Footnote Text Char"/>
    <w:basedOn w:val="DefaultParagraphFont"/>
    <w:link w:val="FootnoteText"/>
    <w:uiPriority w:val="99"/>
    <w:semiHidden/>
    <w:locked/>
    <w:rsid w:val="00504A25"/>
    <w:rPr>
      <w:rFonts w:cs="Times New Roman"/>
      <w:sz w:val="20"/>
      <w:szCs w:val="20"/>
    </w:rPr>
  </w:style>
  <w:style w:type="character" w:styleId="FootnoteReference">
    <w:name w:val="footnote reference"/>
    <w:basedOn w:val="DefaultParagraphFont"/>
    <w:uiPriority w:val="99"/>
    <w:semiHidden/>
    <w:rsid w:val="00EF5D77"/>
    <w:rPr>
      <w:rFonts w:cs="Times New Roman"/>
      <w:vertAlign w:val="superscript"/>
    </w:rPr>
  </w:style>
  <w:style w:type="paragraph" w:styleId="BodyText2">
    <w:name w:val="Body Text 2"/>
    <w:basedOn w:val="Normal"/>
    <w:link w:val="BodyText2Char"/>
    <w:uiPriority w:val="99"/>
    <w:rsid w:val="00EF5D77"/>
    <w:pPr>
      <w:spacing w:after="120" w:line="480" w:lineRule="auto"/>
    </w:pPr>
  </w:style>
  <w:style w:type="character" w:customStyle="1" w:styleId="BodyText2Char">
    <w:name w:val="Body Text 2 Char"/>
    <w:basedOn w:val="DefaultParagraphFont"/>
    <w:link w:val="BodyText2"/>
    <w:uiPriority w:val="99"/>
    <w:semiHidden/>
    <w:locked/>
    <w:rsid w:val="00504A25"/>
    <w:rPr>
      <w:rFonts w:cs="Times New Roman"/>
      <w:sz w:val="24"/>
      <w:szCs w:val="24"/>
    </w:rPr>
  </w:style>
  <w:style w:type="paragraph" w:styleId="CommentSubject">
    <w:name w:val="annotation subject"/>
    <w:basedOn w:val="CommentText"/>
    <w:next w:val="CommentText"/>
    <w:link w:val="CommentSubjectChar"/>
    <w:uiPriority w:val="99"/>
    <w:semiHidden/>
    <w:rsid w:val="00985F61"/>
    <w:rPr>
      <w:b/>
      <w:bCs/>
      <w:lang w:val="en-US"/>
    </w:rPr>
  </w:style>
  <w:style w:type="character" w:customStyle="1" w:styleId="CommentSubjectChar">
    <w:name w:val="Comment Subject Char"/>
    <w:basedOn w:val="CommentTextChar"/>
    <w:link w:val="CommentSubject"/>
    <w:uiPriority w:val="99"/>
    <w:semiHidden/>
    <w:locked/>
    <w:rsid w:val="00504A25"/>
    <w:rPr>
      <w:b/>
      <w:bCs/>
    </w:rPr>
  </w:style>
</w:styles>
</file>

<file path=word/webSettings.xml><?xml version="1.0" encoding="utf-8"?>
<w:webSettings xmlns:r="http://schemas.openxmlformats.org/officeDocument/2006/relationships" xmlns:w="http://schemas.openxmlformats.org/wordprocessingml/2006/main">
  <w:divs>
    <w:div w:id="904878339">
      <w:marLeft w:val="0"/>
      <w:marRight w:val="0"/>
      <w:marTop w:val="0"/>
      <w:marBottom w:val="0"/>
      <w:divBdr>
        <w:top w:val="none" w:sz="0" w:space="0" w:color="auto"/>
        <w:left w:val="none" w:sz="0" w:space="0" w:color="auto"/>
        <w:bottom w:val="none" w:sz="0" w:space="0" w:color="auto"/>
        <w:right w:val="none" w:sz="0" w:space="0" w:color="auto"/>
      </w:divBdr>
    </w:div>
    <w:div w:id="904878361">
      <w:marLeft w:val="0"/>
      <w:marRight w:val="0"/>
      <w:marTop w:val="0"/>
      <w:marBottom w:val="0"/>
      <w:divBdr>
        <w:top w:val="none" w:sz="0" w:space="0" w:color="auto"/>
        <w:left w:val="none" w:sz="0" w:space="0" w:color="auto"/>
        <w:bottom w:val="none" w:sz="0" w:space="0" w:color="auto"/>
        <w:right w:val="none" w:sz="0" w:space="0" w:color="auto"/>
      </w:divBdr>
      <w:divsChild>
        <w:div w:id="904878306">
          <w:marLeft w:val="0"/>
          <w:marRight w:val="0"/>
          <w:marTop w:val="0"/>
          <w:marBottom w:val="0"/>
          <w:divBdr>
            <w:top w:val="none" w:sz="0" w:space="0" w:color="auto"/>
            <w:left w:val="none" w:sz="0" w:space="0" w:color="auto"/>
            <w:bottom w:val="none" w:sz="0" w:space="0" w:color="auto"/>
            <w:right w:val="none" w:sz="0" w:space="0" w:color="auto"/>
          </w:divBdr>
        </w:div>
        <w:div w:id="904878318">
          <w:marLeft w:val="0"/>
          <w:marRight w:val="0"/>
          <w:marTop w:val="0"/>
          <w:marBottom w:val="0"/>
          <w:divBdr>
            <w:top w:val="none" w:sz="0" w:space="0" w:color="auto"/>
            <w:left w:val="none" w:sz="0" w:space="0" w:color="auto"/>
            <w:bottom w:val="none" w:sz="0" w:space="0" w:color="auto"/>
            <w:right w:val="none" w:sz="0" w:space="0" w:color="auto"/>
          </w:divBdr>
        </w:div>
        <w:div w:id="904878320">
          <w:marLeft w:val="0"/>
          <w:marRight w:val="0"/>
          <w:marTop w:val="0"/>
          <w:marBottom w:val="0"/>
          <w:divBdr>
            <w:top w:val="none" w:sz="0" w:space="0" w:color="auto"/>
            <w:left w:val="none" w:sz="0" w:space="0" w:color="auto"/>
            <w:bottom w:val="none" w:sz="0" w:space="0" w:color="auto"/>
            <w:right w:val="none" w:sz="0" w:space="0" w:color="auto"/>
          </w:divBdr>
        </w:div>
        <w:div w:id="904878322">
          <w:marLeft w:val="0"/>
          <w:marRight w:val="0"/>
          <w:marTop w:val="0"/>
          <w:marBottom w:val="0"/>
          <w:divBdr>
            <w:top w:val="none" w:sz="0" w:space="0" w:color="auto"/>
            <w:left w:val="none" w:sz="0" w:space="0" w:color="auto"/>
            <w:bottom w:val="none" w:sz="0" w:space="0" w:color="auto"/>
            <w:right w:val="none" w:sz="0" w:space="0" w:color="auto"/>
          </w:divBdr>
        </w:div>
        <w:div w:id="904878354">
          <w:marLeft w:val="0"/>
          <w:marRight w:val="0"/>
          <w:marTop w:val="0"/>
          <w:marBottom w:val="0"/>
          <w:divBdr>
            <w:top w:val="none" w:sz="0" w:space="0" w:color="auto"/>
            <w:left w:val="none" w:sz="0" w:space="0" w:color="auto"/>
            <w:bottom w:val="none" w:sz="0" w:space="0" w:color="auto"/>
            <w:right w:val="none" w:sz="0" w:space="0" w:color="auto"/>
          </w:divBdr>
        </w:div>
        <w:div w:id="904878393">
          <w:marLeft w:val="0"/>
          <w:marRight w:val="0"/>
          <w:marTop w:val="0"/>
          <w:marBottom w:val="0"/>
          <w:divBdr>
            <w:top w:val="none" w:sz="0" w:space="0" w:color="auto"/>
            <w:left w:val="none" w:sz="0" w:space="0" w:color="auto"/>
            <w:bottom w:val="none" w:sz="0" w:space="0" w:color="auto"/>
            <w:right w:val="none" w:sz="0" w:space="0" w:color="auto"/>
          </w:divBdr>
        </w:div>
        <w:div w:id="904878395">
          <w:marLeft w:val="360"/>
          <w:marRight w:val="0"/>
          <w:marTop w:val="0"/>
          <w:marBottom w:val="0"/>
          <w:divBdr>
            <w:top w:val="none" w:sz="0" w:space="0" w:color="auto"/>
            <w:left w:val="none" w:sz="0" w:space="0" w:color="auto"/>
            <w:bottom w:val="none" w:sz="0" w:space="0" w:color="auto"/>
            <w:right w:val="none" w:sz="0" w:space="0" w:color="auto"/>
          </w:divBdr>
        </w:div>
        <w:div w:id="904878399">
          <w:marLeft w:val="0"/>
          <w:marRight w:val="0"/>
          <w:marTop w:val="0"/>
          <w:marBottom w:val="0"/>
          <w:divBdr>
            <w:top w:val="none" w:sz="0" w:space="0" w:color="auto"/>
            <w:left w:val="none" w:sz="0" w:space="0" w:color="auto"/>
            <w:bottom w:val="none" w:sz="0" w:space="0" w:color="auto"/>
            <w:right w:val="none" w:sz="0" w:space="0" w:color="auto"/>
          </w:divBdr>
        </w:div>
        <w:div w:id="904878409">
          <w:marLeft w:val="360"/>
          <w:marRight w:val="0"/>
          <w:marTop w:val="0"/>
          <w:marBottom w:val="0"/>
          <w:divBdr>
            <w:top w:val="none" w:sz="0" w:space="0" w:color="auto"/>
            <w:left w:val="none" w:sz="0" w:space="0" w:color="auto"/>
            <w:bottom w:val="none" w:sz="0" w:space="0" w:color="auto"/>
            <w:right w:val="none" w:sz="0" w:space="0" w:color="auto"/>
          </w:divBdr>
        </w:div>
        <w:div w:id="904878423">
          <w:marLeft w:val="0"/>
          <w:marRight w:val="0"/>
          <w:marTop w:val="0"/>
          <w:marBottom w:val="0"/>
          <w:divBdr>
            <w:top w:val="none" w:sz="0" w:space="0" w:color="auto"/>
            <w:left w:val="none" w:sz="0" w:space="0" w:color="auto"/>
            <w:bottom w:val="none" w:sz="0" w:space="0" w:color="auto"/>
            <w:right w:val="none" w:sz="0" w:space="0" w:color="auto"/>
          </w:divBdr>
        </w:div>
        <w:div w:id="904878424">
          <w:marLeft w:val="0"/>
          <w:marRight w:val="0"/>
          <w:marTop w:val="0"/>
          <w:marBottom w:val="0"/>
          <w:divBdr>
            <w:top w:val="none" w:sz="0" w:space="0" w:color="auto"/>
            <w:left w:val="none" w:sz="0" w:space="0" w:color="auto"/>
            <w:bottom w:val="none" w:sz="0" w:space="0" w:color="auto"/>
            <w:right w:val="none" w:sz="0" w:space="0" w:color="auto"/>
          </w:divBdr>
        </w:div>
      </w:divsChild>
    </w:div>
    <w:div w:id="904878366">
      <w:marLeft w:val="0"/>
      <w:marRight w:val="0"/>
      <w:marTop w:val="0"/>
      <w:marBottom w:val="0"/>
      <w:divBdr>
        <w:top w:val="none" w:sz="0" w:space="0" w:color="auto"/>
        <w:left w:val="none" w:sz="0" w:space="0" w:color="auto"/>
        <w:bottom w:val="none" w:sz="0" w:space="0" w:color="auto"/>
        <w:right w:val="none" w:sz="0" w:space="0" w:color="auto"/>
      </w:divBdr>
      <w:divsChild>
        <w:div w:id="904878427">
          <w:marLeft w:val="0"/>
          <w:marRight w:val="0"/>
          <w:marTop w:val="0"/>
          <w:marBottom w:val="0"/>
          <w:divBdr>
            <w:top w:val="none" w:sz="0" w:space="0" w:color="auto"/>
            <w:left w:val="none" w:sz="0" w:space="0" w:color="auto"/>
            <w:bottom w:val="none" w:sz="0" w:space="0" w:color="auto"/>
            <w:right w:val="none" w:sz="0" w:space="0" w:color="auto"/>
          </w:divBdr>
          <w:divsChild>
            <w:div w:id="904878336">
              <w:marLeft w:val="0"/>
              <w:marRight w:val="0"/>
              <w:marTop w:val="0"/>
              <w:marBottom w:val="0"/>
              <w:divBdr>
                <w:top w:val="none" w:sz="0" w:space="0" w:color="auto"/>
                <w:left w:val="none" w:sz="0" w:space="0" w:color="auto"/>
                <w:bottom w:val="none" w:sz="0" w:space="0" w:color="auto"/>
                <w:right w:val="none" w:sz="0" w:space="0" w:color="auto"/>
              </w:divBdr>
              <w:divsChild>
                <w:div w:id="904878334">
                  <w:marLeft w:val="0"/>
                  <w:marRight w:val="0"/>
                  <w:marTop w:val="0"/>
                  <w:marBottom w:val="0"/>
                  <w:divBdr>
                    <w:top w:val="none" w:sz="0" w:space="0" w:color="auto"/>
                    <w:left w:val="none" w:sz="0" w:space="0" w:color="auto"/>
                    <w:bottom w:val="none" w:sz="0" w:space="0" w:color="auto"/>
                    <w:right w:val="none" w:sz="0" w:space="0" w:color="auto"/>
                  </w:divBdr>
                  <w:divsChild>
                    <w:div w:id="904878375">
                      <w:marLeft w:val="0"/>
                      <w:marRight w:val="0"/>
                      <w:marTop w:val="0"/>
                      <w:marBottom w:val="0"/>
                      <w:divBdr>
                        <w:top w:val="none" w:sz="0" w:space="0" w:color="auto"/>
                        <w:left w:val="none" w:sz="0" w:space="0" w:color="auto"/>
                        <w:bottom w:val="none" w:sz="0" w:space="0" w:color="auto"/>
                        <w:right w:val="none" w:sz="0" w:space="0" w:color="auto"/>
                      </w:divBdr>
                      <w:divsChild>
                        <w:div w:id="904878357">
                          <w:marLeft w:val="0"/>
                          <w:marRight w:val="0"/>
                          <w:marTop w:val="0"/>
                          <w:marBottom w:val="0"/>
                          <w:divBdr>
                            <w:top w:val="none" w:sz="0" w:space="0" w:color="auto"/>
                            <w:left w:val="none" w:sz="0" w:space="0" w:color="auto"/>
                            <w:bottom w:val="none" w:sz="0" w:space="0" w:color="auto"/>
                            <w:right w:val="none" w:sz="0" w:space="0" w:color="auto"/>
                          </w:divBdr>
                          <w:divsChild>
                            <w:div w:id="904878350">
                              <w:marLeft w:val="0"/>
                              <w:marRight w:val="0"/>
                              <w:marTop w:val="0"/>
                              <w:marBottom w:val="0"/>
                              <w:divBdr>
                                <w:top w:val="none" w:sz="0" w:space="0" w:color="auto"/>
                                <w:left w:val="none" w:sz="0" w:space="0" w:color="auto"/>
                                <w:bottom w:val="none" w:sz="0" w:space="0" w:color="auto"/>
                                <w:right w:val="none" w:sz="0" w:space="0" w:color="auto"/>
                              </w:divBdr>
                              <w:divsChild>
                                <w:div w:id="904878417">
                                  <w:marLeft w:val="0"/>
                                  <w:marRight w:val="0"/>
                                  <w:marTop w:val="0"/>
                                  <w:marBottom w:val="0"/>
                                  <w:divBdr>
                                    <w:top w:val="none" w:sz="0" w:space="0" w:color="auto"/>
                                    <w:left w:val="none" w:sz="0" w:space="0" w:color="auto"/>
                                    <w:bottom w:val="none" w:sz="0" w:space="0" w:color="auto"/>
                                    <w:right w:val="none" w:sz="0" w:space="0" w:color="auto"/>
                                  </w:divBdr>
                                </w:div>
                                <w:div w:id="904878420">
                                  <w:marLeft w:val="0"/>
                                  <w:marRight w:val="0"/>
                                  <w:marTop w:val="0"/>
                                  <w:marBottom w:val="0"/>
                                  <w:divBdr>
                                    <w:top w:val="none" w:sz="0" w:space="0" w:color="auto"/>
                                    <w:left w:val="none" w:sz="0" w:space="0" w:color="auto"/>
                                    <w:bottom w:val="none" w:sz="0" w:space="0" w:color="auto"/>
                                    <w:right w:val="none" w:sz="0" w:space="0" w:color="auto"/>
                                  </w:divBdr>
                                  <w:divsChild>
                                    <w:div w:id="904878429">
                                      <w:marLeft w:val="0"/>
                                      <w:marRight w:val="0"/>
                                      <w:marTop w:val="0"/>
                                      <w:marBottom w:val="0"/>
                                      <w:divBdr>
                                        <w:top w:val="none" w:sz="0" w:space="0" w:color="auto"/>
                                        <w:left w:val="none" w:sz="0" w:space="0" w:color="auto"/>
                                        <w:bottom w:val="none" w:sz="0" w:space="0" w:color="auto"/>
                                        <w:right w:val="none" w:sz="0" w:space="0" w:color="auto"/>
                                      </w:divBdr>
                                      <w:divsChild>
                                        <w:div w:id="9048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78353">
                              <w:marLeft w:val="0"/>
                              <w:marRight w:val="0"/>
                              <w:marTop w:val="0"/>
                              <w:marBottom w:val="0"/>
                              <w:divBdr>
                                <w:top w:val="none" w:sz="0" w:space="0" w:color="auto"/>
                                <w:left w:val="none" w:sz="0" w:space="0" w:color="auto"/>
                                <w:bottom w:val="none" w:sz="0" w:space="0" w:color="auto"/>
                                <w:right w:val="none" w:sz="0" w:space="0" w:color="auto"/>
                              </w:divBdr>
                              <w:divsChild>
                                <w:div w:id="904878384">
                                  <w:marLeft w:val="0"/>
                                  <w:marRight w:val="0"/>
                                  <w:marTop w:val="0"/>
                                  <w:marBottom w:val="0"/>
                                  <w:divBdr>
                                    <w:top w:val="none" w:sz="0" w:space="0" w:color="auto"/>
                                    <w:left w:val="none" w:sz="0" w:space="0" w:color="auto"/>
                                    <w:bottom w:val="none" w:sz="0" w:space="0" w:color="auto"/>
                                    <w:right w:val="none" w:sz="0" w:space="0" w:color="auto"/>
                                  </w:divBdr>
                                  <w:divsChild>
                                    <w:div w:id="904878368">
                                      <w:marLeft w:val="0"/>
                                      <w:marRight w:val="0"/>
                                      <w:marTop w:val="0"/>
                                      <w:marBottom w:val="0"/>
                                      <w:divBdr>
                                        <w:top w:val="none" w:sz="0" w:space="0" w:color="auto"/>
                                        <w:left w:val="none" w:sz="0" w:space="0" w:color="auto"/>
                                        <w:bottom w:val="none" w:sz="0" w:space="0" w:color="auto"/>
                                        <w:right w:val="none" w:sz="0" w:space="0" w:color="auto"/>
                                      </w:divBdr>
                                      <w:divsChild>
                                        <w:div w:id="9048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358">
                          <w:marLeft w:val="0"/>
                          <w:marRight w:val="0"/>
                          <w:marTop w:val="0"/>
                          <w:marBottom w:val="0"/>
                          <w:divBdr>
                            <w:top w:val="none" w:sz="0" w:space="0" w:color="auto"/>
                            <w:left w:val="none" w:sz="0" w:space="0" w:color="auto"/>
                            <w:bottom w:val="none" w:sz="0" w:space="0" w:color="auto"/>
                            <w:right w:val="none" w:sz="0" w:space="0" w:color="auto"/>
                          </w:divBdr>
                          <w:divsChild>
                            <w:div w:id="904878367">
                              <w:marLeft w:val="0"/>
                              <w:marRight w:val="0"/>
                              <w:marTop w:val="0"/>
                              <w:marBottom w:val="0"/>
                              <w:divBdr>
                                <w:top w:val="none" w:sz="0" w:space="0" w:color="auto"/>
                                <w:left w:val="none" w:sz="0" w:space="0" w:color="auto"/>
                                <w:bottom w:val="none" w:sz="0" w:space="0" w:color="auto"/>
                                <w:right w:val="none" w:sz="0" w:space="0" w:color="auto"/>
                              </w:divBdr>
                              <w:divsChild>
                                <w:div w:id="904878329">
                                  <w:marLeft w:val="0"/>
                                  <w:marRight w:val="0"/>
                                  <w:marTop w:val="0"/>
                                  <w:marBottom w:val="0"/>
                                  <w:divBdr>
                                    <w:top w:val="none" w:sz="0" w:space="0" w:color="auto"/>
                                    <w:left w:val="none" w:sz="0" w:space="0" w:color="auto"/>
                                    <w:bottom w:val="none" w:sz="0" w:space="0" w:color="auto"/>
                                    <w:right w:val="none" w:sz="0" w:space="0" w:color="auto"/>
                                  </w:divBdr>
                                  <w:divsChild>
                                    <w:div w:id="9048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371">
                              <w:marLeft w:val="0"/>
                              <w:marRight w:val="0"/>
                              <w:marTop w:val="0"/>
                              <w:marBottom w:val="0"/>
                              <w:divBdr>
                                <w:top w:val="none" w:sz="0" w:space="0" w:color="auto"/>
                                <w:left w:val="none" w:sz="0" w:space="0" w:color="auto"/>
                                <w:bottom w:val="none" w:sz="0" w:space="0" w:color="auto"/>
                                <w:right w:val="none" w:sz="0" w:space="0" w:color="auto"/>
                              </w:divBdr>
                            </w:div>
                          </w:divsChild>
                        </w:div>
                        <w:div w:id="904878370">
                          <w:marLeft w:val="0"/>
                          <w:marRight w:val="0"/>
                          <w:marTop w:val="0"/>
                          <w:marBottom w:val="0"/>
                          <w:divBdr>
                            <w:top w:val="none" w:sz="0" w:space="0" w:color="auto"/>
                            <w:left w:val="none" w:sz="0" w:space="0" w:color="auto"/>
                            <w:bottom w:val="none" w:sz="0" w:space="0" w:color="auto"/>
                            <w:right w:val="none" w:sz="0" w:space="0" w:color="auto"/>
                          </w:divBdr>
                          <w:divsChild>
                            <w:div w:id="904878418">
                              <w:marLeft w:val="0"/>
                              <w:marRight w:val="0"/>
                              <w:marTop w:val="0"/>
                              <w:marBottom w:val="0"/>
                              <w:divBdr>
                                <w:top w:val="none" w:sz="0" w:space="0" w:color="auto"/>
                                <w:left w:val="none" w:sz="0" w:space="0" w:color="auto"/>
                                <w:bottom w:val="none" w:sz="0" w:space="0" w:color="auto"/>
                                <w:right w:val="none" w:sz="0" w:space="0" w:color="auto"/>
                              </w:divBdr>
                              <w:divsChild>
                                <w:div w:id="904878376">
                                  <w:marLeft w:val="0"/>
                                  <w:marRight w:val="0"/>
                                  <w:marTop w:val="0"/>
                                  <w:marBottom w:val="0"/>
                                  <w:divBdr>
                                    <w:top w:val="none" w:sz="0" w:space="0" w:color="auto"/>
                                    <w:left w:val="none" w:sz="0" w:space="0" w:color="auto"/>
                                    <w:bottom w:val="none" w:sz="0" w:space="0" w:color="auto"/>
                                    <w:right w:val="none" w:sz="0" w:space="0" w:color="auto"/>
                                  </w:divBdr>
                                  <w:divsChild>
                                    <w:div w:id="9048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407">
                      <w:marLeft w:val="0"/>
                      <w:marRight w:val="0"/>
                      <w:marTop w:val="0"/>
                      <w:marBottom w:val="0"/>
                      <w:divBdr>
                        <w:top w:val="none" w:sz="0" w:space="0" w:color="auto"/>
                        <w:left w:val="none" w:sz="0" w:space="0" w:color="auto"/>
                        <w:bottom w:val="none" w:sz="0" w:space="0" w:color="auto"/>
                        <w:right w:val="none" w:sz="0" w:space="0" w:color="auto"/>
                      </w:divBdr>
                      <w:divsChild>
                        <w:div w:id="904878333">
                          <w:marLeft w:val="0"/>
                          <w:marRight w:val="0"/>
                          <w:marTop w:val="0"/>
                          <w:marBottom w:val="0"/>
                          <w:divBdr>
                            <w:top w:val="none" w:sz="0" w:space="0" w:color="auto"/>
                            <w:left w:val="none" w:sz="0" w:space="0" w:color="auto"/>
                            <w:bottom w:val="none" w:sz="0" w:space="0" w:color="auto"/>
                            <w:right w:val="none" w:sz="0" w:space="0" w:color="auto"/>
                          </w:divBdr>
                        </w:div>
                        <w:div w:id="904878347">
                          <w:marLeft w:val="0"/>
                          <w:marRight w:val="0"/>
                          <w:marTop w:val="0"/>
                          <w:marBottom w:val="0"/>
                          <w:divBdr>
                            <w:top w:val="none" w:sz="0" w:space="0" w:color="auto"/>
                            <w:left w:val="none" w:sz="0" w:space="0" w:color="auto"/>
                            <w:bottom w:val="none" w:sz="0" w:space="0" w:color="auto"/>
                            <w:right w:val="none" w:sz="0" w:space="0" w:color="auto"/>
                          </w:divBdr>
                        </w:div>
                        <w:div w:id="904878369">
                          <w:marLeft w:val="0"/>
                          <w:marRight w:val="0"/>
                          <w:marTop w:val="0"/>
                          <w:marBottom w:val="0"/>
                          <w:divBdr>
                            <w:top w:val="none" w:sz="0" w:space="0" w:color="auto"/>
                            <w:left w:val="none" w:sz="0" w:space="0" w:color="auto"/>
                            <w:bottom w:val="none" w:sz="0" w:space="0" w:color="auto"/>
                            <w:right w:val="none" w:sz="0" w:space="0" w:color="auto"/>
                          </w:divBdr>
                        </w:div>
                      </w:divsChild>
                    </w:div>
                    <w:div w:id="904878426">
                      <w:marLeft w:val="0"/>
                      <w:marRight w:val="0"/>
                      <w:marTop w:val="0"/>
                      <w:marBottom w:val="0"/>
                      <w:divBdr>
                        <w:top w:val="none" w:sz="0" w:space="0" w:color="auto"/>
                        <w:left w:val="none" w:sz="0" w:space="0" w:color="auto"/>
                        <w:bottom w:val="none" w:sz="0" w:space="0" w:color="auto"/>
                        <w:right w:val="none" w:sz="0" w:space="0" w:color="auto"/>
                      </w:divBdr>
                      <w:divsChild>
                        <w:div w:id="904878388">
                          <w:marLeft w:val="0"/>
                          <w:marRight w:val="0"/>
                          <w:marTop w:val="0"/>
                          <w:marBottom w:val="0"/>
                          <w:divBdr>
                            <w:top w:val="none" w:sz="0" w:space="0" w:color="auto"/>
                            <w:left w:val="none" w:sz="0" w:space="0" w:color="auto"/>
                            <w:bottom w:val="none" w:sz="0" w:space="0" w:color="auto"/>
                            <w:right w:val="none" w:sz="0" w:space="0" w:color="auto"/>
                          </w:divBdr>
                          <w:divsChild>
                            <w:div w:id="904878415">
                              <w:marLeft w:val="0"/>
                              <w:marRight w:val="0"/>
                              <w:marTop w:val="0"/>
                              <w:marBottom w:val="0"/>
                              <w:divBdr>
                                <w:top w:val="none" w:sz="0" w:space="0" w:color="auto"/>
                                <w:left w:val="none" w:sz="0" w:space="0" w:color="auto"/>
                                <w:bottom w:val="none" w:sz="0" w:space="0" w:color="auto"/>
                                <w:right w:val="none" w:sz="0" w:space="0" w:color="auto"/>
                              </w:divBdr>
                              <w:divsChild>
                                <w:div w:id="904878312">
                                  <w:marLeft w:val="0"/>
                                  <w:marRight w:val="0"/>
                                  <w:marTop w:val="0"/>
                                  <w:marBottom w:val="0"/>
                                  <w:divBdr>
                                    <w:top w:val="none" w:sz="0" w:space="0" w:color="auto"/>
                                    <w:left w:val="none" w:sz="0" w:space="0" w:color="auto"/>
                                    <w:bottom w:val="none" w:sz="0" w:space="0" w:color="auto"/>
                                    <w:right w:val="none" w:sz="0" w:space="0" w:color="auto"/>
                                  </w:divBdr>
                                  <w:divsChild>
                                    <w:div w:id="904878307">
                                      <w:marLeft w:val="0"/>
                                      <w:marRight w:val="0"/>
                                      <w:marTop w:val="0"/>
                                      <w:marBottom w:val="0"/>
                                      <w:divBdr>
                                        <w:top w:val="none" w:sz="0" w:space="0" w:color="auto"/>
                                        <w:left w:val="none" w:sz="0" w:space="0" w:color="auto"/>
                                        <w:bottom w:val="none" w:sz="0" w:space="0" w:color="auto"/>
                                        <w:right w:val="none" w:sz="0" w:space="0" w:color="auto"/>
                                      </w:divBdr>
                                    </w:div>
                                    <w:div w:id="904878308">
                                      <w:marLeft w:val="0"/>
                                      <w:marRight w:val="0"/>
                                      <w:marTop w:val="0"/>
                                      <w:marBottom w:val="0"/>
                                      <w:divBdr>
                                        <w:top w:val="none" w:sz="0" w:space="0" w:color="auto"/>
                                        <w:left w:val="none" w:sz="0" w:space="0" w:color="auto"/>
                                        <w:bottom w:val="none" w:sz="0" w:space="0" w:color="auto"/>
                                        <w:right w:val="none" w:sz="0" w:space="0" w:color="auto"/>
                                      </w:divBdr>
                                    </w:div>
                                    <w:div w:id="904878313">
                                      <w:marLeft w:val="0"/>
                                      <w:marRight w:val="0"/>
                                      <w:marTop w:val="0"/>
                                      <w:marBottom w:val="0"/>
                                      <w:divBdr>
                                        <w:top w:val="none" w:sz="0" w:space="0" w:color="auto"/>
                                        <w:left w:val="none" w:sz="0" w:space="0" w:color="auto"/>
                                        <w:bottom w:val="none" w:sz="0" w:space="0" w:color="auto"/>
                                        <w:right w:val="none" w:sz="0" w:space="0" w:color="auto"/>
                                      </w:divBdr>
                                    </w:div>
                                    <w:div w:id="904878317">
                                      <w:marLeft w:val="0"/>
                                      <w:marRight w:val="0"/>
                                      <w:marTop w:val="0"/>
                                      <w:marBottom w:val="0"/>
                                      <w:divBdr>
                                        <w:top w:val="none" w:sz="0" w:space="0" w:color="auto"/>
                                        <w:left w:val="none" w:sz="0" w:space="0" w:color="auto"/>
                                        <w:bottom w:val="none" w:sz="0" w:space="0" w:color="auto"/>
                                        <w:right w:val="none" w:sz="0" w:space="0" w:color="auto"/>
                                      </w:divBdr>
                                    </w:div>
                                    <w:div w:id="904878319">
                                      <w:marLeft w:val="0"/>
                                      <w:marRight w:val="0"/>
                                      <w:marTop w:val="0"/>
                                      <w:marBottom w:val="0"/>
                                      <w:divBdr>
                                        <w:top w:val="none" w:sz="0" w:space="0" w:color="auto"/>
                                        <w:left w:val="none" w:sz="0" w:space="0" w:color="auto"/>
                                        <w:bottom w:val="none" w:sz="0" w:space="0" w:color="auto"/>
                                        <w:right w:val="none" w:sz="0" w:space="0" w:color="auto"/>
                                      </w:divBdr>
                                    </w:div>
                                    <w:div w:id="904878321">
                                      <w:marLeft w:val="0"/>
                                      <w:marRight w:val="0"/>
                                      <w:marTop w:val="0"/>
                                      <w:marBottom w:val="0"/>
                                      <w:divBdr>
                                        <w:top w:val="none" w:sz="0" w:space="0" w:color="auto"/>
                                        <w:left w:val="none" w:sz="0" w:space="0" w:color="auto"/>
                                        <w:bottom w:val="none" w:sz="0" w:space="0" w:color="auto"/>
                                        <w:right w:val="none" w:sz="0" w:space="0" w:color="auto"/>
                                      </w:divBdr>
                                    </w:div>
                                    <w:div w:id="904878324">
                                      <w:marLeft w:val="0"/>
                                      <w:marRight w:val="0"/>
                                      <w:marTop w:val="0"/>
                                      <w:marBottom w:val="0"/>
                                      <w:divBdr>
                                        <w:top w:val="none" w:sz="0" w:space="0" w:color="auto"/>
                                        <w:left w:val="none" w:sz="0" w:space="0" w:color="auto"/>
                                        <w:bottom w:val="none" w:sz="0" w:space="0" w:color="auto"/>
                                        <w:right w:val="none" w:sz="0" w:space="0" w:color="auto"/>
                                      </w:divBdr>
                                    </w:div>
                                    <w:div w:id="904878325">
                                      <w:marLeft w:val="0"/>
                                      <w:marRight w:val="0"/>
                                      <w:marTop w:val="0"/>
                                      <w:marBottom w:val="0"/>
                                      <w:divBdr>
                                        <w:top w:val="none" w:sz="0" w:space="0" w:color="auto"/>
                                        <w:left w:val="none" w:sz="0" w:space="0" w:color="auto"/>
                                        <w:bottom w:val="none" w:sz="0" w:space="0" w:color="auto"/>
                                        <w:right w:val="none" w:sz="0" w:space="0" w:color="auto"/>
                                      </w:divBdr>
                                    </w:div>
                                    <w:div w:id="904878326">
                                      <w:marLeft w:val="360"/>
                                      <w:marRight w:val="0"/>
                                      <w:marTop w:val="0"/>
                                      <w:marBottom w:val="0"/>
                                      <w:divBdr>
                                        <w:top w:val="none" w:sz="0" w:space="0" w:color="auto"/>
                                        <w:left w:val="none" w:sz="0" w:space="0" w:color="auto"/>
                                        <w:bottom w:val="none" w:sz="0" w:space="0" w:color="auto"/>
                                        <w:right w:val="none" w:sz="0" w:space="0" w:color="auto"/>
                                      </w:divBdr>
                                    </w:div>
                                    <w:div w:id="904878335">
                                      <w:marLeft w:val="360"/>
                                      <w:marRight w:val="0"/>
                                      <w:marTop w:val="0"/>
                                      <w:marBottom w:val="0"/>
                                      <w:divBdr>
                                        <w:top w:val="none" w:sz="0" w:space="0" w:color="auto"/>
                                        <w:left w:val="none" w:sz="0" w:space="0" w:color="auto"/>
                                        <w:bottom w:val="none" w:sz="0" w:space="0" w:color="auto"/>
                                        <w:right w:val="none" w:sz="0" w:space="0" w:color="auto"/>
                                      </w:divBdr>
                                    </w:div>
                                    <w:div w:id="904878338">
                                      <w:marLeft w:val="360"/>
                                      <w:marRight w:val="0"/>
                                      <w:marTop w:val="0"/>
                                      <w:marBottom w:val="0"/>
                                      <w:divBdr>
                                        <w:top w:val="none" w:sz="0" w:space="0" w:color="auto"/>
                                        <w:left w:val="none" w:sz="0" w:space="0" w:color="auto"/>
                                        <w:bottom w:val="none" w:sz="0" w:space="0" w:color="auto"/>
                                        <w:right w:val="none" w:sz="0" w:space="0" w:color="auto"/>
                                      </w:divBdr>
                                    </w:div>
                                    <w:div w:id="904878340">
                                      <w:marLeft w:val="360"/>
                                      <w:marRight w:val="0"/>
                                      <w:marTop w:val="0"/>
                                      <w:marBottom w:val="0"/>
                                      <w:divBdr>
                                        <w:top w:val="none" w:sz="0" w:space="0" w:color="auto"/>
                                        <w:left w:val="none" w:sz="0" w:space="0" w:color="auto"/>
                                        <w:bottom w:val="none" w:sz="0" w:space="0" w:color="auto"/>
                                        <w:right w:val="none" w:sz="0" w:space="0" w:color="auto"/>
                                      </w:divBdr>
                                    </w:div>
                                    <w:div w:id="904878342">
                                      <w:marLeft w:val="360"/>
                                      <w:marRight w:val="0"/>
                                      <w:marTop w:val="0"/>
                                      <w:marBottom w:val="0"/>
                                      <w:divBdr>
                                        <w:top w:val="none" w:sz="0" w:space="0" w:color="auto"/>
                                        <w:left w:val="none" w:sz="0" w:space="0" w:color="auto"/>
                                        <w:bottom w:val="none" w:sz="0" w:space="0" w:color="auto"/>
                                        <w:right w:val="none" w:sz="0" w:space="0" w:color="auto"/>
                                      </w:divBdr>
                                    </w:div>
                                    <w:div w:id="904878343">
                                      <w:marLeft w:val="0"/>
                                      <w:marRight w:val="0"/>
                                      <w:marTop w:val="0"/>
                                      <w:marBottom w:val="0"/>
                                      <w:divBdr>
                                        <w:top w:val="none" w:sz="0" w:space="0" w:color="auto"/>
                                        <w:left w:val="none" w:sz="0" w:space="0" w:color="auto"/>
                                        <w:bottom w:val="none" w:sz="0" w:space="0" w:color="auto"/>
                                        <w:right w:val="none" w:sz="0" w:space="0" w:color="auto"/>
                                      </w:divBdr>
                                    </w:div>
                                    <w:div w:id="904878345">
                                      <w:marLeft w:val="0"/>
                                      <w:marRight w:val="0"/>
                                      <w:marTop w:val="0"/>
                                      <w:marBottom w:val="0"/>
                                      <w:divBdr>
                                        <w:top w:val="none" w:sz="0" w:space="0" w:color="auto"/>
                                        <w:left w:val="none" w:sz="0" w:space="0" w:color="auto"/>
                                        <w:bottom w:val="none" w:sz="0" w:space="0" w:color="auto"/>
                                        <w:right w:val="none" w:sz="0" w:space="0" w:color="auto"/>
                                      </w:divBdr>
                                    </w:div>
                                    <w:div w:id="904878351">
                                      <w:marLeft w:val="0"/>
                                      <w:marRight w:val="0"/>
                                      <w:marTop w:val="0"/>
                                      <w:marBottom w:val="0"/>
                                      <w:divBdr>
                                        <w:top w:val="none" w:sz="0" w:space="0" w:color="auto"/>
                                        <w:left w:val="none" w:sz="0" w:space="0" w:color="auto"/>
                                        <w:bottom w:val="none" w:sz="0" w:space="0" w:color="auto"/>
                                        <w:right w:val="none" w:sz="0" w:space="0" w:color="auto"/>
                                      </w:divBdr>
                                    </w:div>
                                    <w:div w:id="904878355">
                                      <w:marLeft w:val="360"/>
                                      <w:marRight w:val="0"/>
                                      <w:marTop w:val="0"/>
                                      <w:marBottom w:val="0"/>
                                      <w:divBdr>
                                        <w:top w:val="none" w:sz="0" w:space="0" w:color="auto"/>
                                        <w:left w:val="none" w:sz="0" w:space="0" w:color="auto"/>
                                        <w:bottom w:val="none" w:sz="0" w:space="0" w:color="auto"/>
                                        <w:right w:val="none" w:sz="0" w:space="0" w:color="auto"/>
                                      </w:divBdr>
                                    </w:div>
                                    <w:div w:id="904878360">
                                      <w:marLeft w:val="0"/>
                                      <w:marRight w:val="0"/>
                                      <w:marTop w:val="0"/>
                                      <w:marBottom w:val="0"/>
                                      <w:divBdr>
                                        <w:top w:val="none" w:sz="0" w:space="0" w:color="auto"/>
                                        <w:left w:val="none" w:sz="0" w:space="0" w:color="auto"/>
                                        <w:bottom w:val="none" w:sz="0" w:space="0" w:color="auto"/>
                                        <w:right w:val="none" w:sz="0" w:space="0" w:color="auto"/>
                                      </w:divBdr>
                                    </w:div>
                                    <w:div w:id="904878363">
                                      <w:marLeft w:val="0"/>
                                      <w:marRight w:val="0"/>
                                      <w:marTop w:val="0"/>
                                      <w:marBottom w:val="0"/>
                                      <w:divBdr>
                                        <w:top w:val="none" w:sz="0" w:space="0" w:color="auto"/>
                                        <w:left w:val="none" w:sz="0" w:space="0" w:color="auto"/>
                                        <w:bottom w:val="none" w:sz="0" w:space="0" w:color="auto"/>
                                        <w:right w:val="none" w:sz="0" w:space="0" w:color="auto"/>
                                      </w:divBdr>
                                    </w:div>
                                    <w:div w:id="904878364">
                                      <w:marLeft w:val="0"/>
                                      <w:marRight w:val="0"/>
                                      <w:marTop w:val="0"/>
                                      <w:marBottom w:val="0"/>
                                      <w:divBdr>
                                        <w:top w:val="none" w:sz="0" w:space="0" w:color="auto"/>
                                        <w:left w:val="none" w:sz="0" w:space="0" w:color="auto"/>
                                        <w:bottom w:val="none" w:sz="0" w:space="0" w:color="auto"/>
                                        <w:right w:val="none" w:sz="0" w:space="0" w:color="auto"/>
                                      </w:divBdr>
                                    </w:div>
                                    <w:div w:id="904878378">
                                      <w:marLeft w:val="0"/>
                                      <w:marRight w:val="0"/>
                                      <w:marTop w:val="0"/>
                                      <w:marBottom w:val="0"/>
                                      <w:divBdr>
                                        <w:top w:val="none" w:sz="0" w:space="0" w:color="auto"/>
                                        <w:left w:val="none" w:sz="0" w:space="0" w:color="auto"/>
                                        <w:bottom w:val="none" w:sz="0" w:space="0" w:color="auto"/>
                                        <w:right w:val="none" w:sz="0" w:space="0" w:color="auto"/>
                                      </w:divBdr>
                                    </w:div>
                                    <w:div w:id="904878379">
                                      <w:marLeft w:val="360"/>
                                      <w:marRight w:val="0"/>
                                      <w:marTop w:val="0"/>
                                      <w:marBottom w:val="0"/>
                                      <w:divBdr>
                                        <w:top w:val="none" w:sz="0" w:space="0" w:color="auto"/>
                                        <w:left w:val="none" w:sz="0" w:space="0" w:color="auto"/>
                                        <w:bottom w:val="none" w:sz="0" w:space="0" w:color="auto"/>
                                        <w:right w:val="none" w:sz="0" w:space="0" w:color="auto"/>
                                      </w:divBdr>
                                    </w:div>
                                    <w:div w:id="904878380">
                                      <w:marLeft w:val="0"/>
                                      <w:marRight w:val="0"/>
                                      <w:marTop w:val="0"/>
                                      <w:marBottom w:val="0"/>
                                      <w:divBdr>
                                        <w:top w:val="none" w:sz="0" w:space="0" w:color="auto"/>
                                        <w:left w:val="none" w:sz="0" w:space="0" w:color="auto"/>
                                        <w:bottom w:val="none" w:sz="0" w:space="0" w:color="auto"/>
                                        <w:right w:val="none" w:sz="0" w:space="0" w:color="auto"/>
                                      </w:divBdr>
                                    </w:div>
                                    <w:div w:id="904878389">
                                      <w:marLeft w:val="0"/>
                                      <w:marRight w:val="0"/>
                                      <w:marTop w:val="0"/>
                                      <w:marBottom w:val="0"/>
                                      <w:divBdr>
                                        <w:top w:val="none" w:sz="0" w:space="0" w:color="auto"/>
                                        <w:left w:val="none" w:sz="0" w:space="0" w:color="auto"/>
                                        <w:bottom w:val="none" w:sz="0" w:space="0" w:color="auto"/>
                                        <w:right w:val="none" w:sz="0" w:space="0" w:color="auto"/>
                                      </w:divBdr>
                                    </w:div>
                                    <w:div w:id="904878396">
                                      <w:marLeft w:val="360"/>
                                      <w:marRight w:val="0"/>
                                      <w:marTop w:val="0"/>
                                      <w:marBottom w:val="0"/>
                                      <w:divBdr>
                                        <w:top w:val="none" w:sz="0" w:space="0" w:color="auto"/>
                                        <w:left w:val="none" w:sz="0" w:space="0" w:color="auto"/>
                                        <w:bottom w:val="none" w:sz="0" w:space="0" w:color="auto"/>
                                        <w:right w:val="none" w:sz="0" w:space="0" w:color="auto"/>
                                      </w:divBdr>
                                    </w:div>
                                    <w:div w:id="904878398">
                                      <w:marLeft w:val="0"/>
                                      <w:marRight w:val="0"/>
                                      <w:marTop w:val="0"/>
                                      <w:marBottom w:val="0"/>
                                      <w:divBdr>
                                        <w:top w:val="none" w:sz="0" w:space="0" w:color="auto"/>
                                        <w:left w:val="none" w:sz="0" w:space="0" w:color="auto"/>
                                        <w:bottom w:val="none" w:sz="0" w:space="0" w:color="auto"/>
                                        <w:right w:val="none" w:sz="0" w:space="0" w:color="auto"/>
                                      </w:divBdr>
                                    </w:div>
                                    <w:div w:id="904878401">
                                      <w:marLeft w:val="360"/>
                                      <w:marRight w:val="0"/>
                                      <w:marTop w:val="0"/>
                                      <w:marBottom w:val="0"/>
                                      <w:divBdr>
                                        <w:top w:val="none" w:sz="0" w:space="0" w:color="auto"/>
                                        <w:left w:val="none" w:sz="0" w:space="0" w:color="auto"/>
                                        <w:bottom w:val="none" w:sz="0" w:space="0" w:color="auto"/>
                                        <w:right w:val="none" w:sz="0" w:space="0" w:color="auto"/>
                                      </w:divBdr>
                                    </w:div>
                                    <w:div w:id="904878402">
                                      <w:marLeft w:val="0"/>
                                      <w:marRight w:val="0"/>
                                      <w:marTop w:val="0"/>
                                      <w:marBottom w:val="0"/>
                                      <w:divBdr>
                                        <w:top w:val="none" w:sz="0" w:space="0" w:color="auto"/>
                                        <w:left w:val="none" w:sz="0" w:space="0" w:color="auto"/>
                                        <w:bottom w:val="none" w:sz="0" w:space="0" w:color="auto"/>
                                        <w:right w:val="none" w:sz="0" w:space="0" w:color="auto"/>
                                      </w:divBdr>
                                    </w:div>
                                    <w:div w:id="904878403">
                                      <w:marLeft w:val="0"/>
                                      <w:marRight w:val="0"/>
                                      <w:marTop w:val="0"/>
                                      <w:marBottom w:val="0"/>
                                      <w:divBdr>
                                        <w:top w:val="none" w:sz="0" w:space="0" w:color="auto"/>
                                        <w:left w:val="none" w:sz="0" w:space="0" w:color="auto"/>
                                        <w:bottom w:val="none" w:sz="0" w:space="0" w:color="auto"/>
                                        <w:right w:val="none" w:sz="0" w:space="0" w:color="auto"/>
                                      </w:divBdr>
                                    </w:div>
                                    <w:div w:id="904878404">
                                      <w:marLeft w:val="0"/>
                                      <w:marRight w:val="0"/>
                                      <w:marTop w:val="0"/>
                                      <w:marBottom w:val="0"/>
                                      <w:divBdr>
                                        <w:top w:val="none" w:sz="0" w:space="0" w:color="auto"/>
                                        <w:left w:val="none" w:sz="0" w:space="0" w:color="auto"/>
                                        <w:bottom w:val="none" w:sz="0" w:space="0" w:color="auto"/>
                                        <w:right w:val="none" w:sz="0" w:space="0" w:color="auto"/>
                                      </w:divBdr>
                                    </w:div>
                                    <w:div w:id="904878406">
                                      <w:marLeft w:val="360"/>
                                      <w:marRight w:val="0"/>
                                      <w:marTop w:val="0"/>
                                      <w:marBottom w:val="0"/>
                                      <w:divBdr>
                                        <w:top w:val="none" w:sz="0" w:space="0" w:color="auto"/>
                                        <w:left w:val="none" w:sz="0" w:space="0" w:color="auto"/>
                                        <w:bottom w:val="none" w:sz="0" w:space="0" w:color="auto"/>
                                        <w:right w:val="none" w:sz="0" w:space="0" w:color="auto"/>
                                      </w:divBdr>
                                    </w:div>
                                    <w:div w:id="904878408">
                                      <w:marLeft w:val="360"/>
                                      <w:marRight w:val="0"/>
                                      <w:marTop w:val="0"/>
                                      <w:marBottom w:val="0"/>
                                      <w:divBdr>
                                        <w:top w:val="none" w:sz="0" w:space="0" w:color="auto"/>
                                        <w:left w:val="none" w:sz="0" w:space="0" w:color="auto"/>
                                        <w:bottom w:val="none" w:sz="0" w:space="0" w:color="auto"/>
                                        <w:right w:val="none" w:sz="0" w:space="0" w:color="auto"/>
                                      </w:divBdr>
                                    </w:div>
                                    <w:div w:id="904878410">
                                      <w:marLeft w:val="0"/>
                                      <w:marRight w:val="0"/>
                                      <w:marTop w:val="0"/>
                                      <w:marBottom w:val="0"/>
                                      <w:divBdr>
                                        <w:top w:val="none" w:sz="0" w:space="0" w:color="auto"/>
                                        <w:left w:val="none" w:sz="0" w:space="0" w:color="auto"/>
                                        <w:bottom w:val="none" w:sz="0" w:space="0" w:color="auto"/>
                                        <w:right w:val="none" w:sz="0" w:space="0" w:color="auto"/>
                                      </w:divBdr>
                                    </w:div>
                                    <w:div w:id="904878413">
                                      <w:marLeft w:val="0"/>
                                      <w:marRight w:val="0"/>
                                      <w:marTop w:val="0"/>
                                      <w:marBottom w:val="0"/>
                                      <w:divBdr>
                                        <w:top w:val="none" w:sz="0" w:space="0" w:color="auto"/>
                                        <w:left w:val="none" w:sz="0" w:space="0" w:color="auto"/>
                                        <w:bottom w:val="none" w:sz="0" w:space="0" w:color="auto"/>
                                        <w:right w:val="none" w:sz="0" w:space="0" w:color="auto"/>
                                      </w:divBdr>
                                    </w:div>
                                    <w:div w:id="904878414">
                                      <w:marLeft w:val="0"/>
                                      <w:marRight w:val="0"/>
                                      <w:marTop w:val="0"/>
                                      <w:marBottom w:val="0"/>
                                      <w:divBdr>
                                        <w:top w:val="none" w:sz="0" w:space="0" w:color="auto"/>
                                        <w:left w:val="none" w:sz="0" w:space="0" w:color="auto"/>
                                        <w:bottom w:val="none" w:sz="0" w:space="0" w:color="auto"/>
                                        <w:right w:val="none" w:sz="0" w:space="0" w:color="auto"/>
                                      </w:divBdr>
                                    </w:div>
                                    <w:div w:id="904878419">
                                      <w:marLeft w:val="360"/>
                                      <w:marRight w:val="0"/>
                                      <w:marTop w:val="0"/>
                                      <w:marBottom w:val="0"/>
                                      <w:divBdr>
                                        <w:top w:val="none" w:sz="0" w:space="0" w:color="auto"/>
                                        <w:left w:val="none" w:sz="0" w:space="0" w:color="auto"/>
                                        <w:bottom w:val="none" w:sz="0" w:space="0" w:color="auto"/>
                                        <w:right w:val="none" w:sz="0" w:space="0" w:color="auto"/>
                                      </w:divBdr>
                                    </w:div>
                                    <w:div w:id="904878421">
                                      <w:marLeft w:val="0"/>
                                      <w:marRight w:val="0"/>
                                      <w:marTop w:val="0"/>
                                      <w:marBottom w:val="0"/>
                                      <w:divBdr>
                                        <w:top w:val="none" w:sz="0" w:space="0" w:color="auto"/>
                                        <w:left w:val="none" w:sz="0" w:space="0" w:color="auto"/>
                                        <w:bottom w:val="none" w:sz="0" w:space="0" w:color="auto"/>
                                        <w:right w:val="none" w:sz="0" w:space="0" w:color="auto"/>
                                      </w:divBdr>
                                    </w:div>
                                    <w:div w:id="904878428">
                                      <w:marLeft w:val="360"/>
                                      <w:marRight w:val="0"/>
                                      <w:marTop w:val="0"/>
                                      <w:marBottom w:val="0"/>
                                      <w:divBdr>
                                        <w:top w:val="none" w:sz="0" w:space="0" w:color="auto"/>
                                        <w:left w:val="none" w:sz="0" w:space="0" w:color="auto"/>
                                        <w:bottom w:val="none" w:sz="0" w:space="0" w:color="auto"/>
                                        <w:right w:val="none" w:sz="0" w:space="0" w:color="auto"/>
                                      </w:divBdr>
                                    </w:div>
                                    <w:div w:id="904878433">
                                      <w:marLeft w:val="360"/>
                                      <w:marRight w:val="0"/>
                                      <w:marTop w:val="0"/>
                                      <w:marBottom w:val="0"/>
                                      <w:divBdr>
                                        <w:top w:val="none" w:sz="0" w:space="0" w:color="auto"/>
                                        <w:left w:val="none" w:sz="0" w:space="0" w:color="auto"/>
                                        <w:bottom w:val="none" w:sz="0" w:space="0" w:color="auto"/>
                                        <w:right w:val="none" w:sz="0" w:space="0" w:color="auto"/>
                                      </w:divBdr>
                                    </w:div>
                                    <w:div w:id="9048784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78391">
              <w:marLeft w:val="0"/>
              <w:marRight w:val="0"/>
              <w:marTop w:val="0"/>
              <w:marBottom w:val="0"/>
              <w:divBdr>
                <w:top w:val="none" w:sz="0" w:space="0" w:color="auto"/>
                <w:left w:val="none" w:sz="0" w:space="0" w:color="auto"/>
                <w:bottom w:val="none" w:sz="0" w:space="0" w:color="auto"/>
                <w:right w:val="none" w:sz="0" w:space="0" w:color="auto"/>
              </w:divBdr>
              <w:divsChild>
                <w:div w:id="904878311">
                  <w:marLeft w:val="0"/>
                  <w:marRight w:val="0"/>
                  <w:marTop w:val="0"/>
                  <w:marBottom w:val="0"/>
                  <w:divBdr>
                    <w:top w:val="none" w:sz="0" w:space="0" w:color="auto"/>
                    <w:left w:val="none" w:sz="0" w:space="0" w:color="auto"/>
                    <w:bottom w:val="none" w:sz="0" w:space="0" w:color="auto"/>
                    <w:right w:val="none" w:sz="0" w:space="0" w:color="auto"/>
                  </w:divBdr>
                  <w:divsChild>
                    <w:div w:id="904878315">
                      <w:marLeft w:val="0"/>
                      <w:marRight w:val="0"/>
                      <w:marTop w:val="0"/>
                      <w:marBottom w:val="0"/>
                      <w:divBdr>
                        <w:top w:val="none" w:sz="0" w:space="0" w:color="auto"/>
                        <w:left w:val="none" w:sz="0" w:space="0" w:color="auto"/>
                        <w:bottom w:val="none" w:sz="0" w:space="0" w:color="auto"/>
                        <w:right w:val="none" w:sz="0" w:space="0" w:color="auto"/>
                      </w:divBdr>
                    </w:div>
                    <w:div w:id="904878332">
                      <w:marLeft w:val="0"/>
                      <w:marRight w:val="0"/>
                      <w:marTop w:val="0"/>
                      <w:marBottom w:val="0"/>
                      <w:divBdr>
                        <w:top w:val="none" w:sz="0" w:space="0" w:color="auto"/>
                        <w:left w:val="none" w:sz="0" w:space="0" w:color="auto"/>
                        <w:bottom w:val="none" w:sz="0" w:space="0" w:color="auto"/>
                        <w:right w:val="none" w:sz="0" w:space="0" w:color="auto"/>
                      </w:divBdr>
                      <w:divsChild>
                        <w:div w:id="904878327">
                          <w:marLeft w:val="0"/>
                          <w:marRight w:val="0"/>
                          <w:marTop w:val="0"/>
                          <w:marBottom w:val="0"/>
                          <w:divBdr>
                            <w:top w:val="none" w:sz="0" w:space="0" w:color="auto"/>
                            <w:left w:val="none" w:sz="0" w:space="0" w:color="auto"/>
                            <w:bottom w:val="none" w:sz="0" w:space="0" w:color="auto"/>
                            <w:right w:val="none" w:sz="0" w:space="0" w:color="auto"/>
                          </w:divBdr>
                        </w:div>
                      </w:divsChild>
                    </w:div>
                    <w:div w:id="904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377">
      <w:marLeft w:val="0"/>
      <w:marRight w:val="0"/>
      <w:marTop w:val="0"/>
      <w:marBottom w:val="0"/>
      <w:divBdr>
        <w:top w:val="none" w:sz="0" w:space="0" w:color="auto"/>
        <w:left w:val="none" w:sz="0" w:space="0" w:color="auto"/>
        <w:bottom w:val="none" w:sz="0" w:space="0" w:color="auto"/>
        <w:right w:val="none" w:sz="0" w:space="0" w:color="auto"/>
      </w:divBdr>
      <w:divsChild>
        <w:div w:id="904878309">
          <w:marLeft w:val="0"/>
          <w:marRight w:val="0"/>
          <w:marTop w:val="0"/>
          <w:marBottom w:val="0"/>
          <w:divBdr>
            <w:top w:val="none" w:sz="0" w:space="0" w:color="auto"/>
            <w:left w:val="none" w:sz="0" w:space="0" w:color="auto"/>
            <w:bottom w:val="none" w:sz="0" w:space="0" w:color="auto"/>
            <w:right w:val="none" w:sz="0" w:space="0" w:color="auto"/>
          </w:divBdr>
        </w:div>
        <w:div w:id="904878310">
          <w:marLeft w:val="0"/>
          <w:marRight w:val="0"/>
          <w:marTop w:val="0"/>
          <w:marBottom w:val="0"/>
          <w:divBdr>
            <w:top w:val="none" w:sz="0" w:space="0" w:color="auto"/>
            <w:left w:val="none" w:sz="0" w:space="0" w:color="auto"/>
            <w:bottom w:val="none" w:sz="0" w:space="0" w:color="auto"/>
            <w:right w:val="none" w:sz="0" w:space="0" w:color="auto"/>
          </w:divBdr>
        </w:div>
        <w:div w:id="904878314">
          <w:marLeft w:val="0"/>
          <w:marRight w:val="0"/>
          <w:marTop w:val="0"/>
          <w:marBottom w:val="0"/>
          <w:divBdr>
            <w:top w:val="none" w:sz="0" w:space="0" w:color="auto"/>
            <w:left w:val="none" w:sz="0" w:space="0" w:color="auto"/>
            <w:bottom w:val="none" w:sz="0" w:space="0" w:color="auto"/>
            <w:right w:val="none" w:sz="0" w:space="0" w:color="auto"/>
          </w:divBdr>
        </w:div>
        <w:div w:id="904878316">
          <w:marLeft w:val="0"/>
          <w:marRight w:val="0"/>
          <w:marTop w:val="0"/>
          <w:marBottom w:val="0"/>
          <w:divBdr>
            <w:top w:val="none" w:sz="0" w:space="0" w:color="auto"/>
            <w:left w:val="none" w:sz="0" w:space="0" w:color="auto"/>
            <w:bottom w:val="none" w:sz="0" w:space="0" w:color="auto"/>
            <w:right w:val="none" w:sz="0" w:space="0" w:color="auto"/>
          </w:divBdr>
        </w:div>
        <w:div w:id="904878328">
          <w:marLeft w:val="0"/>
          <w:marRight w:val="0"/>
          <w:marTop w:val="0"/>
          <w:marBottom w:val="0"/>
          <w:divBdr>
            <w:top w:val="none" w:sz="0" w:space="0" w:color="auto"/>
            <w:left w:val="none" w:sz="0" w:space="0" w:color="auto"/>
            <w:bottom w:val="none" w:sz="0" w:space="0" w:color="auto"/>
            <w:right w:val="none" w:sz="0" w:space="0" w:color="auto"/>
          </w:divBdr>
        </w:div>
        <w:div w:id="904878330">
          <w:marLeft w:val="0"/>
          <w:marRight w:val="0"/>
          <w:marTop w:val="0"/>
          <w:marBottom w:val="0"/>
          <w:divBdr>
            <w:top w:val="none" w:sz="0" w:space="0" w:color="auto"/>
            <w:left w:val="none" w:sz="0" w:space="0" w:color="auto"/>
            <w:bottom w:val="none" w:sz="0" w:space="0" w:color="auto"/>
            <w:right w:val="none" w:sz="0" w:space="0" w:color="auto"/>
          </w:divBdr>
        </w:div>
        <w:div w:id="904878331">
          <w:marLeft w:val="0"/>
          <w:marRight w:val="0"/>
          <w:marTop w:val="0"/>
          <w:marBottom w:val="0"/>
          <w:divBdr>
            <w:top w:val="none" w:sz="0" w:space="0" w:color="auto"/>
            <w:left w:val="none" w:sz="0" w:space="0" w:color="auto"/>
            <w:bottom w:val="none" w:sz="0" w:space="0" w:color="auto"/>
            <w:right w:val="none" w:sz="0" w:space="0" w:color="auto"/>
          </w:divBdr>
        </w:div>
        <w:div w:id="904878337">
          <w:marLeft w:val="360"/>
          <w:marRight w:val="0"/>
          <w:marTop w:val="0"/>
          <w:marBottom w:val="0"/>
          <w:divBdr>
            <w:top w:val="none" w:sz="0" w:space="0" w:color="auto"/>
            <w:left w:val="none" w:sz="0" w:space="0" w:color="auto"/>
            <w:bottom w:val="none" w:sz="0" w:space="0" w:color="auto"/>
            <w:right w:val="none" w:sz="0" w:space="0" w:color="auto"/>
          </w:divBdr>
        </w:div>
        <w:div w:id="904878341">
          <w:marLeft w:val="360"/>
          <w:marRight w:val="0"/>
          <w:marTop w:val="0"/>
          <w:marBottom w:val="0"/>
          <w:divBdr>
            <w:top w:val="none" w:sz="0" w:space="0" w:color="auto"/>
            <w:left w:val="none" w:sz="0" w:space="0" w:color="auto"/>
            <w:bottom w:val="none" w:sz="0" w:space="0" w:color="auto"/>
            <w:right w:val="none" w:sz="0" w:space="0" w:color="auto"/>
          </w:divBdr>
        </w:div>
        <w:div w:id="904878344">
          <w:marLeft w:val="360"/>
          <w:marRight w:val="0"/>
          <w:marTop w:val="0"/>
          <w:marBottom w:val="0"/>
          <w:divBdr>
            <w:top w:val="none" w:sz="0" w:space="0" w:color="auto"/>
            <w:left w:val="none" w:sz="0" w:space="0" w:color="auto"/>
            <w:bottom w:val="none" w:sz="0" w:space="0" w:color="auto"/>
            <w:right w:val="none" w:sz="0" w:space="0" w:color="auto"/>
          </w:divBdr>
        </w:div>
        <w:div w:id="904878348">
          <w:marLeft w:val="360"/>
          <w:marRight w:val="0"/>
          <w:marTop w:val="0"/>
          <w:marBottom w:val="0"/>
          <w:divBdr>
            <w:top w:val="none" w:sz="0" w:space="0" w:color="auto"/>
            <w:left w:val="none" w:sz="0" w:space="0" w:color="auto"/>
            <w:bottom w:val="none" w:sz="0" w:space="0" w:color="auto"/>
            <w:right w:val="none" w:sz="0" w:space="0" w:color="auto"/>
          </w:divBdr>
        </w:div>
        <w:div w:id="904878349">
          <w:marLeft w:val="360"/>
          <w:marRight w:val="0"/>
          <w:marTop w:val="0"/>
          <w:marBottom w:val="0"/>
          <w:divBdr>
            <w:top w:val="none" w:sz="0" w:space="0" w:color="auto"/>
            <w:left w:val="none" w:sz="0" w:space="0" w:color="auto"/>
            <w:bottom w:val="none" w:sz="0" w:space="0" w:color="auto"/>
            <w:right w:val="none" w:sz="0" w:space="0" w:color="auto"/>
          </w:divBdr>
        </w:div>
        <w:div w:id="904878356">
          <w:marLeft w:val="0"/>
          <w:marRight w:val="0"/>
          <w:marTop w:val="0"/>
          <w:marBottom w:val="0"/>
          <w:divBdr>
            <w:top w:val="none" w:sz="0" w:space="0" w:color="auto"/>
            <w:left w:val="none" w:sz="0" w:space="0" w:color="auto"/>
            <w:bottom w:val="none" w:sz="0" w:space="0" w:color="auto"/>
            <w:right w:val="none" w:sz="0" w:space="0" w:color="auto"/>
          </w:divBdr>
        </w:div>
        <w:div w:id="904878359">
          <w:marLeft w:val="360"/>
          <w:marRight w:val="0"/>
          <w:marTop w:val="0"/>
          <w:marBottom w:val="0"/>
          <w:divBdr>
            <w:top w:val="none" w:sz="0" w:space="0" w:color="auto"/>
            <w:left w:val="none" w:sz="0" w:space="0" w:color="auto"/>
            <w:bottom w:val="none" w:sz="0" w:space="0" w:color="auto"/>
            <w:right w:val="none" w:sz="0" w:space="0" w:color="auto"/>
          </w:divBdr>
        </w:div>
        <w:div w:id="904878365">
          <w:marLeft w:val="360"/>
          <w:marRight w:val="0"/>
          <w:marTop w:val="0"/>
          <w:marBottom w:val="0"/>
          <w:divBdr>
            <w:top w:val="none" w:sz="0" w:space="0" w:color="auto"/>
            <w:left w:val="none" w:sz="0" w:space="0" w:color="auto"/>
            <w:bottom w:val="none" w:sz="0" w:space="0" w:color="auto"/>
            <w:right w:val="none" w:sz="0" w:space="0" w:color="auto"/>
          </w:divBdr>
        </w:div>
        <w:div w:id="904878372">
          <w:marLeft w:val="360"/>
          <w:marRight w:val="0"/>
          <w:marTop w:val="0"/>
          <w:marBottom w:val="0"/>
          <w:divBdr>
            <w:top w:val="none" w:sz="0" w:space="0" w:color="auto"/>
            <w:left w:val="none" w:sz="0" w:space="0" w:color="auto"/>
            <w:bottom w:val="none" w:sz="0" w:space="0" w:color="auto"/>
            <w:right w:val="none" w:sz="0" w:space="0" w:color="auto"/>
          </w:divBdr>
        </w:div>
        <w:div w:id="904878373">
          <w:marLeft w:val="0"/>
          <w:marRight w:val="0"/>
          <w:marTop w:val="0"/>
          <w:marBottom w:val="0"/>
          <w:divBdr>
            <w:top w:val="none" w:sz="0" w:space="0" w:color="auto"/>
            <w:left w:val="none" w:sz="0" w:space="0" w:color="auto"/>
            <w:bottom w:val="none" w:sz="0" w:space="0" w:color="auto"/>
            <w:right w:val="none" w:sz="0" w:space="0" w:color="auto"/>
          </w:divBdr>
        </w:div>
        <w:div w:id="904878374">
          <w:marLeft w:val="360"/>
          <w:marRight w:val="0"/>
          <w:marTop w:val="0"/>
          <w:marBottom w:val="0"/>
          <w:divBdr>
            <w:top w:val="none" w:sz="0" w:space="0" w:color="auto"/>
            <w:left w:val="none" w:sz="0" w:space="0" w:color="auto"/>
            <w:bottom w:val="none" w:sz="0" w:space="0" w:color="auto"/>
            <w:right w:val="none" w:sz="0" w:space="0" w:color="auto"/>
          </w:divBdr>
        </w:div>
        <w:div w:id="904878382">
          <w:marLeft w:val="0"/>
          <w:marRight w:val="0"/>
          <w:marTop w:val="0"/>
          <w:marBottom w:val="0"/>
          <w:divBdr>
            <w:top w:val="none" w:sz="0" w:space="0" w:color="auto"/>
            <w:left w:val="none" w:sz="0" w:space="0" w:color="auto"/>
            <w:bottom w:val="none" w:sz="0" w:space="0" w:color="auto"/>
            <w:right w:val="none" w:sz="0" w:space="0" w:color="auto"/>
          </w:divBdr>
        </w:div>
        <w:div w:id="904878383">
          <w:marLeft w:val="360"/>
          <w:marRight w:val="0"/>
          <w:marTop w:val="0"/>
          <w:marBottom w:val="0"/>
          <w:divBdr>
            <w:top w:val="none" w:sz="0" w:space="0" w:color="auto"/>
            <w:left w:val="none" w:sz="0" w:space="0" w:color="auto"/>
            <w:bottom w:val="none" w:sz="0" w:space="0" w:color="auto"/>
            <w:right w:val="none" w:sz="0" w:space="0" w:color="auto"/>
          </w:divBdr>
        </w:div>
        <w:div w:id="904878385">
          <w:marLeft w:val="360"/>
          <w:marRight w:val="0"/>
          <w:marTop w:val="0"/>
          <w:marBottom w:val="0"/>
          <w:divBdr>
            <w:top w:val="none" w:sz="0" w:space="0" w:color="auto"/>
            <w:left w:val="none" w:sz="0" w:space="0" w:color="auto"/>
            <w:bottom w:val="none" w:sz="0" w:space="0" w:color="auto"/>
            <w:right w:val="none" w:sz="0" w:space="0" w:color="auto"/>
          </w:divBdr>
        </w:div>
        <w:div w:id="904878386">
          <w:marLeft w:val="360"/>
          <w:marRight w:val="0"/>
          <w:marTop w:val="0"/>
          <w:marBottom w:val="0"/>
          <w:divBdr>
            <w:top w:val="none" w:sz="0" w:space="0" w:color="auto"/>
            <w:left w:val="none" w:sz="0" w:space="0" w:color="auto"/>
            <w:bottom w:val="none" w:sz="0" w:space="0" w:color="auto"/>
            <w:right w:val="none" w:sz="0" w:space="0" w:color="auto"/>
          </w:divBdr>
        </w:div>
        <w:div w:id="904878390">
          <w:marLeft w:val="0"/>
          <w:marRight w:val="0"/>
          <w:marTop w:val="0"/>
          <w:marBottom w:val="0"/>
          <w:divBdr>
            <w:top w:val="none" w:sz="0" w:space="0" w:color="auto"/>
            <w:left w:val="none" w:sz="0" w:space="0" w:color="auto"/>
            <w:bottom w:val="none" w:sz="0" w:space="0" w:color="auto"/>
            <w:right w:val="none" w:sz="0" w:space="0" w:color="auto"/>
          </w:divBdr>
        </w:div>
        <w:div w:id="904878392">
          <w:marLeft w:val="360"/>
          <w:marRight w:val="0"/>
          <w:marTop w:val="0"/>
          <w:marBottom w:val="0"/>
          <w:divBdr>
            <w:top w:val="none" w:sz="0" w:space="0" w:color="auto"/>
            <w:left w:val="none" w:sz="0" w:space="0" w:color="auto"/>
            <w:bottom w:val="none" w:sz="0" w:space="0" w:color="auto"/>
            <w:right w:val="none" w:sz="0" w:space="0" w:color="auto"/>
          </w:divBdr>
        </w:div>
        <w:div w:id="904878394">
          <w:marLeft w:val="0"/>
          <w:marRight w:val="0"/>
          <w:marTop w:val="0"/>
          <w:marBottom w:val="0"/>
          <w:divBdr>
            <w:top w:val="none" w:sz="0" w:space="0" w:color="auto"/>
            <w:left w:val="none" w:sz="0" w:space="0" w:color="auto"/>
            <w:bottom w:val="none" w:sz="0" w:space="0" w:color="auto"/>
            <w:right w:val="none" w:sz="0" w:space="0" w:color="auto"/>
          </w:divBdr>
        </w:div>
        <w:div w:id="904878411">
          <w:marLeft w:val="0"/>
          <w:marRight w:val="0"/>
          <w:marTop w:val="0"/>
          <w:marBottom w:val="0"/>
          <w:divBdr>
            <w:top w:val="none" w:sz="0" w:space="0" w:color="auto"/>
            <w:left w:val="none" w:sz="0" w:space="0" w:color="auto"/>
            <w:bottom w:val="none" w:sz="0" w:space="0" w:color="auto"/>
            <w:right w:val="none" w:sz="0" w:space="0" w:color="auto"/>
          </w:divBdr>
        </w:div>
        <w:div w:id="904878416">
          <w:marLeft w:val="360"/>
          <w:marRight w:val="0"/>
          <w:marTop w:val="0"/>
          <w:marBottom w:val="0"/>
          <w:divBdr>
            <w:top w:val="none" w:sz="0" w:space="0" w:color="auto"/>
            <w:left w:val="none" w:sz="0" w:space="0" w:color="auto"/>
            <w:bottom w:val="none" w:sz="0" w:space="0" w:color="auto"/>
            <w:right w:val="none" w:sz="0" w:space="0" w:color="auto"/>
          </w:divBdr>
        </w:div>
        <w:div w:id="904878422">
          <w:marLeft w:val="0"/>
          <w:marRight w:val="0"/>
          <w:marTop w:val="0"/>
          <w:marBottom w:val="0"/>
          <w:divBdr>
            <w:top w:val="none" w:sz="0" w:space="0" w:color="auto"/>
            <w:left w:val="none" w:sz="0" w:space="0" w:color="auto"/>
            <w:bottom w:val="none" w:sz="0" w:space="0" w:color="auto"/>
            <w:right w:val="none" w:sz="0" w:space="0" w:color="auto"/>
          </w:divBdr>
        </w:div>
        <w:div w:id="904878425">
          <w:marLeft w:val="0"/>
          <w:marRight w:val="0"/>
          <w:marTop w:val="0"/>
          <w:marBottom w:val="0"/>
          <w:divBdr>
            <w:top w:val="none" w:sz="0" w:space="0" w:color="auto"/>
            <w:left w:val="none" w:sz="0" w:space="0" w:color="auto"/>
            <w:bottom w:val="none" w:sz="0" w:space="0" w:color="auto"/>
            <w:right w:val="none" w:sz="0" w:space="0" w:color="auto"/>
          </w:divBdr>
        </w:div>
        <w:div w:id="904878431">
          <w:marLeft w:val="360"/>
          <w:marRight w:val="0"/>
          <w:marTop w:val="0"/>
          <w:marBottom w:val="0"/>
          <w:divBdr>
            <w:top w:val="none" w:sz="0" w:space="0" w:color="auto"/>
            <w:left w:val="none" w:sz="0" w:space="0" w:color="auto"/>
            <w:bottom w:val="none" w:sz="0" w:space="0" w:color="auto"/>
            <w:right w:val="none" w:sz="0" w:space="0" w:color="auto"/>
          </w:divBdr>
        </w:div>
        <w:div w:id="904878432">
          <w:marLeft w:val="0"/>
          <w:marRight w:val="0"/>
          <w:marTop w:val="0"/>
          <w:marBottom w:val="0"/>
          <w:divBdr>
            <w:top w:val="none" w:sz="0" w:space="0" w:color="auto"/>
            <w:left w:val="none" w:sz="0" w:space="0" w:color="auto"/>
            <w:bottom w:val="none" w:sz="0" w:space="0" w:color="auto"/>
            <w:right w:val="none" w:sz="0" w:space="0" w:color="auto"/>
          </w:divBdr>
        </w:div>
        <w:div w:id="904878434">
          <w:marLeft w:val="0"/>
          <w:marRight w:val="0"/>
          <w:marTop w:val="0"/>
          <w:marBottom w:val="0"/>
          <w:divBdr>
            <w:top w:val="none" w:sz="0" w:space="0" w:color="auto"/>
            <w:left w:val="none" w:sz="0" w:space="0" w:color="auto"/>
            <w:bottom w:val="none" w:sz="0" w:space="0" w:color="auto"/>
            <w:right w:val="none" w:sz="0" w:space="0" w:color="auto"/>
          </w:divBdr>
        </w:div>
        <w:div w:id="904878435">
          <w:marLeft w:val="0"/>
          <w:marRight w:val="0"/>
          <w:marTop w:val="0"/>
          <w:marBottom w:val="0"/>
          <w:divBdr>
            <w:top w:val="none" w:sz="0" w:space="0" w:color="auto"/>
            <w:left w:val="none" w:sz="0" w:space="0" w:color="auto"/>
            <w:bottom w:val="none" w:sz="0" w:space="0" w:color="auto"/>
            <w:right w:val="none" w:sz="0" w:space="0" w:color="auto"/>
          </w:divBdr>
        </w:div>
      </w:divsChild>
    </w:div>
    <w:div w:id="904878381">
      <w:marLeft w:val="0"/>
      <w:marRight w:val="0"/>
      <w:marTop w:val="0"/>
      <w:marBottom w:val="0"/>
      <w:divBdr>
        <w:top w:val="none" w:sz="0" w:space="0" w:color="auto"/>
        <w:left w:val="none" w:sz="0" w:space="0" w:color="auto"/>
        <w:bottom w:val="none" w:sz="0" w:space="0" w:color="auto"/>
        <w:right w:val="none" w:sz="0" w:space="0" w:color="auto"/>
      </w:divBdr>
      <w:divsChild>
        <w:div w:id="904878323">
          <w:marLeft w:val="0"/>
          <w:marRight w:val="0"/>
          <w:marTop w:val="0"/>
          <w:marBottom w:val="0"/>
          <w:divBdr>
            <w:top w:val="none" w:sz="0" w:space="0" w:color="auto"/>
            <w:left w:val="none" w:sz="0" w:space="0" w:color="auto"/>
            <w:bottom w:val="none" w:sz="0" w:space="0" w:color="auto"/>
            <w:right w:val="none" w:sz="0" w:space="0" w:color="auto"/>
          </w:divBdr>
        </w:div>
        <w:div w:id="904878352">
          <w:marLeft w:val="0"/>
          <w:marRight w:val="0"/>
          <w:marTop w:val="0"/>
          <w:marBottom w:val="0"/>
          <w:divBdr>
            <w:top w:val="none" w:sz="0" w:space="0" w:color="auto"/>
            <w:left w:val="none" w:sz="0" w:space="0" w:color="auto"/>
            <w:bottom w:val="none" w:sz="0" w:space="0" w:color="auto"/>
            <w:right w:val="none" w:sz="0" w:space="0" w:color="auto"/>
          </w:divBdr>
        </w:div>
        <w:div w:id="904878397">
          <w:marLeft w:val="0"/>
          <w:marRight w:val="0"/>
          <w:marTop w:val="0"/>
          <w:marBottom w:val="0"/>
          <w:divBdr>
            <w:top w:val="none" w:sz="0" w:space="0" w:color="auto"/>
            <w:left w:val="none" w:sz="0" w:space="0" w:color="auto"/>
            <w:bottom w:val="none" w:sz="0" w:space="0" w:color="auto"/>
            <w:right w:val="none" w:sz="0" w:space="0" w:color="auto"/>
          </w:divBdr>
        </w:div>
      </w:divsChild>
    </w:div>
    <w:div w:id="904878400">
      <w:marLeft w:val="0"/>
      <w:marRight w:val="0"/>
      <w:marTop w:val="0"/>
      <w:marBottom w:val="0"/>
      <w:divBdr>
        <w:top w:val="none" w:sz="0" w:space="0" w:color="auto"/>
        <w:left w:val="none" w:sz="0" w:space="0" w:color="auto"/>
        <w:bottom w:val="none" w:sz="0" w:space="0" w:color="auto"/>
        <w:right w:val="none" w:sz="0" w:space="0" w:color="auto"/>
      </w:divBdr>
    </w:div>
    <w:div w:id="904878412">
      <w:marLeft w:val="0"/>
      <w:marRight w:val="0"/>
      <w:marTop w:val="0"/>
      <w:marBottom w:val="0"/>
      <w:divBdr>
        <w:top w:val="none" w:sz="0" w:space="0" w:color="auto"/>
        <w:left w:val="none" w:sz="0" w:space="0" w:color="auto"/>
        <w:bottom w:val="none" w:sz="0" w:space="0" w:color="auto"/>
        <w:right w:val="none" w:sz="0" w:space="0" w:color="auto"/>
      </w:divBdr>
    </w:div>
    <w:div w:id="904878438">
      <w:marLeft w:val="0"/>
      <w:marRight w:val="0"/>
      <w:marTop w:val="0"/>
      <w:marBottom w:val="0"/>
      <w:divBdr>
        <w:top w:val="none" w:sz="0" w:space="0" w:color="auto"/>
        <w:left w:val="none" w:sz="0" w:space="0" w:color="auto"/>
        <w:bottom w:val="none" w:sz="0" w:space="0" w:color="auto"/>
        <w:right w:val="none" w:sz="0" w:space="0" w:color="auto"/>
      </w:divBdr>
    </w:div>
    <w:div w:id="90487843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as.org/en/sedi/dhdee/labor_and_employment/pages/cpo_trab_planningmeeting2016-2017.asp"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11</Pages>
  <Words>3659</Words>
  <Characters>20860</Characters>
  <Application>Microsoft Office Outlook</Application>
  <DocSecurity>0</DocSecurity>
  <Lines>0</Lines>
  <Paragraphs>0</Paragraphs>
  <ScaleCrop>false</ScaleCrop>
  <Company>OAS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mcamacho</dc:creator>
  <cp:keywords/>
  <dc:description/>
  <cp:lastModifiedBy>mcamacho</cp:lastModifiedBy>
  <cp:revision>32</cp:revision>
  <cp:lastPrinted>2012-02-17T14:47:00Z</cp:lastPrinted>
  <dcterms:created xsi:type="dcterms:W3CDTF">2016-04-06T20:29:00Z</dcterms:created>
  <dcterms:modified xsi:type="dcterms:W3CDTF">2016-04-12T14:31:00Z</dcterms:modified>
</cp:coreProperties>
</file>