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9FF6" w14:textId="77777777" w:rsidR="007D45F3" w:rsidRPr="00FA02DE" w:rsidRDefault="007D45F3">
      <w:pPr>
        <w:jc w:val="center"/>
        <w:rPr>
          <w:rFonts w:ascii="Cambria" w:eastAsia="Cambria" w:hAnsi="Cambria" w:cs="Cambria"/>
          <w:b/>
          <w:lang w:val="en-US"/>
        </w:rPr>
      </w:pPr>
    </w:p>
    <w:p w14:paraId="2E546621" w14:textId="73937795" w:rsidR="007D45F3" w:rsidRPr="00FA02DE" w:rsidRDefault="00C00A27">
      <w:pPr>
        <w:jc w:val="center"/>
        <w:rPr>
          <w:rFonts w:ascii="Cambria" w:eastAsia="Cambria" w:hAnsi="Cambria" w:cs="Cambria"/>
          <w:b/>
          <w:lang w:val="en-US"/>
        </w:rPr>
      </w:pPr>
      <w:r w:rsidRPr="00FA02DE">
        <w:rPr>
          <w:rFonts w:ascii="Cambria" w:eastAsia="Cambria" w:hAnsi="Cambria" w:cs="Cambria"/>
          <w:b/>
          <w:lang w:val="en-US"/>
        </w:rPr>
        <w:t>C</w:t>
      </w:r>
      <w:r w:rsidR="00FA02DE" w:rsidRPr="00FA02DE">
        <w:rPr>
          <w:rFonts w:ascii="Cambria" w:eastAsia="Cambria" w:hAnsi="Cambria" w:cs="Cambria"/>
          <w:b/>
          <w:lang w:val="en-US"/>
        </w:rPr>
        <w:t xml:space="preserve">onsultation questionnaire for civil society organizations </w:t>
      </w:r>
    </w:p>
    <w:p w14:paraId="07F3FC4C" w14:textId="08F2771C" w:rsidR="00FA02DE" w:rsidRPr="00FA02DE" w:rsidRDefault="00FA02DE">
      <w:pPr>
        <w:jc w:val="center"/>
        <w:rPr>
          <w:rFonts w:ascii="Cambria" w:eastAsia="Cambria" w:hAnsi="Cambria" w:cs="Cambria"/>
          <w:b/>
          <w:lang w:val="en-US"/>
        </w:rPr>
      </w:pPr>
      <w:r w:rsidRPr="00FA02DE">
        <w:rPr>
          <w:rFonts w:ascii="Cambria" w:eastAsia="Cambria" w:hAnsi="Cambria" w:cs="Cambria"/>
          <w:b/>
          <w:lang w:val="en-US"/>
        </w:rPr>
        <w:t>Preparation of the thematic report “National Systems for the Implementation of International Decisions on Human Rights: Good Practices Guide”</w:t>
      </w:r>
    </w:p>
    <w:p w14:paraId="5CA83F16" w14:textId="77777777" w:rsidR="007D45F3" w:rsidRPr="00FA02DE" w:rsidRDefault="007D45F3">
      <w:pPr>
        <w:rPr>
          <w:rFonts w:ascii="Cambria" w:eastAsia="Cambria" w:hAnsi="Cambria" w:cs="Cambria"/>
          <w:lang w:val="en-US"/>
        </w:rPr>
      </w:pPr>
    </w:p>
    <w:p w14:paraId="3D890CBA" w14:textId="4C396766" w:rsidR="007D45F3" w:rsidRPr="00FA02DE" w:rsidRDefault="00C00A27">
      <w:pPr>
        <w:rPr>
          <w:rFonts w:ascii="Cambria" w:eastAsia="Cambria" w:hAnsi="Cambria" w:cs="Cambria"/>
          <w:b/>
          <w:lang w:val="en-US"/>
        </w:rPr>
      </w:pPr>
      <w:r w:rsidRPr="00FA02DE">
        <w:rPr>
          <w:rFonts w:ascii="Cambria" w:eastAsia="Cambria" w:hAnsi="Cambria" w:cs="Cambria"/>
          <w:b/>
          <w:lang w:val="en-US"/>
        </w:rPr>
        <w:t>P</w:t>
      </w:r>
      <w:r w:rsidR="00FA02DE" w:rsidRPr="00FA02DE">
        <w:rPr>
          <w:rFonts w:ascii="Cambria" w:eastAsia="Cambria" w:hAnsi="Cambria" w:cs="Cambria"/>
          <w:b/>
          <w:lang w:val="en-US"/>
        </w:rPr>
        <w:t>resentation</w:t>
      </w:r>
    </w:p>
    <w:p w14:paraId="43CEEE7C" w14:textId="348431FE" w:rsidR="00FA02DE" w:rsidRPr="00FA02DE" w:rsidRDefault="00FA02DE">
      <w:pPr>
        <w:jc w:val="both"/>
        <w:rPr>
          <w:rFonts w:ascii="Cambria" w:eastAsia="Cambria" w:hAnsi="Cambria" w:cs="Cambria"/>
          <w:lang w:val="en-US"/>
        </w:rPr>
      </w:pPr>
      <w:r w:rsidRPr="00FA02DE">
        <w:rPr>
          <w:rFonts w:ascii="Cambria" w:eastAsia="Cambria" w:hAnsi="Cambria" w:cs="Cambria"/>
          <w:lang w:val="en-US"/>
        </w:rPr>
        <w:t>The Inter-American Commission</w:t>
      </w:r>
      <w:r w:rsidR="008C3E0D">
        <w:rPr>
          <w:rFonts w:ascii="Cambria" w:eastAsia="Cambria" w:hAnsi="Cambria" w:cs="Cambria"/>
          <w:lang w:val="en-US"/>
        </w:rPr>
        <w:t xml:space="preserve"> on Human Rights</w:t>
      </w:r>
      <w:r w:rsidRPr="00FA02DE">
        <w:rPr>
          <w:rFonts w:ascii="Cambria" w:eastAsia="Cambria" w:hAnsi="Cambria" w:cs="Cambria"/>
          <w:lang w:val="en-US"/>
        </w:rPr>
        <w:t xml:space="preserve"> (IACHR) has initiated a thematic research on the mechanisms and systems that the States of the Americas have established, at the national level, to comply with the recommendations and decisions of the IACHR, </w:t>
      </w:r>
      <w:r w:rsidR="008C3E0D">
        <w:rPr>
          <w:rFonts w:ascii="Cambria" w:eastAsia="Cambria" w:hAnsi="Cambria" w:cs="Cambria"/>
          <w:lang w:val="en-US"/>
        </w:rPr>
        <w:t xml:space="preserve">particularly, </w:t>
      </w:r>
      <w:r w:rsidRPr="00FA02DE">
        <w:rPr>
          <w:rFonts w:ascii="Cambria" w:eastAsia="Cambria" w:hAnsi="Cambria" w:cs="Cambria"/>
          <w:lang w:val="en-US"/>
        </w:rPr>
        <w:t xml:space="preserve">and Inter-American System of Human Rights, as well as other international systems for the protection of human rights, </w:t>
      </w:r>
      <w:r w:rsidR="008C3E0D">
        <w:rPr>
          <w:rFonts w:ascii="Cambria" w:eastAsia="Cambria" w:hAnsi="Cambria" w:cs="Cambria"/>
          <w:lang w:val="en-US"/>
        </w:rPr>
        <w:t xml:space="preserve">in </w:t>
      </w:r>
      <w:r w:rsidRPr="00FA02DE">
        <w:rPr>
          <w:rFonts w:ascii="Cambria" w:eastAsia="Cambria" w:hAnsi="Cambria" w:cs="Cambria"/>
          <w:lang w:val="en-US"/>
        </w:rPr>
        <w:t xml:space="preserve">general. </w:t>
      </w:r>
    </w:p>
    <w:p w14:paraId="58C3138E" w14:textId="4FED1160"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This research takes as a starting point the fact that the development of international human rights law has begun to raise the need to transcend towards a perspective aimed at effectively assuring the decisions </w:t>
      </w:r>
      <w:r w:rsidR="008C3E0D">
        <w:rPr>
          <w:rFonts w:ascii="Cambria" w:eastAsia="Cambria" w:hAnsi="Cambria" w:cs="Cambria"/>
          <w:lang w:val="en-US"/>
        </w:rPr>
        <w:t xml:space="preserve">issued by </w:t>
      </w:r>
      <w:r w:rsidRPr="00FA02DE">
        <w:rPr>
          <w:rFonts w:ascii="Cambria" w:eastAsia="Cambria" w:hAnsi="Cambria" w:cs="Cambria"/>
          <w:lang w:val="en-US"/>
        </w:rPr>
        <w:t xml:space="preserve">international bodies and instances when analyzing human rights violations. Thus, the idea of an effective international justice has started to experience a rising prominence, in which compliance with international decisions is placed as the main subject matter of reflection, analysis and questioning. </w:t>
      </w:r>
    </w:p>
    <w:p w14:paraId="5D0278C2" w14:textId="5906BC41"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Although compliance with international decisions is an effort accorded primarily to the States, the fact is that their assurance also counts on the intervention of other actors, whose roles are crucial to ensuring the effective implementation of these decisions. The victims, as well as civil society organizations, usually follow-up on this effort, thus becoming a fundamental part of the process of compliance with international decisions. The IACHR considers that the work of these actors is of particular relevance for understanding the possibilities of expanding the institutional channels aimed to comply with international decisions, as well as for the creation and articulation of innovative and creative efforts to promote compliance with these decisions. </w:t>
      </w:r>
    </w:p>
    <w:p w14:paraId="6824F346" w14:textId="1103AD66"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Then, in the context of the aforementioned report, the IACHR is particularly interested in learning the experience of civil society organizations in activating and using the formal mechanisms and institutions that promote compliance with international decisions </w:t>
      </w:r>
      <w:r w:rsidR="008C3E0D">
        <w:rPr>
          <w:rFonts w:ascii="Cambria" w:eastAsia="Cambria" w:hAnsi="Cambria" w:cs="Cambria"/>
          <w:lang w:val="en-US"/>
        </w:rPr>
        <w:t>concerning</w:t>
      </w:r>
      <w:r w:rsidRPr="00FA02DE">
        <w:rPr>
          <w:rFonts w:ascii="Cambria" w:eastAsia="Cambria" w:hAnsi="Cambria" w:cs="Cambria"/>
          <w:lang w:val="en-US"/>
        </w:rPr>
        <w:t xml:space="preserve"> human rights. In addition, and in greater detail, the IAHCR is interested in the</w:t>
      </w:r>
      <w:r w:rsidR="008C3E0D">
        <w:rPr>
          <w:rFonts w:ascii="Cambria" w:eastAsia="Cambria" w:hAnsi="Cambria" w:cs="Cambria"/>
          <w:lang w:val="en-US"/>
        </w:rPr>
        <w:t xml:space="preserve"> </w:t>
      </w:r>
      <w:r w:rsidRPr="00FA02DE">
        <w:rPr>
          <w:rFonts w:ascii="Cambria" w:eastAsia="Cambria" w:hAnsi="Cambria" w:cs="Cambria"/>
          <w:lang w:val="en-US"/>
        </w:rPr>
        <w:t xml:space="preserve">experiences regarding the push for innovative practices - and not necessarily institutional ones – that, resulting from the committed work of these organizations, contribute to the strengthening of the State’s process, instances and mechanisms to comply with recommendations. </w:t>
      </w:r>
    </w:p>
    <w:p w14:paraId="3F699E12" w14:textId="62A4A674"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For these reasons, the IAHCR cordially invites and requests your kind collaboration, so that the organization that you represent can contribute to the preparation of the thematic report “National Systems for the Implementation of International Decisions on Human Rights: Good Practices Guide”, by sending information based on the present document. The IACHR believes that the reflections on compliance with and impacts of its decisions must be grounded on </w:t>
      </w:r>
      <w:r w:rsidR="008C3E0D">
        <w:rPr>
          <w:rFonts w:ascii="Cambria" w:eastAsia="Cambria" w:hAnsi="Cambria" w:cs="Cambria"/>
          <w:lang w:val="en-US"/>
        </w:rPr>
        <w:t xml:space="preserve">a </w:t>
      </w:r>
      <w:r w:rsidRPr="00FA02DE">
        <w:rPr>
          <w:rFonts w:ascii="Cambria" w:eastAsia="Cambria" w:hAnsi="Cambria" w:cs="Cambria"/>
          <w:lang w:val="en-US"/>
        </w:rPr>
        <w:t xml:space="preserve">practical and applied logic that allows the Commission to comprehend the experiences and opinions of those who are daily working to promote the effective realization of international justice.  </w:t>
      </w:r>
    </w:p>
    <w:p w14:paraId="5841FD14" w14:textId="77777777" w:rsidR="007D45F3" w:rsidRPr="00FA02DE" w:rsidRDefault="007D45F3">
      <w:pPr>
        <w:jc w:val="both"/>
        <w:rPr>
          <w:rFonts w:ascii="Cambria" w:eastAsia="Cambria" w:hAnsi="Cambria" w:cs="Cambria"/>
          <w:lang w:val="en-US"/>
        </w:rPr>
      </w:pPr>
    </w:p>
    <w:p w14:paraId="7696C1E0" w14:textId="77777777" w:rsidR="007D45F3" w:rsidRPr="00FA02DE" w:rsidRDefault="007D45F3">
      <w:pPr>
        <w:jc w:val="both"/>
        <w:rPr>
          <w:rFonts w:ascii="Cambria" w:eastAsia="Cambria" w:hAnsi="Cambria" w:cs="Cambria"/>
          <w:b/>
          <w:lang w:val="en-US"/>
        </w:rPr>
      </w:pPr>
    </w:p>
    <w:p w14:paraId="1098B7DF" w14:textId="18E19E91" w:rsidR="007D45F3" w:rsidRPr="00FA02DE" w:rsidRDefault="00C00A27">
      <w:pPr>
        <w:jc w:val="both"/>
        <w:rPr>
          <w:rFonts w:ascii="Cambria" w:eastAsia="Cambria" w:hAnsi="Cambria" w:cs="Cambria"/>
          <w:b/>
          <w:lang w:val="en-US"/>
        </w:rPr>
      </w:pPr>
      <w:r w:rsidRPr="00FA02DE">
        <w:rPr>
          <w:rFonts w:ascii="Cambria" w:eastAsia="Cambria" w:hAnsi="Cambria" w:cs="Cambria"/>
          <w:b/>
          <w:lang w:val="en-US"/>
        </w:rPr>
        <w:t>Instruc</w:t>
      </w:r>
      <w:r w:rsidR="00FA02DE" w:rsidRPr="00FA02DE">
        <w:rPr>
          <w:rFonts w:ascii="Cambria" w:eastAsia="Cambria" w:hAnsi="Cambria" w:cs="Cambria"/>
          <w:b/>
          <w:lang w:val="en-US"/>
        </w:rPr>
        <w:t>tions</w:t>
      </w:r>
      <w:r w:rsidRPr="00FA02DE">
        <w:rPr>
          <w:rFonts w:ascii="Cambria" w:eastAsia="Cambria" w:hAnsi="Cambria" w:cs="Cambria"/>
          <w:b/>
          <w:lang w:val="en-US"/>
        </w:rPr>
        <w:t xml:space="preserve"> </w:t>
      </w:r>
    </w:p>
    <w:p w14:paraId="0434E3D9" w14:textId="1B6BC28F" w:rsidR="00FA02DE" w:rsidRPr="00FA02DE" w:rsidRDefault="00C00A27">
      <w:pPr>
        <w:spacing w:after="0" w:line="240" w:lineRule="auto"/>
        <w:jc w:val="both"/>
        <w:rPr>
          <w:rFonts w:ascii="Cambria" w:eastAsia="Cambria" w:hAnsi="Cambria" w:cs="Cambria"/>
          <w:lang w:val="en-US"/>
        </w:rPr>
      </w:pPr>
      <w:r w:rsidRPr="00FA02DE">
        <w:rPr>
          <w:rFonts w:ascii="Cambria" w:eastAsia="Cambria" w:hAnsi="Cambria" w:cs="Cambria"/>
          <w:lang w:val="en-US"/>
        </w:rPr>
        <w:t xml:space="preserve">1. </w:t>
      </w:r>
      <w:r w:rsidR="00FA02DE" w:rsidRPr="00FA02DE">
        <w:rPr>
          <w:rFonts w:ascii="Cambria" w:eastAsia="Cambria" w:hAnsi="Cambria" w:cs="Cambria"/>
          <w:lang w:val="en-US"/>
        </w:rPr>
        <w:t xml:space="preserve">The questionnaire </w:t>
      </w:r>
      <w:proofErr w:type="gramStart"/>
      <w:r w:rsidR="00FA02DE" w:rsidRPr="00FA02DE">
        <w:rPr>
          <w:rFonts w:ascii="Cambria" w:eastAsia="Cambria" w:hAnsi="Cambria" w:cs="Cambria"/>
          <w:lang w:val="en-US"/>
        </w:rPr>
        <w:t xml:space="preserve">can be partially or </w:t>
      </w:r>
      <w:r w:rsidR="008C3E0D">
        <w:rPr>
          <w:rFonts w:ascii="Cambria" w:eastAsia="Cambria" w:hAnsi="Cambria" w:cs="Cambria"/>
          <w:lang w:val="en-US"/>
        </w:rPr>
        <w:t>totally</w:t>
      </w:r>
      <w:r w:rsidR="00FA02DE" w:rsidRPr="00FA02DE">
        <w:rPr>
          <w:rFonts w:ascii="Cambria" w:eastAsia="Cambria" w:hAnsi="Cambria" w:cs="Cambria"/>
          <w:lang w:val="en-US"/>
        </w:rPr>
        <w:t xml:space="preserve"> answered</w:t>
      </w:r>
      <w:proofErr w:type="gramEnd"/>
      <w:r w:rsidR="00FA02DE" w:rsidRPr="00FA02DE">
        <w:rPr>
          <w:rFonts w:ascii="Cambria" w:eastAsia="Cambria" w:hAnsi="Cambria" w:cs="Cambria"/>
          <w:lang w:val="en-US"/>
        </w:rPr>
        <w:t>, depending on the information available;</w:t>
      </w:r>
    </w:p>
    <w:p w14:paraId="25230D64" w14:textId="77777777" w:rsidR="007D45F3" w:rsidRPr="00FA02DE" w:rsidRDefault="007D45F3">
      <w:pPr>
        <w:spacing w:after="0" w:line="240" w:lineRule="auto"/>
        <w:jc w:val="both"/>
        <w:rPr>
          <w:rFonts w:ascii="Cambria" w:eastAsia="Cambria" w:hAnsi="Cambria" w:cs="Cambria"/>
          <w:lang w:val="en-US"/>
        </w:rPr>
      </w:pPr>
    </w:p>
    <w:p w14:paraId="4CC58786" w14:textId="657706DF" w:rsidR="007D45F3" w:rsidRPr="00FA02DE" w:rsidRDefault="00C00A27">
      <w:pPr>
        <w:spacing w:after="0" w:line="240" w:lineRule="auto"/>
        <w:jc w:val="both"/>
        <w:rPr>
          <w:rFonts w:ascii="Cambria" w:eastAsia="Cambria" w:hAnsi="Cambria" w:cs="Cambria"/>
          <w:b/>
          <w:lang w:val="en-US"/>
        </w:rPr>
      </w:pPr>
      <w:r w:rsidRPr="00FA02DE">
        <w:rPr>
          <w:rFonts w:ascii="Cambria" w:eastAsia="Cambria" w:hAnsi="Cambria" w:cs="Cambria"/>
          <w:lang w:val="en-US"/>
        </w:rPr>
        <w:t xml:space="preserve">2. </w:t>
      </w:r>
      <w:r w:rsidR="00FA02DE" w:rsidRPr="00FA02DE">
        <w:rPr>
          <w:rFonts w:ascii="Cambria" w:eastAsia="Cambria" w:hAnsi="Cambria" w:cs="Cambria"/>
          <w:lang w:val="en-US"/>
        </w:rPr>
        <w:t>It is possible to present research papers, reports and other documents already prepared and/or published by the organization as long as they are pertinent to the subject matter</w:t>
      </w:r>
      <w:proofErr w:type="gramStart"/>
      <w:r w:rsidR="00FA02DE" w:rsidRPr="00FA02DE">
        <w:rPr>
          <w:rFonts w:ascii="Cambria" w:eastAsia="Cambria" w:hAnsi="Cambria" w:cs="Cambria"/>
          <w:lang w:val="en-US"/>
        </w:rPr>
        <w:t>;</w:t>
      </w:r>
      <w:proofErr w:type="gramEnd"/>
    </w:p>
    <w:p w14:paraId="50ED037C" w14:textId="77777777" w:rsidR="007D45F3" w:rsidRPr="00FA02DE" w:rsidRDefault="007D45F3">
      <w:pPr>
        <w:spacing w:after="0" w:line="240" w:lineRule="auto"/>
        <w:jc w:val="both"/>
        <w:rPr>
          <w:rFonts w:ascii="Cambria" w:eastAsia="Cambria" w:hAnsi="Cambria" w:cs="Cambria"/>
          <w:lang w:val="en-US"/>
        </w:rPr>
      </w:pPr>
    </w:p>
    <w:p w14:paraId="4B881A13" w14:textId="23C6B010" w:rsidR="00FA02DE" w:rsidRPr="00FA02DE" w:rsidRDefault="00C00A27">
      <w:pPr>
        <w:spacing w:after="0" w:line="240" w:lineRule="auto"/>
        <w:jc w:val="both"/>
        <w:rPr>
          <w:rFonts w:ascii="Cambria" w:eastAsia="Cambria" w:hAnsi="Cambria" w:cs="Cambria"/>
          <w:lang w:val="en-US"/>
        </w:rPr>
      </w:pPr>
      <w:r w:rsidRPr="00FA02DE">
        <w:rPr>
          <w:rFonts w:ascii="Cambria" w:eastAsia="Cambria" w:hAnsi="Cambria" w:cs="Cambria"/>
          <w:lang w:val="en-US"/>
        </w:rPr>
        <w:t xml:space="preserve">3. </w:t>
      </w:r>
      <w:r w:rsidR="00FA02DE" w:rsidRPr="00FA02DE">
        <w:rPr>
          <w:rFonts w:ascii="Cambria" w:eastAsia="Cambria" w:hAnsi="Cambria" w:cs="Cambria"/>
          <w:lang w:val="en-US"/>
        </w:rPr>
        <w:t xml:space="preserve">The questions can be answered from the perspective or focus of the organization’s work, and can incorporate approaches from academia and intergovernmental entities, as well as anyone who is interested in sending information about the questions presented </w:t>
      </w:r>
      <w:r w:rsidR="008C3E0D">
        <w:rPr>
          <w:rFonts w:ascii="Cambria" w:eastAsia="Cambria" w:hAnsi="Cambria" w:cs="Cambria"/>
          <w:lang w:val="en-US"/>
        </w:rPr>
        <w:t>as follows</w:t>
      </w:r>
      <w:r w:rsidR="00FA02DE" w:rsidRPr="00FA02DE">
        <w:rPr>
          <w:rFonts w:ascii="Cambria" w:eastAsia="Cambria" w:hAnsi="Cambria" w:cs="Cambria"/>
          <w:lang w:val="en-US"/>
        </w:rPr>
        <w:t>;</w:t>
      </w:r>
    </w:p>
    <w:p w14:paraId="61EBAAC2" w14:textId="77777777" w:rsidR="007D45F3" w:rsidRPr="00FA02DE" w:rsidRDefault="007D45F3">
      <w:pPr>
        <w:spacing w:after="0" w:line="240" w:lineRule="auto"/>
        <w:jc w:val="both"/>
        <w:rPr>
          <w:rFonts w:ascii="Cambria" w:eastAsia="Cambria" w:hAnsi="Cambria" w:cs="Cambria"/>
          <w:lang w:val="en-US"/>
        </w:rPr>
      </w:pPr>
    </w:p>
    <w:p w14:paraId="7DDDCA49" w14:textId="0EEA012F" w:rsidR="00FA02DE" w:rsidRPr="00FA02DE" w:rsidRDefault="00C00A27">
      <w:pPr>
        <w:spacing w:after="0" w:line="240" w:lineRule="auto"/>
        <w:jc w:val="both"/>
        <w:rPr>
          <w:rFonts w:ascii="Cambria" w:eastAsia="Cambria" w:hAnsi="Cambria" w:cs="Cambria"/>
          <w:lang w:val="en-US"/>
        </w:rPr>
      </w:pPr>
      <w:proofErr w:type="gramStart"/>
      <w:r w:rsidRPr="00FA02DE">
        <w:rPr>
          <w:rFonts w:ascii="Cambria" w:eastAsia="Cambria" w:hAnsi="Cambria" w:cs="Cambria"/>
          <w:lang w:val="en-US"/>
        </w:rPr>
        <w:lastRenderedPageBreak/>
        <w:t xml:space="preserve">4. </w:t>
      </w:r>
      <w:r w:rsidR="00FA02DE" w:rsidRPr="00FA02DE">
        <w:rPr>
          <w:rFonts w:ascii="Cambria" w:eastAsia="Cambria" w:hAnsi="Cambria" w:cs="Cambria"/>
          <w:lang w:val="en-US"/>
        </w:rPr>
        <w:t>In case the organization counts on relevant information about different countries, we kindly request that</w:t>
      </w:r>
      <w:proofErr w:type="gramEnd"/>
      <w:r w:rsidR="00FA02DE" w:rsidRPr="00FA02DE">
        <w:rPr>
          <w:rFonts w:ascii="Cambria" w:eastAsia="Cambria" w:hAnsi="Cambria" w:cs="Cambria"/>
          <w:lang w:val="en-US"/>
        </w:rPr>
        <w:t xml:space="preserve"> you report it separately, answering the following questions for each country in which the organization carries out its activities; </w:t>
      </w:r>
    </w:p>
    <w:p w14:paraId="66E06B5B" w14:textId="77777777" w:rsidR="007D45F3" w:rsidRPr="00FA02DE" w:rsidRDefault="007D45F3">
      <w:pPr>
        <w:spacing w:after="0" w:line="240" w:lineRule="auto"/>
        <w:jc w:val="both"/>
        <w:rPr>
          <w:rFonts w:ascii="Cambria" w:eastAsia="Cambria" w:hAnsi="Cambria" w:cs="Cambria"/>
          <w:lang w:val="en-US"/>
        </w:rPr>
      </w:pPr>
    </w:p>
    <w:p w14:paraId="3F9E0A6E" w14:textId="6C190CC0" w:rsidR="00FA02DE" w:rsidRPr="00FA02DE" w:rsidRDefault="00C00A27" w:rsidP="00FA02DE">
      <w:pPr>
        <w:spacing w:after="0" w:line="240" w:lineRule="auto"/>
        <w:jc w:val="both"/>
        <w:rPr>
          <w:rFonts w:ascii="Cambria" w:eastAsia="Cambria" w:hAnsi="Cambria" w:cs="Cambria"/>
          <w:lang w:val="en-US"/>
        </w:rPr>
      </w:pPr>
      <w:r w:rsidRPr="00FA02DE">
        <w:rPr>
          <w:rFonts w:ascii="Cambria" w:eastAsia="Cambria" w:hAnsi="Cambria" w:cs="Cambria"/>
          <w:lang w:val="en-US"/>
        </w:rPr>
        <w:t xml:space="preserve">5. </w:t>
      </w:r>
      <w:r w:rsidR="00FA02DE" w:rsidRPr="00FA02DE">
        <w:rPr>
          <w:rFonts w:ascii="Cambria" w:eastAsia="Cambria" w:hAnsi="Cambria" w:cs="Cambria"/>
          <w:lang w:val="en-US"/>
        </w:rPr>
        <w:t xml:space="preserve">We would appreciate it if you could send the answers to the questionnaire before </w:t>
      </w:r>
      <w:r w:rsidR="00CC4B91">
        <w:rPr>
          <w:rFonts w:ascii="Cambria" w:eastAsia="Cambria" w:hAnsi="Cambria" w:cs="Cambria"/>
          <w:lang w:val="en-US"/>
        </w:rPr>
        <w:t>30</w:t>
      </w:r>
      <w:bookmarkStart w:id="0" w:name="_GoBack"/>
      <w:bookmarkEnd w:id="0"/>
      <w:r w:rsidR="00FA02DE" w:rsidRPr="00FA02DE">
        <w:rPr>
          <w:rFonts w:ascii="Cambria" w:eastAsia="Cambria" w:hAnsi="Cambria" w:cs="Cambria"/>
          <w:lang w:val="en-US"/>
        </w:rPr>
        <w:t xml:space="preserve"> April 2021, by email </w:t>
      </w:r>
      <w:proofErr w:type="gramStart"/>
      <w:r w:rsidR="00FA02DE" w:rsidRPr="00FA02DE">
        <w:rPr>
          <w:rFonts w:ascii="Cambria" w:eastAsia="Cambria" w:hAnsi="Cambria" w:cs="Cambria"/>
          <w:lang w:val="en-US"/>
        </w:rPr>
        <w:t>to:</w:t>
      </w:r>
      <w:proofErr w:type="gramEnd"/>
      <w:r w:rsidR="00FA02DE" w:rsidRPr="00FA02DE">
        <w:rPr>
          <w:rFonts w:ascii="Cambria" w:eastAsia="Cambria" w:hAnsi="Cambria" w:cs="Cambria"/>
          <w:lang w:val="en-US"/>
        </w:rPr>
        <w:t xml:space="preserve"> </w:t>
      </w:r>
      <w:hyperlink r:id="rId9">
        <w:r w:rsidRPr="00FA02DE">
          <w:rPr>
            <w:rFonts w:ascii="Cambria" w:eastAsia="Cambria" w:hAnsi="Cambria" w:cs="Cambria"/>
            <w:color w:val="0563C1"/>
            <w:u w:val="single"/>
            <w:lang w:val="en-US"/>
          </w:rPr>
          <w:t>cidhseguimiento@oas.org</w:t>
        </w:r>
      </w:hyperlink>
      <w:r w:rsidRPr="00FA02DE">
        <w:rPr>
          <w:rFonts w:ascii="Cambria" w:eastAsia="Cambria" w:hAnsi="Cambria" w:cs="Cambria"/>
          <w:lang w:val="en-US"/>
        </w:rPr>
        <w:t xml:space="preserve"> </w:t>
      </w:r>
      <w:r w:rsidR="00FA02DE" w:rsidRPr="00FA02DE">
        <w:rPr>
          <w:rFonts w:ascii="Cambria" w:eastAsia="Cambria" w:hAnsi="Cambria" w:cs="Cambria"/>
          <w:lang w:val="en-US"/>
        </w:rPr>
        <w:t>and</w:t>
      </w:r>
      <w:r w:rsidRPr="00FA02DE">
        <w:rPr>
          <w:rFonts w:ascii="Cambria" w:eastAsia="Cambria" w:hAnsi="Cambria" w:cs="Cambria"/>
          <w:lang w:val="en-US"/>
        </w:rPr>
        <w:t xml:space="preserve"> </w:t>
      </w:r>
      <w:hyperlink r:id="rId10">
        <w:r w:rsidRPr="00FA02DE">
          <w:rPr>
            <w:rFonts w:ascii="Cambria" w:eastAsia="Cambria" w:hAnsi="Cambria" w:cs="Cambria"/>
            <w:color w:val="0563C1"/>
            <w:u w:val="single"/>
            <w:lang w:val="en-US"/>
          </w:rPr>
          <w:t>dgarcia@oas.org</w:t>
        </w:r>
      </w:hyperlink>
      <w:r w:rsidR="00FA02DE" w:rsidRPr="00FA02DE">
        <w:rPr>
          <w:rFonts w:ascii="Cambria" w:eastAsia="Cambria" w:hAnsi="Cambria" w:cs="Cambria"/>
          <w:lang w:val="en-US"/>
        </w:rPr>
        <w:t>.</w:t>
      </w:r>
      <w:r w:rsidR="00FA02DE" w:rsidRPr="00FA02DE">
        <w:rPr>
          <w:rFonts w:ascii="Cambria" w:eastAsia="Cambria" w:hAnsi="Cambria" w:cs="Cambria"/>
          <w:b/>
          <w:lang w:val="en-US"/>
        </w:rPr>
        <w:t xml:space="preserve"> Please indicate the subject of the message as “Questionnaire about Domestic Systems for the Implementation of IACHR decisions – (Name of the organization and country to which it refers in the questionnaire)”</w:t>
      </w:r>
      <w:r w:rsidR="00FA02DE" w:rsidRPr="00FA02DE">
        <w:rPr>
          <w:rFonts w:ascii="Cambria" w:eastAsia="Cambria" w:hAnsi="Cambria" w:cs="Cambria"/>
          <w:bCs/>
          <w:lang w:val="en-US"/>
        </w:rPr>
        <w:t>.</w:t>
      </w:r>
      <w:r w:rsidR="00FA02DE" w:rsidRPr="00FA02DE">
        <w:rPr>
          <w:rFonts w:ascii="Cambria" w:eastAsia="Cambria" w:hAnsi="Cambria" w:cs="Cambria"/>
          <w:b/>
          <w:lang w:val="en-US"/>
        </w:rPr>
        <w:t xml:space="preserve"> </w:t>
      </w:r>
      <w:r w:rsidR="00FA02DE" w:rsidRPr="00FA02DE">
        <w:rPr>
          <w:rFonts w:ascii="Cambria" w:eastAsia="Cambria" w:hAnsi="Cambria" w:cs="Cambria"/>
          <w:bCs/>
          <w:lang w:val="en-US"/>
        </w:rPr>
        <w:t xml:space="preserve">Please provide in your email the contact information of your organization or institution. We kindly request you not to send duplicates. </w:t>
      </w:r>
    </w:p>
    <w:p w14:paraId="2D944AC7" w14:textId="77777777" w:rsidR="007D45F3" w:rsidRPr="00FA02DE" w:rsidRDefault="007D45F3">
      <w:pPr>
        <w:jc w:val="both"/>
        <w:rPr>
          <w:rFonts w:ascii="Cambria" w:eastAsia="Cambria" w:hAnsi="Cambria" w:cs="Cambria"/>
          <w:lang w:val="en-US"/>
        </w:rPr>
      </w:pPr>
    </w:p>
    <w:p w14:paraId="2D058717" w14:textId="77777777" w:rsidR="007D45F3" w:rsidRPr="00FA02DE" w:rsidRDefault="00C00A27">
      <w:pPr>
        <w:rPr>
          <w:rFonts w:ascii="Cambria" w:eastAsia="Cambria" w:hAnsi="Cambria" w:cs="Cambria"/>
          <w:lang w:val="en-US"/>
        </w:rPr>
      </w:pPr>
      <w:r w:rsidRPr="00FA02DE">
        <w:rPr>
          <w:lang w:val="en-US"/>
        </w:rPr>
        <w:br w:type="page"/>
      </w:r>
    </w:p>
    <w:p w14:paraId="00A35DDA" w14:textId="71446012" w:rsidR="007D45F3" w:rsidRDefault="00FA02DE">
      <w:pPr>
        <w:jc w:val="both"/>
        <w:rPr>
          <w:rFonts w:ascii="Cambria" w:eastAsia="Cambria" w:hAnsi="Cambria" w:cs="Cambria"/>
          <w:b/>
          <w:lang w:val="en-US"/>
        </w:rPr>
      </w:pPr>
      <w:r w:rsidRPr="00FA02DE">
        <w:rPr>
          <w:rFonts w:ascii="Cambria" w:eastAsia="Cambria" w:hAnsi="Cambria" w:cs="Cambria"/>
          <w:b/>
          <w:lang w:val="en-US"/>
        </w:rPr>
        <w:lastRenderedPageBreak/>
        <w:t>Questionnaire</w:t>
      </w:r>
    </w:p>
    <w:p w14:paraId="672698E2" w14:textId="77777777" w:rsidR="008C3E0D" w:rsidRPr="00FA02DE" w:rsidRDefault="008C3E0D">
      <w:pPr>
        <w:jc w:val="both"/>
        <w:rPr>
          <w:rFonts w:ascii="Cambria" w:eastAsia="Cambria" w:hAnsi="Cambria" w:cs="Cambria"/>
          <w:b/>
          <w:lang w:val="en-US"/>
        </w:rPr>
      </w:pPr>
    </w:p>
    <w:p w14:paraId="16541F35" w14:textId="7D1BE414" w:rsidR="007D45F3" w:rsidRPr="00FA02DE" w:rsidRDefault="00C00A27">
      <w:pPr>
        <w:jc w:val="both"/>
        <w:rPr>
          <w:rFonts w:ascii="Cambria" w:eastAsia="Cambria" w:hAnsi="Cambria" w:cs="Cambria"/>
          <w:b/>
          <w:lang w:val="en-US"/>
        </w:rPr>
      </w:pPr>
      <w:r w:rsidRPr="00FA02DE">
        <w:rPr>
          <w:rFonts w:ascii="Cambria" w:eastAsia="Cambria" w:hAnsi="Cambria" w:cs="Cambria"/>
          <w:b/>
          <w:lang w:val="en-US"/>
        </w:rPr>
        <w:t>Se</w:t>
      </w:r>
      <w:r w:rsidR="00FA02DE" w:rsidRPr="00FA02DE">
        <w:rPr>
          <w:rFonts w:ascii="Cambria" w:eastAsia="Cambria" w:hAnsi="Cambria" w:cs="Cambria"/>
          <w:b/>
          <w:lang w:val="en-US"/>
        </w:rPr>
        <w:t xml:space="preserve">ction I </w:t>
      </w:r>
      <w:r w:rsidRPr="00FA02DE">
        <w:rPr>
          <w:rFonts w:ascii="Cambria" w:eastAsia="Cambria" w:hAnsi="Cambria" w:cs="Cambria"/>
          <w:b/>
          <w:lang w:val="en-US"/>
        </w:rPr>
        <w:t xml:space="preserve">– </w:t>
      </w:r>
      <w:r w:rsidR="00FA02DE" w:rsidRPr="00FA02DE">
        <w:rPr>
          <w:rFonts w:ascii="Cambria" w:eastAsia="Cambria" w:hAnsi="Cambria" w:cs="Cambria"/>
          <w:b/>
          <w:lang w:val="en-US"/>
        </w:rPr>
        <w:t>Challenges and Progress</w:t>
      </w:r>
    </w:p>
    <w:p w14:paraId="1AE5F84A" w14:textId="6382A5DF"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Based on the activities carried out by the organization, please indicate the following: </w:t>
      </w:r>
    </w:p>
    <w:p w14:paraId="18DA0526" w14:textId="70AF5CD1" w:rsidR="00FA02DE" w:rsidRPr="00FA02DE" w:rsidRDefault="00FA02DE">
      <w:pPr>
        <w:numPr>
          <w:ilvl w:val="0"/>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What are the main legal, political or institutional obstacles that you identify in seeking and achieving compliance with decisions issued by the IACHR, as well as other international human right bodies?</w:t>
      </w:r>
    </w:p>
    <w:p w14:paraId="119CE450" w14:textId="77777777" w:rsidR="007D45F3" w:rsidRPr="00FA02DE" w:rsidRDefault="007D45F3" w:rsidP="00FA02DE">
      <w:pPr>
        <w:pBdr>
          <w:top w:val="nil"/>
          <w:left w:val="nil"/>
          <w:bottom w:val="nil"/>
          <w:right w:val="nil"/>
          <w:between w:val="nil"/>
        </w:pBdr>
        <w:spacing w:after="0"/>
        <w:jc w:val="both"/>
        <w:rPr>
          <w:rFonts w:ascii="Cambria" w:eastAsia="Cambria" w:hAnsi="Cambria" w:cs="Cambria"/>
          <w:color w:val="000000"/>
          <w:lang w:val="en-US"/>
        </w:rPr>
      </w:pPr>
    </w:p>
    <w:p w14:paraId="20522800" w14:textId="17E6EEF1" w:rsidR="00FA02DE" w:rsidRPr="00FA02DE" w:rsidRDefault="00FA02DE">
      <w:pPr>
        <w:numPr>
          <w:ilvl w:val="0"/>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What are the main legal, political and institutional strengths and advantages that exist within the State to achieve compliance with decisions and recommendations of the IACHR and the Inter-American Court of Human Rights, as well as other international human rights bodies?</w:t>
      </w:r>
    </w:p>
    <w:p w14:paraId="0AD5473E" w14:textId="77777777" w:rsidR="00FA02DE" w:rsidRPr="00FA02DE" w:rsidRDefault="00FA02DE" w:rsidP="00FA02DE">
      <w:pPr>
        <w:pStyle w:val="ListParagraph"/>
        <w:rPr>
          <w:rFonts w:ascii="Cambria" w:eastAsia="Cambria" w:hAnsi="Cambria" w:cs="Cambria"/>
          <w:color w:val="000000"/>
          <w:lang w:val="en-US"/>
        </w:rPr>
      </w:pPr>
    </w:p>
    <w:p w14:paraId="4AEF8463" w14:textId="23319769" w:rsidR="007D45F3" w:rsidRPr="00FA02DE" w:rsidRDefault="00FA02DE">
      <w:pPr>
        <w:numPr>
          <w:ilvl w:val="0"/>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What is the level of collaboration with the State that civil society organizations, victims and beneficiaries of reparation orders develop in the processes of compliance with decisions of the IACHR and the Inter-American Court of Human Rights, as well as other international human rights bodies?</w:t>
      </w:r>
    </w:p>
    <w:p w14:paraId="316E7AF3" w14:textId="77777777" w:rsidR="007D45F3" w:rsidRPr="00FA02DE" w:rsidRDefault="007D45F3" w:rsidP="00FA02DE">
      <w:pPr>
        <w:pBdr>
          <w:top w:val="nil"/>
          <w:left w:val="nil"/>
          <w:bottom w:val="nil"/>
          <w:right w:val="nil"/>
          <w:between w:val="nil"/>
        </w:pBdr>
        <w:spacing w:after="0"/>
        <w:jc w:val="both"/>
        <w:rPr>
          <w:rFonts w:ascii="Cambria" w:eastAsia="Cambria" w:hAnsi="Cambria" w:cs="Cambria"/>
          <w:color w:val="000000"/>
          <w:lang w:val="en-US"/>
        </w:rPr>
      </w:pPr>
    </w:p>
    <w:p w14:paraId="766F9969" w14:textId="382D146E" w:rsidR="007D45F3" w:rsidRPr="00FA02DE" w:rsidRDefault="00FA02DE">
      <w:pPr>
        <w:numPr>
          <w:ilvl w:val="0"/>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Are there legal and</w:t>
      </w:r>
      <w:r w:rsidR="008C3E0D">
        <w:rPr>
          <w:rFonts w:ascii="Cambria" w:eastAsia="Cambria" w:hAnsi="Cambria" w:cs="Cambria"/>
          <w:color w:val="000000"/>
          <w:lang w:val="en-US"/>
        </w:rPr>
        <w:t xml:space="preserve"> formal</w:t>
      </w:r>
      <w:r w:rsidRPr="00FA02DE">
        <w:rPr>
          <w:rFonts w:ascii="Cambria" w:eastAsia="Cambria" w:hAnsi="Cambria" w:cs="Cambria"/>
          <w:color w:val="000000"/>
          <w:lang w:val="en-US"/>
        </w:rPr>
        <w:t xml:space="preserve"> institutional mechanisms within the State to promote compliance with the decisions of the IACHR and Inter-American Court of Human Rights, as well as other international human rights bodies? In case of an affirmative answer, please elaborate on:</w:t>
      </w:r>
    </w:p>
    <w:p w14:paraId="54E8FE4C" w14:textId="77777777" w:rsidR="007D45F3" w:rsidRPr="00FA02DE" w:rsidRDefault="007D45F3">
      <w:pPr>
        <w:pBdr>
          <w:top w:val="nil"/>
          <w:left w:val="nil"/>
          <w:bottom w:val="nil"/>
          <w:right w:val="nil"/>
          <w:between w:val="nil"/>
        </w:pBdr>
        <w:spacing w:after="0"/>
        <w:rPr>
          <w:rFonts w:ascii="Cambria" w:eastAsia="Cambria" w:hAnsi="Cambria" w:cs="Cambria"/>
          <w:color w:val="652814"/>
          <w:sz w:val="24"/>
          <w:szCs w:val="24"/>
          <w:highlight w:val="white"/>
          <w:lang w:val="en-US"/>
        </w:rPr>
      </w:pPr>
    </w:p>
    <w:p w14:paraId="671BBBDE" w14:textId="24AA4BAA" w:rsidR="007D45F3" w:rsidRPr="00FA02DE" w:rsidRDefault="00FA02DE" w:rsidP="00FA02DE">
      <w:pPr>
        <w:numPr>
          <w:ilvl w:val="1"/>
          <w:numId w:val="2"/>
        </w:numPr>
        <w:pBdr>
          <w:top w:val="nil"/>
          <w:left w:val="nil"/>
          <w:bottom w:val="nil"/>
          <w:right w:val="nil"/>
          <w:between w:val="nil"/>
        </w:pBdr>
        <w:spacing w:after="0"/>
        <w:jc w:val="both"/>
        <w:rPr>
          <w:rFonts w:ascii="Cambria" w:eastAsia="Cambria" w:hAnsi="Cambria" w:cs="Cambria"/>
          <w:lang w:val="en-US"/>
        </w:rPr>
      </w:pPr>
      <w:r w:rsidRPr="00FA02DE">
        <w:rPr>
          <w:rFonts w:ascii="Cambria" w:eastAsia="Cambria" w:hAnsi="Cambria" w:cs="Cambria"/>
          <w:lang w:val="en-US"/>
        </w:rPr>
        <w:t>Their functioning and how is the involvement and participation of victims, beneficiaries and civil society;</w:t>
      </w:r>
    </w:p>
    <w:p w14:paraId="420BAA73" w14:textId="77777777" w:rsidR="00FA02DE" w:rsidRPr="00FA02DE" w:rsidRDefault="00FA02DE" w:rsidP="00FA02DE">
      <w:pPr>
        <w:pBdr>
          <w:top w:val="nil"/>
          <w:left w:val="nil"/>
          <w:bottom w:val="nil"/>
          <w:right w:val="nil"/>
          <w:between w:val="nil"/>
        </w:pBdr>
        <w:spacing w:after="0"/>
        <w:ind w:left="1440"/>
        <w:jc w:val="both"/>
        <w:rPr>
          <w:rFonts w:ascii="Cambria" w:eastAsia="Cambria" w:hAnsi="Cambria" w:cs="Cambria"/>
          <w:lang w:val="en-US"/>
        </w:rPr>
      </w:pPr>
    </w:p>
    <w:p w14:paraId="4217A87B" w14:textId="5145182D" w:rsidR="00FA02DE" w:rsidRPr="00FA02DE" w:rsidRDefault="00C00A27" w:rsidP="00FA02DE">
      <w:pPr>
        <w:numPr>
          <w:ilvl w:val="1"/>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Publici</w:t>
      </w:r>
      <w:r w:rsidR="00FA02DE" w:rsidRPr="00FA02DE">
        <w:rPr>
          <w:rFonts w:ascii="Cambria" w:eastAsia="Cambria" w:hAnsi="Cambria" w:cs="Cambria"/>
          <w:color w:val="000000"/>
          <w:lang w:val="en-US"/>
        </w:rPr>
        <w:t xml:space="preserve">ty, transparency and access to information of victims, beneficiaries and civil society organizations; </w:t>
      </w:r>
    </w:p>
    <w:p w14:paraId="638E1FFA" w14:textId="77777777" w:rsidR="007D45F3" w:rsidRPr="00FA02DE" w:rsidRDefault="007D45F3">
      <w:pPr>
        <w:pBdr>
          <w:top w:val="nil"/>
          <w:left w:val="nil"/>
          <w:bottom w:val="nil"/>
          <w:right w:val="nil"/>
          <w:between w:val="nil"/>
        </w:pBdr>
        <w:spacing w:after="0"/>
        <w:ind w:left="720"/>
        <w:jc w:val="both"/>
        <w:rPr>
          <w:rFonts w:ascii="Cambria" w:eastAsia="Cambria" w:hAnsi="Cambria" w:cs="Cambria"/>
          <w:lang w:val="en-US"/>
        </w:rPr>
      </w:pPr>
    </w:p>
    <w:p w14:paraId="31559790" w14:textId="0EC9EE54" w:rsidR="007D45F3" w:rsidRPr="00FA02DE" w:rsidRDefault="00FA02DE" w:rsidP="00FA02DE">
      <w:pPr>
        <w:numPr>
          <w:ilvl w:val="1"/>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Identified advantages and limitations concerning civil society participation. </w:t>
      </w:r>
    </w:p>
    <w:p w14:paraId="24FF583A" w14:textId="77777777" w:rsidR="007D45F3" w:rsidRPr="00FA02DE" w:rsidRDefault="007D45F3">
      <w:pPr>
        <w:pBdr>
          <w:top w:val="nil"/>
          <w:left w:val="nil"/>
          <w:bottom w:val="nil"/>
          <w:right w:val="nil"/>
          <w:between w:val="nil"/>
        </w:pBdr>
        <w:spacing w:after="0"/>
        <w:ind w:left="720"/>
        <w:rPr>
          <w:rFonts w:ascii="Cambria" w:eastAsia="Cambria" w:hAnsi="Cambria" w:cs="Cambria"/>
          <w:lang w:val="en-US"/>
        </w:rPr>
      </w:pPr>
    </w:p>
    <w:p w14:paraId="72E86A7B" w14:textId="20E7C03A" w:rsidR="007D45F3" w:rsidRPr="00FA02DE" w:rsidRDefault="00FA02DE">
      <w:pPr>
        <w:numPr>
          <w:ilvl w:val="0"/>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Are there legal and formal institutional mechanisms within the State to promote compliance with the precautionary measures issued by the IACHR? In case of an affirmative answer, please elaborate on: </w:t>
      </w:r>
    </w:p>
    <w:p w14:paraId="59DAB00C" w14:textId="75C62CA3" w:rsidR="007D45F3" w:rsidRPr="00FA02DE" w:rsidRDefault="00C00A27" w:rsidP="00FA02DE">
      <w:pPr>
        <w:pBdr>
          <w:top w:val="nil"/>
          <w:left w:val="nil"/>
          <w:bottom w:val="nil"/>
          <w:right w:val="nil"/>
          <w:between w:val="nil"/>
        </w:pBdr>
        <w:spacing w:after="0"/>
        <w:jc w:val="both"/>
        <w:rPr>
          <w:rFonts w:ascii="Cambria" w:eastAsia="Cambria" w:hAnsi="Cambria" w:cs="Cambria"/>
          <w:lang w:val="en-US"/>
        </w:rPr>
      </w:pPr>
      <w:r w:rsidRPr="00FA02DE">
        <w:rPr>
          <w:rFonts w:ascii="Cambria" w:eastAsia="Cambria" w:hAnsi="Cambria" w:cs="Cambria"/>
          <w:lang w:val="en-US"/>
        </w:rPr>
        <w:t xml:space="preserve"> </w:t>
      </w:r>
    </w:p>
    <w:p w14:paraId="35A0ABA2" w14:textId="1CF76956" w:rsidR="007D45F3" w:rsidRPr="00FA02DE" w:rsidRDefault="00C00A27">
      <w:pPr>
        <w:numPr>
          <w:ilvl w:val="1"/>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 </w:t>
      </w:r>
      <w:r w:rsidR="00FA02DE" w:rsidRPr="00FA02DE">
        <w:rPr>
          <w:rFonts w:ascii="Cambria" w:eastAsia="Cambria" w:hAnsi="Cambria" w:cs="Cambria"/>
          <w:lang w:val="en-US"/>
        </w:rPr>
        <w:t>Their functioning and how is the involvement and participation of victims, beneficiaries and civil society</w:t>
      </w:r>
      <w:r w:rsidR="00FA02DE" w:rsidRPr="00FA02DE">
        <w:rPr>
          <w:rFonts w:ascii="Cambria" w:eastAsia="Cambria" w:hAnsi="Cambria" w:cs="Cambria"/>
          <w:color w:val="000000"/>
          <w:lang w:val="en-US"/>
        </w:rPr>
        <w:t>;</w:t>
      </w:r>
    </w:p>
    <w:p w14:paraId="50B6E314" w14:textId="77777777" w:rsidR="00FA02DE" w:rsidRPr="00FA02DE" w:rsidRDefault="00FA02DE" w:rsidP="00FA02DE">
      <w:pPr>
        <w:pBdr>
          <w:top w:val="nil"/>
          <w:left w:val="nil"/>
          <w:bottom w:val="nil"/>
          <w:right w:val="nil"/>
          <w:between w:val="nil"/>
        </w:pBdr>
        <w:spacing w:after="0"/>
        <w:ind w:left="1440"/>
        <w:jc w:val="both"/>
        <w:rPr>
          <w:rFonts w:ascii="Cambria" w:eastAsia="Cambria" w:hAnsi="Cambria" w:cs="Cambria"/>
          <w:color w:val="000000"/>
          <w:lang w:val="en-US"/>
        </w:rPr>
      </w:pPr>
    </w:p>
    <w:p w14:paraId="27F3187A" w14:textId="1332507B" w:rsidR="00FA02DE" w:rsidRPr="00FA02DE" w:rsidRDefault="00FA02DE" w:rsidP="00FA02DE">
      <w:pPr>
        <w:numPr>
          <w:ilvl w:val="1"/>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Publicity, transparency and access to information of victims, beneficiaries and civil society organizations; </w:t>
      </w:r>
    </w:p>
    <w:p w14:paraId="0C464CD6" w14:textId="77777777" w:rsidR="00FA02DE" w:rsidRPr="00FA02DE" w:rsidRDefault="00FA02DE" w:rsidP="00FA02DE">
      <w:pPr>
        <w:pBdr>
          <w:top w:val="nil"/>
          <w:left w:val="nil"/>
          <w:bottom w:val="nil"/>
          <w:right w:val="nil"/>
          <w:between w:val="nil"/>
        </w:pBdr>
        <w:spacing w:after="0"/>
        <w:jc w:val="both"/>
        <w:rPr>
          <w:rFonts w:ascii="Cambria" w:eastAsia="Cambria" w:hAnsi="Cambria" w:cs="Cambria"/>
          <w:color w:val="000000"/>
          <w:lang w:val="en-US"/>
        </w:rPr>
      </w:pPr>
    </w:p>
    <w:p w14:paraId="0B3668E5" w14:textId="7ED4641F" w:rsidR="00FA02DE" w:rsidRPr="00FA02DE" w:rsidRDefault="00FA02DE">
      <w:pPr>
        <w:numPr>
          <w:ilvl w:val="1"/>
          <w:numId w:val="2"/>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Identified advantages and limitations concerning civil society participation.</w:t>
      </w:r>
    </w:p>
    <w:p w14:paraId="4162DF40" w14:textId="77777777" w:rsidR="00FA02DE" w:rsidRPr="00FA02DE" w:rsidRDefault="00FA02DE" w:rsidP="00FA02DE">
      <w:pPr>
        <w:pStyle w:val="ListParagraph"/>
        <w:rPr>
          <w:rFonts w:ascii="Cambria" w:eastAsia="Cambria" w:hAnsi="Cambria" w:cs="Cambria"/>
          <w:color w:val="000000"/>
          <w:lang w:val="en-US"/>
        </w:rPr>
      </w:pPr>
    </w:p>
    <w:p w14:paraId="44F7E6F2" w14:textId="091B6DB9" w:rsidR="007D45F3" w:rsidRPr="00FA02DE" w:rsidRDefault="007D45F3" w:rsidP="00FA02DE">
      <w:pPr>
        <w:pBdr>
          <w:top w:val="nil"/>
          <w:left w:val="nil"/>
          <w:bottom w:val="nil"/>
          <w:right w:val="nil"/>
          <w:between w:val="nil"/>
        </w:pBdr>
        <w:spacing w:after="0"/>
        <w:jc w:val="both"/>
        <w:rPr>
          <w:rFonts w:ascii="Cambria" w:eastAsia="Cambria" w:hAnsi="Cambria" w:cs="Cambria"/>
          <w:color w:val="000000"/>
          <w:lang w:val="en-US"/>
        </w:rPr>
      </w:pPr>
    </w:p>
    <w:p w14:paraId="7563992B" w14:textId="77777777" w:rsidR="007D45F3" w:rsidRPr="00FA02DE" w:rsidRDefault="007D45F3">
      <w:pPr>
        <w:pBdr>
          <w:top w:val="nil"/>
          <w:left w:val="nil"/>
          <w:bottom w:val="nil"/>
          <w:right w:val="nil"/>
          <w:between w:val="nil"/>
        </w:pBdr>
        <w:ind w:left="1440"/>
        <w:jc w:val="both"/>
        <w:rPr>
          <w:rFonts w:ascii="Cambria" w:eastAsia="Cambria" w:hAnsi="Cambria" w:cs="Cambria"/>
          <w:color w:val="000000"/>
          <w:lang w:val="en-US"/>
        </w:rPr>
        <w:sectPr w:rsidR="007D45F3" w:rsidRPr="00FA02DE">
          <w:headerReference w:type="first" r:id="rId11"/>
          <w:pgSz w:w="12240" w:h="15840"/>
          <w:pgMar w:top="900" w:right="1440" w:bottom="540" w:left="1440" w:header="720" w:footer="720" w:gutter="0"/>
          <w:pgNumType w:start="1"/>
          <w:cols w:space="720"/>
          <w:titlePg/>
        </w:sectPr>
      </w:pPr>
    </w:p>
    <w:p w14:paraId="08F7FCDD" w14:textId="6F59324A" w:rsidR="007D45F3" w:rsidRPr="00FA02DE" w:rsidRDefault="00C00A27">
      <w:pPr>
        <w:jc w:val="both"/>
        <w:rPr>
          <w:rFonts w:ascii="Cambria" w:eastAsia="Cambria" w:hAnsi="Cambria" w:cs="Cambria"/>
          <w:b/>
          <w:lang w:val="en-US"/>
        </w:rPr>
      </w:pPr>
      <w:r w:rsidRPr="00FA02DE">
        <w:rPr>
          <w:rFonts w:ascii="Cambria" w:eastAsia="Cambria" w:hAnsi="Cambria" w:cs="Cambria"/>
          <w:b/>
          <w:lang w:val="en-US"/>
        </w:rPr>
        <w:lastRenderedPageBreak/>
        <w:t>Sec</w:t>
      </w:r>
      <w:r w:rsidR="00FA02DE" w:rsidRPr="00FA02DE">
        <w:rPr>
          <w:rFonts w:ascii="Cambria" w:eastAsia="Cambria" w:hAnsi="Cambria" w:cs="Cambria"/>
          <w:b/>
          <w:lang w:val="en-US"/>
        </w:rPr>
        <w:t xml:space="preserve">tion </w:t>
      </w:r>
      <w:r w:rsidRPr="00FA02DE">
        <w:rPr>
          <w:rFonts w:ascii="Cambria" w:eastAsia="Cambria" w:hAnsi="Cambria" w:cs="Cambria"/>
          <w:b/>
          <w:lang w:val="en-US"/>
        </w:rPr>
        <w:t xml:space="preserve">II – </w:t>
      </w:r>
      <w:r w:rsidR="00FA02DE" w:rsidRPr="00FA02DE">
        <w:rPr>
          <w:rFonts w:ascii="Cambria" w:eastAsia="Cambria" w:hAnsi="Cambria" w:cs="Cambria"/>
          <w:b/>
          <w:lang w:val="en-US"/>
        </w:rPr>
        <w:t xml:space="preserve">Mechanisms and concrete measures of implementation </w:t>
      </w:r>
    </w:p>
    <w:p w14:paraId="1B99F5D4" w14:textId="0790013D" w:rsidR="00FA02DE" w:rsidRPr="00FA02DE" w:rsidRDefault="00FA02DE">
      <w:pPr>
        <w:jc w:val="both"/>
        <w:rPr>
          <w:rFonts w:ascii="Cambria" w:eastAsia="Cambria" w:hAnsi="Cambria" w:cs="Cambria"/>
          <w:lang w:val="en-US"/>
        </w:rPr>
      </w:pPr>
      <w:r w:rsidRPr="00FA02DE">
        <w:rPr>
          <w:rFonts w:ascii="Cambria" w:eastAsia="Cambria" w:hAnsi="Cambria" w:cs="Cambria"/>
          <w:lang w:val="en-US"/>
        </w:rPr>
        <w:t xml:space="preserve">For each type of recommendation featured in the tables below, please indicate the following: </w:t>
      </w:r>
    </w:p>
    <w:p w14:paraId="45E8E40F" w14:textId="5757E4B1" w:rsidR="00FA02DE" w:rsidRPr="00FA02DE" w:rsidRDefault="00FA02DE" w:rsidP="00FA02DE">
      <w:pPr>
        <w:numPr>
          <w:ilvl w:val="0"/>
          <w:numId w:val="3"/>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What </w:t>
      </w:r>
      <w:r w:rsidRPr="00FA02DE">
        <w:rPr>
          <w:rFonts w:ascii="Cambria" w:eastAsia="Cambria" w:hAnsi="Cambria" w:cs="Cambria"/>
          <w:b/>
          <w:bCs/>
          <w:color w:val="000000"/>
          <w:u w:val="single"/>
          <w:lang w:val="en-US"/>
        </w:rPr>
        <w:t>formal and institutional</w:t>
      </w:r>
      <w:r w:rsidRPr="00FA02DE">
        <w:rPr>
          <w:rFonts w:ascii="Cambria" w:eastAsia="Cambria" w:hAnsi="Cambria" w:cs="Cambria"/>
          <w:color w:val="000000"/>
          <w:lang w:val="en-US"/>
        </w:rPr>
        <w:t xml:space="preserve"> measures and mechanisms does your organization use to promote compliance with reparation orders issued by the IACHR or the Inter-American Court of Human Rights? What results has </w:t>
      </w:r>
      <w:r w:rsidR="008C3E0D">
        <w:rPr>
          <w:rFonts w:ascii="Cambria" w:eastAsia="Cambria" w:hAnsi="Cambria" w:cs="Cambria"/>
          <w:color w:val="000000"/>
          <w:lang w:val="en-US"/>
        </w:rPr>
        <w:t xml:space="preserve">their </w:t>
      </w:r>
      <w:r w:rsidRPr="00FA02DE">
        <w:rPr>
          <w:rFonts w:ascii="Cambria" w:eastAsia="Cambria" w:hAnsi="Cambria" w:cs="Cambria"/>
          <w:color w:val="000000"/>
          <w:lang w:val="en-US"/>
        </w:rPr>
        <w:t xml:space="preserve">activation or exhaustion produced? In your answer, please indicate the main results obtained. </w:t>
      </w:r>
    </w:p>
    <w:p w14:paraId="722A5E88" w14:textId="77777777" w:rsidR="007D45F3" w:rsidRPr="00FA02DE" w:rsidRDefault="007D45F3">
      <w:pPr>
        <w:pBdr>
          <w:top w:val="nil"/>
          <w:left w:val="nil"/>
          <w:bottom w:val="nil"/>
          <w:right w:val="nil"/>
          <w:between w:val="nil"/>
        </w:pBdr>
        <w:spacing w:after="0"/>
        <w:ind w:left="720"/>
        <w:jc w:val="both"/>
        <w:rPr>
          <w:rFonts w:ascii="Cambria" w:eastAsia="Cambria" w:hAnsi="Cambria" w:cs="Cambria"/>
          <w:color w:val="000000"/>
          <w:lang w:val="en-US"/>
        </w:rPr>
      </w:pPr>
    </w:p>
    <w:p w14:paraId="72B8D5F7" w14:textId="180D2E1D" w:rsidR="00FA02DE" w:rsidRPr="00FA02DE" w:rsidRDefault="00FA02DE">
      <w:pPr>
        <w:pBdr>
          <w:top w:val="nil"/>
          <w:left w:val="nil"/>
          <w:bottom w:val="nil"/>
          <w:right w:val="nil"/>
          <w:between w:val="nil"/>
        </w:pBdr>
        <w:ind w:left="1350"/>
        <w:jc w:val="both"/>
        <w:rPr>
          <w:rFonts w:ascii="Cambria" w:eastAsia="Cambria" w:hAnsi="Cambria" w:cs="Cambria"/>
          <w:i/>
          <w:color w:val="000000"/>
          <w:sz w:val="20"/>
          <w:szCs w:val="20"/>
          <w:lang w:val="en-US"/>
        </w:rPr>
      </w:pPr>
      <w:r w:rsidRPr="00FA02DE">
        <w:rPr>
          <w:rFonts w:ascii="Cambria" w:eastAsia="Cambria" w:hAnsi="Cambria" w:cs="Cambria"/>
          <w:i/>
          <w:color w:val="000000"/>
          <w:sz w:val="20"/>
          <w:szCs w:val="20"/>
          <w:lang w:val="en-US"/>
        </w:rPr>
        <w:t>Institutional measures and mechanisms shall be understood as formal actions and proces</w:t>
      </w:r>
      <w:r>
        <w:rPr>
          <w:rFonts w:ascii="Cambria" w:eastAsia="Cambria" w:hAnsi="Cambria" w:cs="Cambria"/>
          <w:i/>
          <w:color w:val="000000"/>
          <w:sz w:val="20"/>
          <w:szCs w:val="20"/>
          <w:lang w:val="en-US"/>
        </w:rPr>
        <w:t>s</w:t>
      </w:r>
      <w:r w:rsidRPr="00FA02DE">
        <w:rPr>
          <w:rFonts w:ascii="Cambria" w:eastAsia="Cambria" w:hAnsi="Cambria" w:cs="Cambria"/>
          <w:i/>
          <w:color w:val="000000"/>
          <w:sz w:val="20"/>
          <w:szCs w:val="20"/>
          <w:lang w:val="en-US"/>
        </w:rPr>
        <w:t xml:space="preserve">es established in laws, policies, decrees and institutional frameworks that are part of the state scheme to promote compliance with reparation measures ordered by the IACHR and other supervisory bodies and mechanisms. Such measures and mechanisms can be carried out in the executive, administrative, legislative or judicial contexts, as well as within national human rights institutions. </w:t>
      </w:r>
    </w:p>
    <w:p w14:paraId="5E79824A" w14:textId="7F67333F" w:rsidR="007D45F3" w:rsidRPr="00FA02DE" w:rsidRDefault="007D45F3">
      <w:pPr>
        <w:pBdr>
          <w:top w:val="nil"/>
          <w:left w:val="nil"/>
          <w:bottom w:val="nil"/>
          <w:right w:val="nil"/>
          <w:between w:val="nil"/>
        </w:pBdr>
        <w:ind w:left="1350"/>
        <w:jc w:val="both"/>
        <w:rPr>
          <w:rFonts w:ascii="Cambria" w:eastAsia="Cambria" w:hAnsi="Cambria" w:cs="Cambria"/>
          <w:i/>
          <w:color w:val="000000"/>
          <w:sz w:val="20"/>
          <w:szCs w:val="20"/>
          <w:lang w:val="en-US"/>
        </w:rPr>
      </w:pPr>
    </w:p>
    <w:tbl>
      <w:tblPr>
        <w:tblStyle w:val="a"/>
        <w:tblW w:w="9300"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00" w:firstRow="0" w:lastRow="0" w:firstColumn="0" w:lastColumn="0" w:noHBand="0" w:noVBand="1"/>
      </w:tblPr>
      <w:tblGrid>
        <w:gridCol w:w="4650"/>
        <w:gridCol w:w="4650"/>
      </w:tblGrid>
      <w:tr w:rsidR="007D45F3" w:rsidRPr="00CC4B91" w14:paraId="4BE88366" w14:textId="77777777">
        <w:trPr>
          <w:trHeight w:val="703"/>
        </w:trPr>
        <w:tc>
          <w:tcPr>
            <w:tcW w:w="9300" w:type="dxa"/>
            <w:gridSpan w:val="2"/>
            <w:shd w:val="clear" w:color="auto" w:fill="808080"/>
            <w:vAlign w:val="center"/>
          </w:tcPr>
          <w:p w14:paraId="76882686" w14:textId="768EA905" w:rsidR="007D45F3" w:rsidRPr="00FA02DE" w:rsidRDefault="00C00A27">
            <w:pPr>
              <w:jc w:val="center"/>
              <w:rPr>
                <w:rFonts w:ascii="Cambria" w:eastAsia="Cambria" w:hAnsi="Cambria" w:cs="Cambria"/>
                <w:b/>
                <w:color w:val="FFFFFF"/>
                <w:lang w:val="en-US"/>
              </w:rPr>
            </w:pPr>
            <w:r w:rsidRPr="00FA02DE">
              <w:rPr>
                <w:rFonts w:ascii="Cambria" w:eastAsia="Cambria" w:hAnsi="Cambria" w:cs="Cambria"/>
                <w:b/>
                <w:color w:val="FFFFFF"/>
                <w:lang w:val="en-US"/>
              </w:rPr>
              <w:t>T</w:t>
            </w:r>
            <w:r w:rsidR="00FA02DE" w:rsidRPr="00FA02DE">
              <w:rPr>
                <w:rFonts w:ascii="Cambria" w:eastAsia="Cambria" w:hAnsi="Cambria" w:cs="Cambria"/>
                <w:b/>
                <w:color w:val="FFFFFF"/>
                <w:lang w:val="en-US"/>
              </w:rPr>
              <w:t>ype of measure</w:t>
            </w:r>
          </w:p>
          <w:p w14:paraId="603AD41F" w14:textId="32573825" w:rsidR="007D45F3" w:rsidRPr="00FA02DE" w:rsidRDefault="00FA02DE">
            <w:pPr>
              <w:jc w:val="center"/>
              <w:rPr>
                <w:rFonts w:ascii="Cambria" w:eastAsia="Cambria" w:hAnsi="Cambria" w:cs="Cambria"/>
                <w:b/>
                <w:color w:val="FFFFFF"/>
                <w:lang w:val="en-US"/>
              </w:rPr>
            </w:pPr>
            <w:r w:rsidRPr="00FA02DE">
              <w:rPr>
                <w:rFonts w:ascii="Cambria" w:eastAsia="Cambria" w:hAnsi="Cambria" w:cs="Cambria"/>
                <w:b/>
                <w:color w:val="FFFFFF"/>
                <w:lang w:val="en-US"/>
              </w:rPr>
              <w:t>Institutional mechanisms</w:t>
            </w:r>
          </w:p>
        </w:tc>
      </w:tr>
      <w:tr w:rsidR="007D45F3" w:rsidRPr="00CC4B91" w14:paraId="3B2977B4" w14:textId="77777777">
        <w:trPr>
          <w:trHeight w:val="124"/>
        </w:trPr>
        <w:tc>
          <w:tcPr>
            <w:tcW w:w="4650" w:type="dxa"/>
            <w:shd w:val="clear" w:color="auto" w:fill="F2F2F2"/>
            <w:vAlign w:val="center"/>
          </w:tcPr>
          <w:p w14:paraId="3205CD9A" w14:textId="3BF56030" w:rsidR="007D45F3" w:rsidRPr="00FA02DE" w:rsidRDefault="00FA02DE">
            <w:pPr>
              <w:rPr>
                <w:rFonts w:ascii="Cambria" w:eastAsia="Cambria" w:hAnsi="Cambria" w:cs="Cambria"/>
                <w:b/>
                <w:sz w:val="21"/>
                <w:szCs w:val="21"/>
                <w:lang w:val="en-US"/>
              </w:rPr>
            </w:pPr>
            <w:r w:rsidRPr="00FA02DE">
              <w:rPr>
                <w:rFonts w:ascii="Cambria" w:eastAsia="Cambria" w:hAnsi="Cambria" w:cs="Cambria"/>
                <w:b/>
                <w:sz w:val="21"/>
                <w:szCs w:val="21"/>
                <w:lang w:val="en-US"/>
              </w:rPr>
              <w:t>Compensation</w:t>
            </w:r>
          </w:p>
          <w:p w14:paraId="23AD55DA" w14:textId="556E8466" w:rsidR="007D45F3" w:rsidRPr="00FA02DE" w:rsidRDefault="00C00A27">
            <w:pPr>
              <w:jc w:val="both"/>
              <w:rPr>
                <w:rFonts w:ascii="Cambria" w:eastAsia="Cambria" w:hAnsi="Cambria" w:cs="Cambria"/>
                <w:lang w:val="en-US"/>
              </w:rPr>
            </w:pPr>
            <w:r w:rsidRPr="00FA02DE">
              <w:rPr>
                <w:rFonts w:ascii="Cambria" w:eastAsia="Cambria" w:hAnsi="Cambria" w:cs="Cambria"/>
                <w:sz w:val="16"/>
                <w:szCs w:val="16"/>
                <w:lang w:val="en-US"/>
              </w:rPr>
              <w:t>E</w:t>
            </w:r>
            <w:r w:rsidR="00FA02DE" w:rsidRPr="00FA02DE">
              <w:rPr>
                <w:rFonts w:ascii="Cambria" w:eastAsia="Cambria" w:hAnsi="Cambria" w:cs="Cambria"/>
                <w:sz w:val="16"/>
                <w:szCs w:val="16"/>
                <w:lang w:val="en-US"/>
              </w:rPr>
              <w:t>xamples: granting of financial resources, provision of non-pecuniary material elements, updating of compensation.</w:t>
            </w:r>
          </w:p>
        </w:tc>
        <w:tc>
          <w:tcPr>
            <w:tcW w:w="4650" w:type="dxa"/>
            <w:shd w:val="clear" w:color="auto" w:fill="F2F2F2"/>
          </w:tcPr>
          <w:p w14:paraId="4BC35BEB" w14:textId="19CB8FB4" w:rsidR="007D45F3" w:rsidRPr="00FA02DE" w:rsidRDefault="00C00A27">
            <w:pPr>
              <w:rPr>
                <w:rFonts w:ascii="Cambria" w:eastAsia="Cambria" w:hAnsi="Cambria" w:cs="Cambria"/>
                <w:b/>
                <w:sz w:val="21"/>
                <w:szCs w:val="21"/>
                <w:lang w:val="en-US"/>
              </w:rPr>
            </w:pPr>
            <w:r w:rsidRPr="00FA02DE">
              <w:rPr>
                <w:rFonts w:ascii="Cambria" w:eastAsia="Cambria" w:hAnsi="Cambria" w:cs="Cambria"/>
                <w:b/>
                <w:sz w:val="21"/>
                <w:szCs w:val="21"/>
                <w:lang w:val="en-US"/>
              </w:rPr>
              <w:t>Restitu</w:t>
            </w:r>
            <w:r w:rsidR="00FA02DE" w:rsidRPr="00FA02DE">
              <w:rPr>
                <w:rFonts w:ascii="Cambria" w:eastAsia="Cambria" w:hAnsi="Cambria" w:cs="Cambria"/>
                <w:b/>
                <w:sz w:val="21"/>
                <w:szCs w:val="21"/>
                <w:lang w:val="en-US"/>
              </w:rPr>
              <w:t>tion</w:t>
            </w:r>
          </w:p>
          <w:p w14:paraId="20AA2A67" w14:textId="737D1F73" w:rsidR="007D45F3" w:rsidRPr="00FA02DE" w:rsidRDefault="00C00A27">
            <w:pPr>
              <w:jc w:val="both"/>
              <w:rPr>
                <w:rFonts w:ascii="Cambria" w:eastAsia="Cambria" w:hAnsi="Cambria" w:cs="Cambria"/>
                <w:sz w:val="16"/>
                <w:szCs w:val="16"/>
                <w:lang w:val="en-US"/>
              </w:rPr>
            </w:pPr>
            <w:r w:rsidRPr="00FA02DE">
              <w:rPr>
                <w:rFonts w:ascii="Cambria" w:eastAsia="Cambria" w:hAnsi="Cambria" w:cs="Cambria"/>
                <w:sz w:val="16"/>
                <w:szCs w:val="16"/>
                <w:lang w:val="en-US"/>
              </w:rPr>
              <w:t>E</w:t>
            </w:r>
            <w:r w:rsidR="00FA02DE" w:rsidRPr="00FA02DE">
              <w:rPr>
                <w:rFonts w:ascii="Cambria" w:eastAsia="Cambria" w:hAnsi="Cambria" w:cs="Cambria"/>
                <w:sz w:val="16"/>
                <w:szCs w:val="16"/>
                <w:lang w:val="en-US"/>
              </w:rPr>
              <w:t>xamples: restoration of freedom, return to the place of origin, return of property, reinstatement of employment, issuance of identity documents.</w:t>
            </w:r>
          </w:p>
        </w:tc>
      </w:tr>
      <w:tr w:rsidR="007D45F3" w:rsidRPr="00FA02DE" w14:paraId="71461264" w14:textId="77777777">
        <w:trPr>
          <w:trHeight w:val="124"/>
        </w:trPr>
        <w:tc>
          <w:tcPr>
            <w:tcW w:w="4650" w:type="dxa"/>
            <w:vAlign w:val="center"/>
          </w:tcPr>
          <w:p w14:paraId="37B6A83B" w14:textId="7FBAE023" w:rsidR="007D45F3" w:rsidRPr="00FA02DE" w:rsidRDefault="00C00A27">
            <w:pPr>
              <w:rPr>
                <w:rFonts w:ascii="Cambria" w:eastAsia="Cambria" w:hAnsi="Cambria" w:cs="Cambria"/>
                <w:b/>
                <w:sz w:val="20"/>
                <w:szCs w:val="20"/>
                <w:lang w:val="en-US"/>
              </w:rPr>
            </w:pPr>
            <w:r w:rsidRPr="00FA02DE">
              <w:rPr>
                <w:rFonts w:ascii="Cambria" w:eastAsia="Cambria" w:hAnsi="Cambria" w:cs="Cambria"/>
                <w:b/>
                <w:sz w:val="20"/>
                <w:szCs w:val="20"/>
                <w:lang w:val="en-US"/>
              </w:rPr>
              <w:t>Me</w:t>
            </w:r>
            <w:r w:rsidR="00FA02DE" w:rsidRPr="00FA02DE">
              <w:rPr>
                <w:rFonts w:ascii="Cambria" w:eastAsia="Cambria" w:hAnsi="Cambria" w:cs="Cambria"/>
                <w:b/>
                <w:sz w:val="20"/>
                <w:szCs w:val="20"/>
                <w:lang w:val="en-US"/>
              </w:rPr>
              <w:t xml:space="preserve">asures and mechanisms deployed </w:t>
            </w:r>
          </w:p>
          <w:p w14:paraId="1B8AFA46" w14:textId="77777777" w:rsidR="007D45F3" w:rsidRPr="00FA02DE" w:rsidRDefault="007D45F3">
            <w:pPr>
              <w:rPr>
                <w:rFonts w:ascii="Cambria" w:eastAsia="Cambria" w:hAnsi="Cambria" w:cs="Cambria"/>
                <w:b/>
                <w:lang w:val="en-US"/>
              </w:rPr>
            </w:pPr>
          </w:p>
          <w:p w14:paraId="3DB022AD" w14:textId="77777777" w:rsidR="007D45F3" w:rsidRPr="00FA02DE" w:rsidRDefault="007D45F3">
            <w:pPr>
              <w:rPr>
                <w:rFonts w:ascii="Cambria" w:eastAsia="Cambria" w:hAnsi="Cambria" w:cs="Cambria"/>
                <w:b/>
                <w:lang w:val="en-US"/>
              </w:rPr>
            </w:pPr>
          </w:p>
          <w:p w14:paraId="292F191F" w14:textId="77777777" w:rsidR="007D45F3" w:rsidRPr="00FA02DE" w:rsidRDefault="007D45F3">
            <w:pPr>
              <w:rPr>
                <w:rFonts w:ascii="Cambria" w:eastAsia="Cambria" w:hAnsi="Cambria" w:cs="Cambria"/>
                <w:b/>
                <w:lang w:val="en-US"/>
              </w:rPr>
            </w:pPr>
          </w:p>
        </w:tc>
        <w:tc>
          <w:tcPr>
            <w:tcW w:w="4650" w:type="dxa"/>
          </w:tcPr>
          <w:p w14:paraId="067FD61F" w14:textId="03DB3544" w:rsidR="007D45F3" w:rsidRPr="00FA02DE" w:rsidRDefault="00FA02DE">
            <w:pPr>
              <w:rPr>
                <w:rFonts w:ascii="Cambria" w:eastAsia="Cambria" w:hAnsi="Cambria" w:cs="Cambria"/>
                <w:b/>
                <w:sz w:val="20"/>
                <w:szCs w:val="20"/>
                <w:lang w:val="en-US"/>
              </w:rPr>
            </w:pPr>
            <w:r w:rsidRPr="00FA02DE">
              <w:rPr>
                <w:rFonts w:ascii="Cambria" w:eastAsia="Cambria" w:hAnsi="Cambria" w:cs="Cambria"/>
                <w:b/>
                <w:sz w:val="20"/>
                <w:szCs w:val="20"/>
                <w:lang w:val="en-US"/>
              </w:rPr>
              <w:t xml:space="preserve">Measures and mechanisms deployed </w:t>
            </w:r>
          </w:p>
        </w:tc>
      </w:tr>
      <w:tr w:rsidR="007D45F3" w:rsidRPr="00FA02DE" w14:paraId="13F77904" w14:textId="77777777">
        <w:trPr>
          <w:trHeight w:val="124"/>
        </w:trPr>
        <w:tc>
          <w:tcPr>
            <w:tcW w:w="4650" w:type="dxa"/>
            <w:vAlign w:val="center"/>
          </w:tcPr>
          <w:p w14:paraId="283C69D6" w14:textId="6147BE0B" w:rsidR="007D45F3" w:rsidRPr="00FA02DE" w:rsidRDefault="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28CC2988" w14:textId="77777777" w:rsidR="007D45F3" w:rsidRPr="00FA02DE" w:rsidRDefault="007D45F3">
            <w:pPr>
              <w:rPr>
                <w:rFonts w:ascii="Cambria" w:eastAsia="Cambria" w:hAnsi="Cambria" w:cs="Cambria"/>
                <w:b/>
                <w:lang w:val="en-US"/>
              </w:rPr>
            </w:pPr>
          </w:p>
          <w:p w14:paraId="3B621E99" w14:textId="77777777" w:rsidR="007D45F3" w:rsidRPr="00FA02DE" w:rsidRDefault="007D45F3">
            <w:pPr>
              <w:rPr>
                <w:rFonts w:ascii="Cambria" w:eastAsia="Cambria" w:hAnsi="Cambria" w:cs="Cambria"/>
                <w:b/>
                <w:lang w:val="en-US"/>
              </w:rPr>
            </w:pPr>
          </w:p>
          <w:p w14:paraId="3E3CA567" w14:textId="77777777" w:rsidR="007D45F3" w:rsidRPr="00FA02DE" w:rsidRDefault="007D45F3">
            <w:pPr>
              <w:rPr>
                <w:rFonts w:ascii="Cambria" w:eastAsia="Cambria" w:hAnsi="Cambria" w:cs="Cambria"/>
                <w:b/>
                <w:lang w:val="en-US"/>
              </w:rPr>
            </w:pPr>
          </w:p>
        </w:tc>
        <w:tc>
          <w:tcPr>
            <w:tcW w:w="4650" w:type="dxa"/>
          </w:tcPr>
          <w:p w14:paraId="5F5EEDA7"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67A7305E" w14:textId="77777777" w:rsidR="007D45F3" w:rsidRPr="00FA02DE" w:rsidRDefault="007D45F3">
            <w:pPr>
              <w:rPr>
                <w:rFonts w:ascii="Cambria" w:eastAsia="Cambria" w:hAnsi="Cambria" w:cs="Cambria"/>
                <w:b/>
                <w:lang w:val="en-US"/>
              </w:rPr>
            </w:pPr>
          </w:p>
        </w:tc>
      </w:tr>
      <w:tr w:rsidR="007D45F3" w:rsidRPr="00CC4B91" w14:paraId="743EE8FA" w14:textId="77777777">
        <w:trPr>
          <w:trHeight w:val="113"/>
        </w:trPr>
        <w:tc>
          <w:tcPr>
            <w:tcW w:w="4650" w:type="dxa"/>
            <w:shd w:val="clear" w:color="auto" w:fill="F2F2F2"/>
            <w:vAlign w:val="center"/>
          </w:tcPr>
          <w:p w14:paraId="17EA5364" w14:textId="1946BAC7" w:rsidR="007D45F3" w:rsidRPr="00FA02DE" w:rsidRDefault="00C00A27">
            <w:pPr>
              <w:rPr>
                <w:rFonts w:ascii="Cambria" w:eastAsia="Cambria" w:hAnsi="Cambria" w:cs="Cambria"/>
                <w:b/>
                <w:lang w:val="en-US"/>
              </w:rPr>
            </w:pPr>
            <w:r w:rsidRPr="00FA02DE">
              <w:rPr>
                <w:rFonts w:ascii="Cambria" w:eastAsia="Cambria" w:hAnsi="Cambria" w:cs="Cambria"/>
                <w:b/>
                <w:lang w:val="en-US"/>
              </w:rPr>
              <w:t>Satisfac</w:t>
            </w:r>
            <w:r w:rsidR="00FA02DE" w:rsidRPr="00FA02DE">
              <w:rPr>
                <w:rFonts w:ascii="Cambria" w:eastAsia="Cambria" w:hAnsi="Cambria" w:cs="Cambria"/>
                <w:b/>
                <w:lang w:val="en-US"/>
              </w:rPr>
              <w:t>tion</w:t>
            </w:r>
          </w:p>
          <w:p w14:paraId="138DDB01" w14:textId="0BDA2369" w:rsidR="007D45F3" w:rsidRPr="00FA02DE" w:rsidRDefault="00C00A27">
            <w:pPr>
              <w:rPr>
                <w:rFonts w:ascii="Cambria" w:eastAsia="Cambria" w:hAnsi="Cambria" w:cs="Cambria"/>
                <w:lang w:val="en-US"/>
              </w:rPr>
            </w:pPr>
            <w:r w:rsidRPr="00FA02DE">
              <w:rPr>
                <w:rFonts w:ascii="Cambria" w:eastAsia="Cambria" w:hAnsi="Cambria" w:cs="Cambria"/>
                <w:sz w:val="16"/>
                <w:szCs w:val="16"/>
                <w:lang w:val="en-US"/>
              </w:rPr>
              <w:t>E</w:t>
            </w:r>
            <w:r w:rsidR="00FA02DE" w:rsidRPr="00FA02DE">
              <w:rPr>
                <w:rFonts w:ascii="Cambria" w:eastAsia="Cambria" w:hAnsi="Cambria" w:cs="Cambria"/>
                <w:sz w:val="16"/>
                <w:szCs w:val="16"/>
                <w:lang w:val="en-US"/>
              </w:rPr>
              <w:t xml:space="preserve">xamples: </w:t>
            </w:r>
            <w:r w:rsidRPr="00FA02DE">
              <w:rPr>
                <w:rFonts w:ascii="Cambria" w:eastAsia="Cambria" w:hAnsi="Cambria" w:cs="Cambria"/>
                <w:sz w:val="16"/>
                <w:szCs w:val="16"/>
                <w:lang w:val="en-US"/>
              </w:rPr>
              <w:t>act</w:t>
            </w:r>
            <w:r w:rsidR="00FA02DE" w:rsidRPr="00FA02DE">
              <w:rPr>
                <w:rFonts w:ascii="Cambria" w:eastAsia="Cambria" w:hAnsi="Cambria" w:cs="Cambria"/>
                <w:sz w:val="16"/>
                <w:szCs w:val="16"/>
                <w:lang w:val="en-US"/>
              </w:rPr>
              <w:t>s of a</w:t>
            </w:r>
            <w:r w:rsidR="00FA02DE">
              <w:rPr>
                <w:rFonts w:ascii="Cambria" w:eastAsia="Cambria" w:hAnsi="Cambria" w:cs="Cambria"/>
                <w:sz w:val="16"/>
                <w:szCs w:val="16"/>
                <w:lang w:val="en-US"/>
              </w:rPr>
              <w:t>c</w:t>
            </w:r>
            <w:r w:rsidR="00FA02DE" w:rsidRPr="00FA02DE">
              <w:rPr>
                <w:rFonts w:ascii="Cambria" w:eastAsia="Cambria" w:hAnsi="Cambria" w:cs="Cambria"/>
                <w:sz w:val="16"/>
                <w:szCs w:val="16"/>
                <w:lang w:val="en-US"/>
              </w:rPr>
              <w:t>knowledgement of responsibility and public apologies, construction of buildings and tributes.</w:t>
            </w:r>
          </w:p>
        </w:tc>
        <w:tc>
          <w:tcPr>
            <w:tcW w:w="4650" w:type="dxa"/>
            <w:shd w:val="clear" w:color="auto" w:fill="F2F2F2"/>
          </w:tcPr>
          <w:p w14:paraId="44176744" w14:textId="2353647A" w:rsidR="007D45F3" w:rsidRPr="00FA02DE" w:rsidRDefault="00C00A27">
            <w:pPr>
              <w:rPr>
                <w:rFonts w:ascii="Cambria" w:eastAsia="Cambria" w:hAnsi="Cambria" w:cs="Cambria"/>
                <w:b/>
                <w:lang w:val="en-US"/>
              </w:rPr>
            </w:pPr>
            <w:r w:rsidRPr="00FA02DE">
              <w:rPr>
                <w:rFonts w:ascii="Cambria" w:eastAsia="Cambria" w:hAnsi="Cambria" w:cs="Cambria"/>
                <w:b/>
                <w:lang w:val="en-US"/>
              </w:rPr>
              <w:t>Investig</w:t>
            </w:r>
            <w:r w:rsidR="00FA02DE" w:rsidRPr="00FA02DE">
              <w:rPr>
                <w:rFonts w:ascii="Cambria" w:eastAsia="Cambria" w:hAnsi="Cambria" w:cs="Cambria"/>
                <w:b/>
                <w:lang w:val="en-US"/>
              </w:rPr>
              <w:t>ation</w:t>
            </w:r>
            <w:r w:rsidRPr="00FA02DE">
              <w:rPr>
                <w:rFonts w:ascii="Cambria" w:eastAsia="Cambria" w:hAnsi="Cambria" w:cs="Cambria"/>
                <w:b/>
                <w:lang w:val="en-US"/>
              </w:rPr>
              <w:t xml:space="preserve"> </w:t>
            </w:r>
          </w:p>
          <w:p w14:paraId="50E1747E" w14:textId="682B5502" w:rsidR="007D45F3" w:rsidRPr="00FA02DE" w:rsidRDefault="00FA02DE">
            <w:pPr>
              <w:jc w:val="both"/>
              <w:rPr>
                <w:rFonts w:ascii="Cambria" w:eastAsia="Cambria" w:hAnsi="Cambria" w:cs="Cambria"/>
                <w:lang w:val="en-US"/>
              </w:rPr>
            </w:pPr>
            <w:r w:rsidRPr="00FA02DE">
              <w:rPr>
                <w:rFonts w:ascii="Cambria" w:eastAsia="Cambria" w:hAnsi="Cambria" w:cs="Cambria"/>
                <w:sz w:val="16"/>
                <w:szCs w:val="16"/>
                <w:lang w:val="en-US"/>
              </w:rPr>
              <w:t>Examples: opening and continuation of investigations, non-application of amnesty laws and statute of limitation measures, localization and restitution of remains.</w:t>
            </w:r>
          </w:p>
        </w:tc>
      </w:tr>
      <w:tr w:rsidR="007D45F3" w:rsidRPr="00FA02DE" w14:paraId="7A92DB84" w14:textId="77777777">
        <w:trPr>
          <w:trHeight w:val="113"/>
        </w:trPr>
        <w:tc>
          <w:tcPr>
            <w:tcW w:w="4650" w:type="dxa"/>
            <w:vAlign w:val="center"/>
          </w:tcPr>
          <w:p w14:paraId="2D16DFED"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 xml:space="preserve">Measures and mechanisms deployed </w:t>
            </w:r>
          </w:p>
          <w:p w14:paraId="2912357F" w14:textId="77777777" w:rsidR="007D45F3" w:rsidRPr="00FA02DE" w:rsidRDefault="007D45F3" w:rsidP="00FA02DE">
            <w:pPr>
              <w:rPr>
                <w:rFonts w:ascii="Cambria" w:eastAsia="Cambria" w:hAnsi="Cambria" w:cs="Cambria"/>
                <w:b/>
                <w:lang w:val="en-US"/>
              </w:rPr>
            </w:pPr>
          </w:p>
          <w:p w14:paraId="6A15BF75" w14:textId="77777777" w:rsidR="00FA02DE" w:rsidRPr="00FA02DE" w:rsidRDefault="00FA02DE" w:rsidP="00FA02DE">
            <w:pPr>
              <w:rPr>
                <w:rFonts w:ascii="Cambria" w:eastAsia="Cambria" w:hAnsi="Cambria" w:cs="Cambria"/>
                <w:b/>
                <w:lang w:val="en-US"/>
              </w:rPr>
            </w:pPr>
          </w:p>
          <w:p w14:paraId="03FA24CC" w14:textId="3A9B1231" w:rsidR="00FA02DE" w:rsidRPr="00FA02DE" w:rsidRDefault="00FA02DE" w:rsidP="00FA02DE">
            <w:pPr>
              <w:rPr>
                <w:rFonts w:ascii="Cambria" w:eastAsia="Cambria" w:hAnsi="Cambria" w:cs="Cambria"/>
                <w:b/>
                <w:lang w:val="en-US"/>
              </w:rPr>
            </w:pPr>
          </w:p>
        </w:tc>
        <w:tc>
          <w:tcPr>
            <w:tcW w:w="4650" w:type="dxa"/>
          </w:tcPr>
          <w:p w14:paraId="5F21C1DB"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 xml:space="preserve">Measures and mechanisms deployed </w:t>
            </w:r>
          </w:p>
          <w:p w14:paraId="25210B5D" w14:textId="77777777" w:rsidR="007D45F3" w:rsidRPr="00FA02DE" w:rsidRDefault="007D45F3">
            <w:pPr>
              <w:rPr>
                <w:rFonts w:ascii="Cambria" w:eastAsia="Cambria" w:hAnsi="Cambria" w:cs="Cambria"/>
                <w:lang w:val="en-US"/>
              </w:rPr>
            </w:pPr>
          </w:p>
          <w:p w14:paraId="1BE9FCC5" w14:textId="7827ACE7" w:rsidR="00FA02DE" w:rsidRPr="00FA02DE" w:rsidRDefault="00FA02DE">
            <w:pPr>
              <w:rPr>
                <w:rFonts w:ascii="Cambria" w:eastAsia="Cambria" w:hAnsi="Cambria" w:cs="Cambria"/>
                <w:lang w:val="en-US"/>
              </w:rPr>
            </w:pPr>
          </w:p>
        </w:tc>
      </w:tr>
      <w:tr w:rsidR="007D45F3" w:rsidRPr="00FA02DE" w14:paraId="7647CBAB" w14:textId="77777777">
        <w:trPr>
          <w:trHeight w:val="113"/>
        </w:trPr>
        <w:tc>
          <w:tcPr>
            <w:tcW w:w="4650" w:type="dxa"/>
            <w:vAlign w:val="center"/>
          </w:tcPr>
          <w:p w14:paraId="3C5B3720"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634378DC" w14:textId="77777777" w:rsidR="007D45F3" w:rsidRPr="00FA02DE" w:rsidRDefault="007D45F3">
            <w:pPr>
              <w:rPr>
                <w:rFonts w:ascii="Cambria" w:eastAsia="Cambria" w:hAnsi="Cambria" w:cs="Cambria"/>
                <w:b/>
                <w:lang w:val="en-US"/>
              </w:rPr>
            </w:pPr>
          </w:p>
          <w:p w14:paraId="0F5AB008" w14:textId="77777777" w:rsidR="007D45F3" w:rsidRPr="00FA02DE" w:rsidRDefault="007D45F3">
            <w:pPr>
              <w:rPr>
                <w:rFonts w:ascii="Cambria" w:eastAsia="Cambria" w:hAnsi="Cambria" w:cs="Cambria"/>
                <w:b/>
                <w:lang w:val="en-US"/>
              </w:rPr>
            </w:pPr>
          </w:p>
          <w:p w14:paraId="251FE66B" w14:textId="77777777" w:rsidR="007D45F3" w:rsidRPr="00FA02DE" w:rsidRDefault="007D45F3">
            <w:pPr>
              <w:rPr>
                <w:rFonts w:ascii="Cambria" w:eastAsia="Cambria" w:hAnsi="Cambria" w:cs="Cambria"/>
                <w:b/>
                <w:lang w:val="en-US"/>
              </w:rPr>
            </w:pPr>
          </w:p>
        </w:tc>
        <w:tc>
          <w:tcPr>
            <w:tcW w:w="4650" w:type="dxa"/>
          </w:tcPr>
          <w:p w14:paraId="125E8F4F"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0914BE6D" w14:textId="77777777" w:rsidR="007D45F3" w:rsidRPr="00FA02DE" w:rsidRDefault="007D45F3">
            <w:pPr>
              <w:rPr>
                <w:rFonts w:ascii="Cambria" w:eastAsia="Cambria" w:hAnsi="Cambria" w:cs="Cambria"/>
                <w:b/>
                <w:lang w:val="en-US"/>
              </w:rPr>
            </w:pPr>
          </w:p>
          <w:p w14:paraId="532314A1" w14:textId="77777777" w:rsidR="007D45F3" w:rsidRPr="00FA02DE" w:rsidRDefault="007D45F3">
            <w:pPr>
              <w:rPr>
                <w:rFonts w:ascii="Cambria" w:eastAsia="Cambria" w:hAnsi="Cambria" w:cs="Cambria"/>
                <w:b/>
                <w:lang w:val="en-US"/>
              </w:rPr>
            </w:pPr>
          </w:p>
          <w:p w14:paraId="7BDA06E7" w14:textId="61995A1E" w:rsidR="00FA02DE" w:rsidRPr="00FA02DE" w:rsidRDefault="00FA02DE">
            <w:pPr>
              <w:rPr>
                <w:rFonts w:ascii="Cambria" w:eastAsia="Cambria" w:hAnsi="Cambria" w:cs="Cambria"/>
                <w:b/>
                <w:lang w:val="en-US"/>
              </w:rPr>
            </w:pPr>
          </w:p>
        </w:tc>
      </w:tr>
      <w:tr w:rsidR="007D45F3" w:rsidRPr="00CC4B91" w14:paraId="4918D8C0" w14:textId="77777777">
        <w:trPr>
          <w:trHeight w:val="133"/>
        </w:trPr>
        <w:tc>
          <w:tcPr>
            <w:tcW w:w="9300" w:type="dxa"/>
            <w:gridSpan w:val="2"/>
            <w:shd w:val="clear" w:color="auto" w:fill="F2F2F2"/>
            <w:vAlign w:val="center"/>
          </w:tcPr>
          <w:p w14:paraId="3B5D53C9" w14:textId="1829AC83" w:rsidR="007D45F3" w:rsidRPr="00FA02DE" w:rsidRDefault="00C00A27">
            <w:pPr>
              <w:jc w:val="center"/>
              <w:rPr>
                <w:rFonts w:ascii="Cambria" w:eastAsia="Cambria" w:hAnsi="Cambria" w:cs="Cambria"/>
                <w:b/>
                <w:lang w:val="en-US"/>
              </w:rPr>
            </w:pPr>
            <w:r w:rsidRPr="00FA02DE">
              <w:rPr>
                <w:rFonts w:ascii="Cambria" w:eastAsia="Cambria" w:hAnsi="Cambria" w:cs="Cambria"/>
                <w:b/>
                <w:lang w:val="en-US"/>
              </w:rPr>
              <w:t>G</w:t>
            </w:r>
            <w:r w:rsidR="00FA02DE" w:rsidRPr="00FA02DE">
              <w:rPr>
                <w:rFonts w:ascii="Cambria" w:eastAsia="Cambria" w:hAnsi="Cambria" w:cs="Cambria"/>
                <w:b/>
                <w:lang w:val="en-US"/>
              </w:rPr>
              <w:t>uarantees of non-repetition</w:t>
            </w:r>
          </w:p>
          <w:p w14:paraId="066418D2" w14:textId="61ED2F45" w:rsidR="007D45F3" w:rsidRPr="00FA02DE" w:rsidRDefault="00C00A27">
            <w:pPr>
              <w:jc w:val="center"/>
              <w:rPr>
                <w:rFonts w:ascii="Cambria" w:eastAsia="Cambria" w:hAnsi="Cambria" w:cs="Cambria"/>
                <w:lang w:val="en-US"/>
              </w:rPr>
            </w:pPr>
            <w:r w:rsidRPr="00FA02DE">
              <w:rPr>
                <w:rFonts w:ascii="Cambria" w:eastAsia="Cambria" w:hAnsi="Cambria" w:cs="Cambria"/>
                <w:sz w:val="16"/>
                <w:szCs w:val="16"/>
                <w:lang w:val="en-US"/>
              </w:rPr>
              <w:t>E</w:t>
            </w:r>
            <w:r w:rsidR="00FA02DE" w:rsidRPr="00FA02DE">
              <w:rPr>
                <w:rFonts w:ascii="Cambria" w:eastAsia="Cambria" w:hAnsi="Cambria" w:cs="Cambria"/>
                <w:sz w:val="16"/>
                <w:szCs w:val="16"/>
                <w:lang w:val="en-US"/>
              </w:rPr>
              <w:t>xamples: adoption of public policies, issuance of law</w:t>
            </w:r>
            <w:r w:rsidR="008C3E0D">
              <w:rPr>
                <w:rFonts w:ascii="Cambria" w:eastAsia="Cambria" w:hAnsi="Cambria" w:cs="Cambria"/>
                <w:sz w:val="16"/>
                <w:szCs w:val="16"/>
                <w:lang w:val="en-US"/>
              </w:rPr>
              <w:t>s</w:t>
            </w:r>
            <w:r w:rsidR="00FA02DE" w:rsidRPr="00FA02DE">
              <w:rPr>
                <w:rFonts w:ascii="Cambria" w:eastAsia="Cambria" w:hAnsi="Cambria" w:cs="Cambria"/>
                <w:sz w:val="16"/>
                <w:szCs w:val="16"/>
                <w:lang w:val="en-US"/>
              </w:rPr>
              <w:t xml:space="preserve"> and decrees, awareness and training campaigns, strengthening of the state apparatus.</w:t>
            </w:r>
          </w:p>
        </w:tc>
      </w:tr>
      <w:tr w:rsidR="007D45F3" w:rsidRPr="00FA02DE" w14:paraId="4DEFA653" w14:textId="77777777">
        <w:trPr>
          <w:trHeight w:val="132"/>
        </w:trPr>
        <w:tc>
          <w:tcPr>
            <w:tcW w:w="4650" w:type="dxa"/>
          </w:tcPr>
          <w:p w14:paraId="0B971DD7"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 xml:space="preserve">Measures and mechanisms deployed </w:t>
            </w:r>
          </w:p>
          <w:p w14:paraId="0B5447D7" w14:textId="77777777" w:rsidR="007D45F3" w:rsidRPr="00FA02DE" w:rsidRDefault="007D45F3">
            <w:pPr>
              <w:rPr>
                <w:rFonts w:ascii="Cambria" w:eastAsia="Cambria" w:hAnsi="Cambria" w:cs="Cambria"/>
                <w:b/>
                <w:sz w:val="20"/>
                <w:szCs w:val="20"/>
                <w:lang w:val="en-US"/>
              </w:rPr>
            </w:pPr>
          </w:p>
          <w:p w14:paraId="3D6E7279" w14:textId="77777777" w:rsidR="007D45F3" w:rsidRPr="00FA02DE" w:rsidRDefault="007D45F3" w:rsidP="00FA02DE">
            <w:pPr>
              <w:rPr>
                <w:rFonts w:ascii="Cambria" w:eastAsia="Cambria" w:hAnsi="Cambria" w:cs="Cambria"/>
                <w:sz w:val="20"/>
                <w:szCs w:val="20"/>
                <w:lang w:val="en-US"/>
              </w:rPr>
            </w:pPr>
          </w:p>
        </w:tc>
        <w:tc>
          <w:tcPr>
            <w:tcW w:w="4650" w:type="dxa"/>
            <w:vAlign w:val="center"/>
          </w:tcPr>
          <w:p w14:paraId="2EE031A1" w14:textId="3167DA1F"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603A2FAE" w14:textId="69DCB93D" w:rsidR="007D45F3" w:rsidRPr="00FA02DE" w:rsidRDefault="007D45F3">
            <w:pPr>
              <w:rPr>
                <w:rFonts w:ascii="Cambria" w:eastAsia="Cambria" w:hAnsi="Cambria" w:cs="Cambria"/>
                <w:b/>
                <w:sz w:val="20"/>
                <w:szCs w:val="20"/>
                <w:lang w:val="en-US"/>
              </w:rPr>
            </w:pPr>
          </w:p>
          <w:p w14:paraId="54AB6E68" w14:textId="77777777" w:rsidR="007D45F3" w:rsidRPr="00FA02DE" w:rsidRDefault="007D45F3">
            <w:pPr>
              <w:rPr>
                <w:rFonts w:ascii="Cambria" w:eastAsia="Cambria" w:hAnsi="Cambria" w:cs="Cambria"/>
                <w:b/>
                <w:sz w:val="20"/>
                <w:szCs w:val="20"/>
                <w:lang w:val="en-US"/>
              </w:rPr>
            </w:pPr>
          </w:p>
          <w:p w14:paraId="4FB7817E" w14:textId="77777777" w:rsidR="007D45F3" w:rsidRPr="00FA02DE" w:rsidRDefault="007D45F3">
            <w:pPr>
              <w:rPr>
                <w:rFonts w:ascii="Cambria" w:eastAsia="Cambria" w:hAnsi="Cambria" w:cs="Cambria"/>
                <w:b/>
                <w:lang w:val="en-US"/>
              </w:rPr>
            </w:pPr>
          </w:p>
        </w:tc>
      </w:tr>
    </w:tbl>
    <w:p w14:paraId="09AF80EF" w14:textId="289D34C5" w:rsidR="00FA02DE" w:rsidRDefault="00C00A27" w:rsidP="00FA02DE">
      <w:pPr>
        <w:jc w:val="both"/>
        <w:rPr>
          <w:rFonts w:ascii="Cambria" w:eastAsia="Cambria" w:hAnsi="Cambria" w:cs="Cambria"/>
          <w:sz w:val="18"/>
          <w:szCs w:val="18"/>
          <w:lang w:val="en-US"/>
        </w:rPr>
      </w:pPr>
      <w:r w:rsidRPr="00FA02DE">
        <w:rPr>
          <w:rFonts w:ascii="Cambria" w:eastAsia="Cambria" w:hAnsi="Cambria" w:cs="Cambria"/>
          <w:sz w:val="18"/>
          <w:szCs w:val="18"/>
          <w:lang w:val="en-US"/>
        </w:rPr>
        <w:t>*</w:t>
      </w:r>
      <w:r w:rsidR="00FA02DE" w:rsidRPr="00FA02DE">
        <w:rPr>
          <w:rFonts w:ascii="Cambria" w:eastAsia="Cambria" w:hAnsi="Cambria" w:cs="Cambria"/>
          <w:sz w:val="18"/>
          <w:szCs w:val="18"/>
          <w:lang w:val="en-US"/>
        </w:rPr>
        <w:t xml:space="preserve">For further reference about the types of reparation measures, please see the </w:t>
      </w:r>
      <w:hyperlink r:id="rId12" w:history="1">
        <w:r w:rsidR="00FA02DE" w:rsidRPr="00FA02DE">
          <w:rPr>
            <w:rStyle w:val="Hyperlink"/>
            <w:rFonts w:ascii="Cambria" w:eastAsia="Cambria" w:hAnsi="Cambria" w:cs="Cambria"/>
            <w:sz w:val="18"/>
            <w:szCs w:val="18"/>
            <w:lang w:val="en-US"/>
          </w:rPr>
          <w:t>General Guidelines on the Follow-up of Recommendations and Decisions of the Inter-American Commission on Human Rights</w:t>
        </w:r>
      </w:hyperlink>
      <w:r w:rsidR="00FA02DE" w:rsidRPr="00FA02DE">
        <w:rPr>
          <w:rFonts w:ascii="Cambria" w:eastAsia="Cambria" w:hAnsi="Cambria" w:cs="Cambria"/>
          <w:sz w:val="18"/>
          <w:szCs w:val="18"/>
          <w:lang w:val="en-US"/>
        </w:rPr>
        <w:t>.</w:t>
      </w:r>
    </w:p>
    <w:p w14:paraId="31FE371E" w14:textId="77777777" w:rsidR="00FA02DE" w:rsidRPr="00FA02DE" w:rsidRDefault="00FA02DE" w:rsidP="00FA02DE">
      <w:pPr>
        <w:jc w:val="both"/>
        <w:rPr>
          <w:rFonts w:ascii="Cambria" w:eastAsia="Cambria" w:hAnsi="Cambria" w:cs="Cambria"/>
          <w:sz w:val="18"/>
          <w:szCs w:val="18"/>
          <w:lang w:val="en-US"/>
        </w:rPr>
      </w:pPr>
    </w:p>
    <w:p w14:paraId="2D17FB23" w14:textId="7BC56D92" w:rsidR="007D45F3" w:rsidRPr="00FA02DE" w:rsidRDefault="00FA02DE" w:rsidP="00FA02DE">
      <w:pPr>
        <w:numPr>
          <w:ilvl w:val="0"/>
          <w:numId w:val="3"/>
        </w:numPr>
        <w:pBdr>
          <w:top w:val="nil"/>
          <w:left w:val="nil"/>
          <w:bottom w:val="nil"/>
          <w:right w:val="nil"/>
          <w:between w:val="nil"/>
        </w:pBdr>
        <w:spacing w:after="0"/>
        <w:jc w:val="both"/>
        <w:rPr>
          <w:rFonts w:ascii="Cambria" w:eastAsia="Cambria" w:hAnsi="Cambria" w:cs="Cambria"/>
          <w:color w:val="000000"/>
          <w:lang w:val="en-US"/>
        </w:rPr>
      </w:pPr>
      <w:r w:rsidRPr="00FA02DE">
        <w:rPr>
          <w:rFonts w:ascii="Cambria" w:eastAsia="Cambria" w:hAnsi="Cambria" w:cs="Cambria"/>
          <w:color w:val="000000"/>
          <w:lang w:val="en-US"/>
        </w:rPr>
        <w:t xml:space="preserve">What </w:t>
      </w:r>
      <w:r w:rsidRPr="00FA02DE">
        <w:rPr>
          <w:rFonts w:ascii="Cambria" w:eastAsia="Cambria" w:hAnsi="Cambria" w:cs="Cambria"/>
          <w:b/>
          <w:bCs/>
          <w:color w:val="000000"/>
          <w:u w:val="single"/>
          <w:lang w:val="en-US"/>
        </w:rPr>
        <w:t>non-institutional</w:t>
      </w:r>
      <w:r w:rsidRPr="00FA02DE">
        <w:rPr>
          <w:rFonts w:ascii="Cambria" w:eastAsia="Cambria" w:hAnsi="Cambria" w:cs="Cambria"/>
          <w:color w:val="000000"/>
          <w:lang w:val="en-US"/>
        </w:rPr>
        <w:t xml:space="preserve"> measures and mechanisms has the organization promoted to push for compliance with the reparation orders issued by the IACHR and Inter-American Court of Human Rights?</w:t>
      </w:r>
      <w:r>
        <w:rPr>
          <w:rFonts w:ascii="Cambria" w:eastAsia="Cambria" w:hAnsi="Cambria" w:cs="Cambria"/>
          <w:color w:val="000000"/>
          <w:lang w:val="en-US"/>
        </w:rPr>
        <w:t xml:space="preserve"> </w:t>
      </w:r>
      <w:r w:rsidRPr="00FA02DE">
        <w:rPr>
          <w:rFonts w:ascii="Cambria" w:eastAsia="Cambria" w:hAnsi="Cambria" w:cs="Cambria"/>
          <w:color w:val="000000"/>
          <w:lang w:val="en-US"/>
        </w:rPr>
        <w:t xml:space="preserve">What results has </w:t>
      </w:r>
      <w:r w:rsidR="008C3E0D">
        <w:rPr>
          <w:rFonts w:ascii="Cambria" w:eastAsia="Cambria" w:hAnsi="Cambria" w:cs="Cambria"/>
          <w:color w:val="000000"/>
          <w:lang w:val="en-US"/>
        </w:rPr>
        <w:t>their</w:t>
      </w:r>
      <w:r w:rsidRPr="00FA02DE">
        <w:rPr>
          <w:rFonts w:ascii="Cambria" w:eastAsia="Cambria" w:hAnsi="Cambria" w:cs="Cambria"/>
          <w:color w:val="000000"/>
          <w:lang w:val="en-US"/>
        </w:rPr>
        <w:t xml:space="preserve"> activation or exhaustion produced? In your answer, please indicate the main results obtained</w:t>
      </w:r>
      <w:r>
        <w:rPr>
          <w:rFonts w:ascii="Cambria" w:eastAsia="Cambria" w:hAnsi="Cambria" w:cs="Cambria"/>
          <w:color w:val="000000"/>
          <w:lang w:val="en-US"/>
        </w:rPr>
        <w:t>.</w:t>
      </w:r>
      <w:r w:rsidR="00C00A27" w:rsidRPr="00FA02DE">
        <w:rPr>
          <w:rFonts w:ascii="Cambria" w:eastAsia="Cambria" w:hAnsi="Cambria" w:cs="Cambria"/>
          <w:color w:val="000000"/>
          <w:lang w:val="en-US"/>
        </w:rPr>
        <w:t xml:space="preserve"> </w:t>
      </w:r>
    </w:p>
    <w:p w14:paraId="510F5E3B" w14:textId="691BEA53" w:rsidR="007D45F3" w:rsidRPr="008C3E0D" w:rsidRDefault="007D45F3" w:rsidP="00FA02DE">
      <w:pPr>
        <w:pBdr>
          <w:top w:val="nil"/>
          <w:left w:val="nil"/>
          <w:bottom w:val="nil"/>
          <w:right w:val="nil"/>
          <w:between w:val="nil"/>
        </w:pBdr>
        <w:spacing w:after="0"/>
        <w:jc w:val="both"/>
        <w:rPr>
          <w:rFonts w:ascii="Cambria" w:eastAsia="Cambria" w:hAnsi="Cambria" w:cs="Cambria"/>
          <w:i/>
          <w:color w:val="000000"/>
          <w:sz w:val="20"/>
          <w:szCs w:val="20"/>
          <w:lang w:val="en-US"/>
        </w:rPr>
      </w:pPr>
    </w:p>
    <w:p w14:paraId="6EF972F4" w14:textId="67D70081" w:rsidR="00FA02DE" w:rsidRPr="00FA02DE" w:rsidRDefault="00FA02DE" w:rsidP="00FA02DE">
      <w:pPr>
        <w:pBdr>
          <w:top w:val="nil"/>
          <w:left w:val="nil"/>
          <w:bottom w:val="nil"/>
          <w:right w:val="nil"/>
          <w:between w:val="nil"/>
        </w:pBdr>
        <w:ind w:left="1350"/>
        <w:jc w:val="both"/>
        <w:rPr>
          <w:rFonts w:ascii="Cambria" w:eastAsia="Cambria" w:hAnsi="Cambria" w:cs="Cambria"/>
          <w:i/>
          <w:color w:val="000000"/>
          <w:sz w:val="20"/>
          <w:szCs w:val="20"/>
          <w:lang w:val="en-US"/>
        </w:rPr>
      </w:pPr>
      <w:r>
        <w:rPr>
          <w:rFonts w:ascii="Cambria" w:eastAsia="Cambria" w:hAnsi="Cambria" w:cs="Cambria"/>
          <w:i/>
          <w:color w:val="000000"/>
          <w:sz w:val="20"/>
          <w:szCs w:val="20"/>
          <w:lang w:val="en-US"/>
        </w:rPr>
        <w:t>Non-</w:t>
      </w:r>
      <w:r w:rsidRPr="00FA02DE">
        <w:rPr>
          <w:rFonts w:ascii="Cambria" w:eastAsia="Cambria" w:hAnsi="Cambria" w:cs="Cambria"/>
          <w:i/>
          <w:color w:val="000000"/>
          <w:sz w:val="20"/>
          <w:szCs w:val="20"/>
          <w:lang w:val="en-US"/>
        </w:rPr>
        <w:t xml:space="preserve">Institutional measures and mechanisms shall be understood as </w:t>
      </w:r>
      <w:r>
        <w:rPr>
          <w:rFonts w:ascii="Cambria" w:eastAsia="Cambria" w:hAnsi="Cambria" w:cs="Cambria"/>
          <w:i/>
          <w:color w:val="000000"/>
          <w:sz w:val="20"/>
          <w:szCs w:val="20"/>
          <w:lang w:val="en-US"/>
        </w:rPr>
        <w:t>in</w:t>
      </w:r>
      <w:r w:rsidRPr="00FA02DE">
        <w:rPr>
          <w:rFonts w:ascii="Cambria" w:eastAsia="Cambria" w:hAnsi="Cambria" w:cs="Cambria"/>
          <w:i/>
          <w:color w:val="000000"/>
          <w:sz w:val="20"/>
          <w:szCs w:val="20"/>
          <w:lang w:val="en-US"/>
        </w:rPr>
        <w:t>formal actions and proces</w:t>
      </w:r>
      <w:r>
        <w:rPr>
          <w:rFonts w:ascii="Cambria" w:eastAsia="Cambria" w:hAnsi="Cambria" w:cs="Cambria"/>
          <w:i/>
          <w:color w:val="000000"/>
          <w:sz w:val="20"/>
          <w:szCs w:val="20"/>
          <w:lang w:val="en-US"/>
        </w:rPr>
        <w:t>s</w:t>
      </w:r>
      <w:r w:rsidRPr="00FA02DE">
        <w:rPr>
          <w:rFonts w:ascii="Cambria" w:eastAsia="Cambria" w:hAnsi="Cambria" w:cs="Cambria"/>
          <w:i/>
          <w:color w:val="000000"/>
          <w:sz w:val="20"/>
          <w:szCs w:val="20"/>
          <w:lang w:val="en-US"/>
        </w:rPr>
        <w:t>es</w:t>
      </w:r>
      <w:r>
        <w:rPr>
          <w:rFonts w:ascii="Cambria" w:eastAsia="Cambria" w:hAnsi="Cambria" w:cs="Cambria"/>
          <w:i/>
          <w:color w:val="000000"/>
          <w:sz w:val="20"/>
          <w:szCs w:val="20"/>
          <w:lang w:val="en-US"/>
        </w:rPr>
        <w:t xml:space="preserve"> that, at the initiative of the State or organization, are established as an integral part of the process of implementation of international decisions</w:t>
      </w:r>
      <w:r w:rsidR="008C3E0D">
        <w:rPr>
          <w:rFonts w:ascii="Cambria" w:eastAsia="Cambria" w:hAnsi="Cambria" w:cs="Cambria"/>
          <w:i/>
          <w:color w:val="000000"/>
          <w:sz w:val="20"/>
          <w:szCs w:val="20"/>
          <w:lang w:val="en-US"/>
        </w:rPr>
        <w:t>,</w:t>
      </w:r>
      <w:r>
        <w:rPr>
          <w:rFonts w:ascii="Cambria" w:eastAsia="Cambria" w:hAnsi="Cambria" w:cs="Cambria"/>
          <w:i/>
          <w:color w:val="000000"/>
          <w:sz w:val="20"/>
          <w:szCs w:val="20"/>
          <w:lang w:val="en-US"/>
        </w:rPr>
        <w:t xml:space="preserve"> as to ensure compliance with reparation measures ordered by the IACHR and other supervisory bodies and mechanisms. For example, this category includes aspects like the establishment of special investigation commissions, ad hoc tribunals, the signing of compliance agreements and memorandum of understanding, working groups, special hearings, relationship with other international mechanisms, social demonstrations, etc. </w:t>
      </w:r>
    </w:p>
    <w:tbl>
      <w:tblPr>
        <w:tblStyle w:val="a0"/>
        <w:tblW w:w="9300" w:type="dxa"/>
        <w:tblBorders>
          <w:top w:val="single" w:sz="24" w:space="0" w:color="D9D9D9"/>
          <w:left w:val="single" w:sz="24" w:space="0" w:color="D9D9D9"/>
          <w:bottom w:val="single" w:sz="24" w:space="0" w:color="D9D9D9"/>
          <w:right w:val="single" w:sz="24" w:space="0" w:color="D9D9D9"/>
          <w:insideH w:val="single" w:sz="24" w:space="0" w:color="D9D9D9"/>
          <w:insideV w:val="single" w:sz="24" w:space="0" w:color="D9D9D9"/>
        </w:tblBorders>
        <w:tblLayout w:type="fixed"/>
        <w:tblLook w:val="0400" w:firstRow="0" w:lastRow="0" w:firstColumn="0" w:lastColumn="0" w:noHBand="0" w:noVBand="1"/>
      </w:tblPr>
      <w:tblGrid>
        <w:gridCol w:w="4650"/>
        <w:gridCol w:w="4650"/>
      </w:tblGrid>
      <w:tr w:rsidR="007D45F3" w:rsidRPr="00CC4B91" w14:paraId="04C1E60F" w14:textId="77777777">
        <w:trPr>
          <w:trHeight w:val="703"/>
        </w:trPr>
        <w:tc>
          <w:tcPr>
            <w:tcW w:w="9300" w:type="dxa"/>
            <w:gridSpan w:val="2"/>
            <w:shd w:val="clear" w:color="auto" w:fill="808080"/>
            <w:vAlign w:val="center"/>
          </w:tcPr>
          <w:p w14:paraId="559EDBEB" w14:textId="76A8786E" w:rsidR="007D45F3" w:rsidRPr="00FA02DE" w:rsidRDefault="00C00A27">
            <w:pPr>
              <w:jc w:val="center"/>
              <w:rPr>
                <w:rFonts w:ascii="Cambria" w:eastAsia="Cambria" w:hAnsi="Cambria" w:cs="Cambria"/>
                <w:b/>
                <w:color w:val="FFFFFF"/>
                <w:lang w:val="en-US"/>
              </w:rPr>
            </w:pPr>
            <w:r w:rsidRPr="00FA02DE">
              <w:rPr>
                <w:rFonts w:ascii="Cambria" w:eastAsia="Cambria" w:hAnsi="Cambria" w:cs="Cambria"/>
                <w:b/>
                <w:color w:val="FFFFFF"/>
                <w:lang w:val="en-US"/>
              </w:rPr>
              <w:t>T</w:t>
            </w:r>
            <w:r w:rsidR="00FA02DE" w:rsidRPr="00FA02DE">
              <w:rPr>
                <w:rFonts w:ascii="Cambria" w:eastAsia="Cambria" w:hAnsi="Cambria" w:cs="Cambria"/>
                <w:b/>
                <w:color w:val="FFFFFF"/>
                <w:lang w:val="en-US"/>
              </w:rPr>
              <w:t>ype of measure</w:t>
            </w:r>
          </w:p>
          <w:p w14:paraId="4A67A215" w14:textId="5B2495B6" w:rsidR="007D45F3" w:rsidRPr="00FA02DE" w:rsidRDefault="00FA02DE">
            <w:pPr>
              <w:jc w:val="center"/>
              <w:rPr>
                <w:rFonts w:ascii="Cambria" w:eastAsia="Cambria" w:hAnsi="Cambria" w:cs="Cambria"/>
                <w:b/>
                <w:color w:val="FFFFFF"/>
                <w:lang w:val="en-US"/>
              </w:rPr>
            </w:pPr>
            <w:r w:rsidRPr="00FA02DE">
              <w:rPr>
                <w:rFonts w:ascii="Cambria" w:eastAsia="Cambria" w:hAnsi="Cambria" w:cs="Cambria"/>
                <w:b/>
                <w:color w:val="FFFFFF"/>
                <w:lang w:val="en-US"/>
              </w:rPr>
              <w:t>Non-Institutional Mechanisms</w:t>
            </w:r>
          </w:p>
        </w:tc>
      </w:tr>
      <w:tr w:rsidR="007D45F3" w:rsidRPr="00CC4B91" w14:paraId="6B325161" w14:textId="77777777">
        <w:trPr>
          <w:trHeight w:val="124"/>
        </w:trPr>
        <w:tc>
          <w:tcPr>
            <w:tcW w:w="4650" w:type="dxa"/>
            <w:shd w:val="clear" w:color="auto" w:fill="F2F2F2"/>
            <w:vAlign w:val="center"/>
          </w:tcPr>
          <w:p w14:paraId="1DA38C8B" w14:textId="7CA46BDF" w:rsidR="007D45F3" w:rsidRPr="00FA02DE" w:rsidRDefault="00FA02DE">
            <w:pPr>
              <w:rPr>
                <w:rFonts w:ascii="Cambria" w:eastAsia="Cambria" w:hAnsi="Cambria" w:cs="Cambria"/>
                <w:b/>
                <w:sz w:val="21"/>
                <w:szCs w:val="21"/>
                <w:lang w:val="en-US"/>
              </w:rPr>
            </w:pPr>
            <w:r w:rsidRPr="00FA02DE">
              <w:rPr>
                <w:rFonts w:ascii="Cambria" w:eastAsia="Cambria" w:hAnsi="Cambria" w:cs="Cambria"/>
                <w:b/>
                <w:sz w:val="21"/>
                <w:szCs w:val="21"/>
                <w:lang w:val="en-US"/>
              </w:rPr>
              <w:t>Compensation</w:t>
            </w:r>
          </w:p>
          <w:p w14:paraId="265361BA" w14:textId="4CD1C050" w:rsidR="007D45F3" w:rsidRPr="00FA02DE" w:rsidRDefault="00FA02DE">
            <w:pPr>
              <w:jc w:val="both"/>
              <w:rPr>
                <w:rFonts w:ascii="Cambria" w:eastAsia="Cambria" w:hAnsi="Cambria" w:cs="Cambria"/>
                <w:lang w:val="en-US"/>
              </w:rPr>
            </w:pPr>
            <w:r w:rsidRPr="00FA02DE">
              <w:rPr>
                <w:rFonts w:ascii="Cambria" w:eastAsia="Cambria" w:hAnsi="Cambria" w:cs="Cambria"/>
                <w:sz w:val="16"/>
                <w:szCs w:val="16"/>
                <w:lang w:val="en-US"/>
              </w:rPr>
              <w:t>Examples: granting of financial resources, provision of non-pecuniary material elements, up</w:t>
            </w:r>
            <w:r>
              <w:rPr>
                <w:rFonts w:ascii="Cambria" w:eastAsia="Cambria" w:hAnsi="Cambria" w:cs="Cambria"/>
                <w:sz w:val="16"/>
                <w:szCs w:val="16"/>
                <w:lang w:val="en-US"/>
              </w:rPr>
              <w:t>d</w:t>
            </w:r>
            <w:r w:rsidRPr="00FA02DE">
              <w:rPr>
                <w:rFonts w:ascii="Cambria" w:eastAsia="Cambria" w:hAnsi="Cambria" w:cs="Cambria"/>
                <w:sz w:val="16"/>
                <w:szCs w:val="16"/>
                <w:lang w:val="en-US"/>
              </w:rPr>
              <w:t>a</w:t>
            </w:r>
            <w:r>
              <w:rPr>
                <w:rFonts w:ascii="Cambria" w:eastAsia="Cambria" w:hAnsi="Cambria" w:cs="Cambria"/>
                <w:sz w:val="16"/>
                <w:szCs w:val="16"/>
                <w:lang w:val="en-US"/>
              </w:rPr>
              <w:t>t</w:t>
            </w:r>
            <w:r w:rsidRPr="00FA02DE">
              <w:rPr>
                <w:rFonts w:ascii="Cambria" w:eastAsia="Cambria" w:hAnsi="Cambria" w:cs="Cambria"/>
                <w:sz w:val="16"/>
                <w:szCs w:val="16"/>
                <w:lang w:val="en-US"/>
              </w:rPr>
              <w:t>ing of compensation</w:t>
            </w:r>
          </w:p>
        </w:tc>
        <w:tc>
          <w:tcPr>
            <w:tcW w:w="4650" w:type="dxa"/>
            <w:shd w:val="clear" w:color="auto" w:fill="F2F2F2"/>
          </w:tcPr>
          <w:p w14:paraId="67D8DD02" w14:textId="262D4D62" w:rsidR="007D45F3" w:rsidRPr="00FA02DE" w:rsidRDefault="00C00A27">
            <w:pPr>
              <w:rPr>
                <w:rFonts w:ascii="Cambria" w:eastAsia="Cambria" w:hAnsi="Cambria" w:cs="Cambria"/>
                <w:b/>
                <w:sz w:val="21"/>
                <w:szCs w:val="21"/>
                <w:lang w:val="en-US"/>
              </w:rPr>
            </w:pPr>
            <w:r w:rsidRPr="00FA02DE">
              <w:rPr>
                <w:rFonts w:ascii="Cambria" w:eastAsia="Cambria" w:hAnsi="Cambria" w:cs="Cambria"/>
                <w:b/>
                <w:sz w:val="21"/>
                <w:szCs w:val="21"/>
                <w:lang w:val="en-US"/>
              </w:rPr>
              <w:t>Restitu</w:t>
            </w:r>
            <w:r w:rsidR="00FA02DE" w:rsidRPr="00FA02DE">
              <w:rPr>
                <w:rFonts w:ascii="Cambria" w:eastAsia="Cambria" w:hAnsi="Cambria" w:cs="Cambria"/>
                <w:b/>
                <w:sz w:val="21"/>
                <w:szCs w:val="21"/>
                <w:lang w:val="en-US"/>
              </w:rPr>
              <w:t>tion</w:t>
            </w:r>
          </w:p>
          <w:p w14:paraId="05A377A9" w14:textId="06705F41" w:rsidR="007D45F3" w:rsidRPr="00FA02DE" w:rsidRDefault="00FA02DE">
            <w:pPr>
              <w:jc w:val="both"/>
              <w:rPr>
                <w:rFonts w:ascii="Cambria" w:eastAsia="Cambria" w:hAnsi="Cambria" w:cs="Cambria"/>
                <w:lang w:val="en-US"/>
              </w:rPr>
            </w:pPr>
            <w:r w:rsidRPr="00FA02DE">
              <w:rPr>
                <w:rFonts w:ascii="Cambria" w:eastAsia="Cambria" w:hAnsi="Cambria" w:cs="Cambria"/>
                <w:sz w:val="16"/>
                <w:szCs w:val="16"/>
                <w:lang w:val="en-US"/>
              </w:rPr>
              <w:t>Examples: restoration of freedom, return to the place of origin, return of property, reinstatement of employment, issuance of identity documents.</w:t>
            </w:r>
          </w:p>
        </w:tc>
      </w:tr>
      <w:tr w:rsidR="007D45F3" w:rsidRPr="00FA02DE" w14:paraId="77AD33A7" w14:textId="77777777">
        <w:trPr>
          <w:trHeight w:val="124"/>
        </w:trPr>
        <w:tc>
          <w:tcPr>
            <w:tcW w:w="4650" w:type="dxa"/>
            <w:vAlign w:val="center"/>
          </w:tcPr>
          <w:p w14:paraId="3B34699A"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Measures and mechanisms deployed</w:t>
            </w:r>
          </w:p>
          <w:p w14:paraId="463C8768" w14:textId="77777777" w:rsidR="007D45F3" w:rsidRPr="00FA02DE" w:rsidRDefault="007D45F3">
            <w:pPr>
              <w:rPr>
                <w:rFonts w:ascii="Cambria" w:eastAsia="Cambria" w:hAnsi="Cambria" w:cs="Cambria"/>
                <w:b/>
                <w:lang w:val="en-US"/>
              </w:rPr>
            </w:pPr>
          </w:p>
          <w:p w14:paraId="1B2376CD" w14:textId="77777777" w:rsidR="007D45F3" w:rsidRPr="00FA02DE" w:rsidRDefault="007D45F3">
            <w:pPr>
              <w:rPr>
                <w:rFonts w:ascii="Cambria" w:eastAsia="Cambria" w:hAnsi="Cambria" w:cs="Cambria"/>
                <w:b/>
                <w:lang w:val="en-US"/>
              </w:rPr>
            </w:pPr>
          </w:p>
          <w:p w14:paraId="3A915E08" w14:textId="77777777" w:rsidR="007D45F3" w:rsidRPr="00FA02DE" w:rsidRDefault="007D45F3">
            <w:pPr>
              <w:rPr>
                <w:rFonts w:ascii="Cambria" w:eastAsia="Cambria" w:hAnsi="Cambria" w:cs="Cambria"/>
                <w:b/>
                <w:lang w:val="en-US"/>
              </w:rPr>
            </w:pPr>
          </w:p>
        </w:tc>
        <w:tc>
          <w:tcPr>
            <w:tcW w:w="4650" w:type="dxa"/>
          </w:tcPr>
          <w:p w14:paraId="64C41B79"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Measures and mechanisms deployed</w:t>
            </w:r>
          </w:p>
          <w:p w14:paraId="7283DE5D" w14:textId="77777777" w:rsidR="007D45F3" w:rsidRPr="00FA02DE" w:rsidRDefault="007D45F3">
            <w:pPr>
              <w:rPr>
                <w:rFonts w:ascii="Cambria" w:eastAsia="Cambria" w:hAnsi="Cambria" w:cs="Cambria"/>
                <w:b/>
                <w:sz w:val="20"/>
                <w:szCs w:val="20"/>
                <w:lang w:val="en-US"/>
              </w:rPr>
            </w:pPr>
          </w:p>
          <w:p w14:paraId="55F6C9EC" w14:textId="77777777" w:rsidR="007D45F3" w:rsidRPr="00FA02DE" w:rsidRDefault="007D45F3" w:rsidP="00FA02DE">
            <w:pPr>
              <w:rPr>
                <w:rFonts w:ascii="Cambria" w:eastAsia="Cambria" w:hAnsi="Cambria" w:cs="Cambria"/>
                <w:lang w:val="en-US"/>
              </w:rPr>
            </w:pPr>
          </w:p>
        </w:tc>
      </w:tr>
      <w:tr w:rsidR="007D45F3" w:rsidRPr="00FA02DE" w14:paraId="14152EE3" w14:textId="77777777">
        <w:trPr>
          <w:trHeight w:val="124"/>
        </w:trPr>
        <w:tc>
          <w:tcPr>
            <w:tcW w:w="4650" w:type="dxa"/>
            <w:vAlign w:val="center"/>
          </w:tcPr>
          <w:p w14:paraId="62EDF90C"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4C94DA36" w14:textId="77777777" w:rsidR="007D45F3" w:rsidRPr="00FA02DE" w:rsidRDefault="007D45F3">
            <w:pPr>
              <w:rPr>
                <w:rFonts w:ascii="Cambria" w:eastAsia="Cambria" w:hAnsi="Cambria" w:cs="Cambria"/>
                <w:b/>
                <w:lang w:val="en-US"/>
              </w:rPr>
            </w:pPr>
          </w:p>
          <w:p w14:paraId="058434B2" w14:textId="77777777" w:rsidR="007D45F3" w:rsidRPr="00FA02DE" w:rsidRDefault="007D45F3">
            <w:pPr>
              <w:rPr>
                <w:rFonts w:ascii="Cambria" w:eastAsia="Cambria" w:hAnsi="Cambria" w:cs="Cambria"/>
                <w:b/>
                <w:lang w:val="en-US"/>
              </w:rPr>
            </w:pPr>
          </w:p>
          <w:p w14:paraId="3BE63EE5" w14:textId="77777777" w:rsidR="007D45F3" w:rsidRPr="00FA02DE" w:rsidRDefault="007D45F3">
            <w:pPr>
              <w:rPr>
                <w:rFonts w:ascii="Cambria" w:eastAsia="Cambria" w:hAnsi="Cambria" w:cs="Cambria"/>
                <w:b/>
                <w:lang w:val="en-US"/>
              </w:rPr>
            </w:pPr>
          </w:p>
        </w:tc>
        <w:tc>
          <w:tcPr>
            <w:tcW w:w="4650" w:type="dxa"/>
          </w:tcPr>
          <w:p w14:paraId="1E84AD02"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4189ACCB" w14:textId="77777777" w:rsidR="007D45F3" w:rsidRPr="00FA02DE" w:rsidRDefault="007D45F3">
            <w:pPr>
              <w:rPr>
                <w:rFonts w:ascii="Cambria" w:eastAsia="Cambria" w:hAnsi="Cambria" w:cs="Cambria"/>
                <w:b/>
                <w:lang w:val="en-US"/>
              </w:rPr>
            </w:pPr>
          </w:p>
          <w:p w14:paraId="53418842" w14:textId="77777777" w:rsidR="007D45F3" w:rsidRPr="00FA02DE" w:rsidRDefault="007D45F3" w:rsidP="00FA02DE">
            <w:pPr>
              <w:rPr>
                <w:rFonts w:ascii="Cambria" w:eastAsia="Cambria" w:hAnsi="Cambria" w:cs="Cambria"/>
                <w:b/>
                <w:lang w:val="en-US"/>
              </w:rPr>
            </w:pPr>
          </w:p>
        </w:tc>
      </w:tr>
      <w:tr w:rsidR="007D45F3" w:rsidRPr="00CC4B91" w14:paraId="7A19132B" w14:textId="77777777">
        <w:trPr>
          <w:trHeight w:val="113"/>
        </w:trPr>
        <w:tc>
          <w:tcPr>
            <w:tcW w:w="4650" w:type="dxa"/>
            <w:shd w:val="clear" w:color="auto" w:fill="F2F2F2"/>
            <w:vAlign w:val="center"/>
          </w:tcPr>
          <w:p w14:paraId="0BB464F4" w14:textId="1CAF7C42" w:rsidR="007D45F3" w:rsidRPr="00FA02DE" w:rsidRDefault="00C00A27">
            <w:pPr>
              <w:rPr>
                <w:rFonts w:ascii="Cambria" w:eastAsia="Cambria" w:hAnsi="Cambria" w:cs="Cambria"/>
                <w:b/>
                <w:lang w:val="en-US"/>
              </w:rPr>
            </w:pPr>
            <w:r w:rsidRPr="00FA02DE">
              <w:rPr>
                <w:rFonts w:ascii="Cambria" w:eastAsia="Cambria" w:hAnsi="Cambria" w:cs="Cambria"/>
                <w:b/>
                <w:lang w:val="en-US"/>
              </w:rPr>
              <w:t>Satisfac</w:t>
            </w:r>
            <w:r w:rsidR="00FA02DE" w:rsidRPr="00FA02DE">
              <w:rPr>
                <w:rFonts w:ascii="Cambria" w:eastAsia="Cambria" w:hAnsi="Cambria" w:cs="Cambria"/>
                <w:b/>
                <w:lang w:val="en-US"/>
              </w:rPr>
              <w:t>tion</w:t>
            </w:r>
          </w:p>
          <w:p w14:paraId="229197BE" w14:textId="25CB9E65" w:rsidR="007D45F3" w:rsidRPr="00FA02DE" w:rsidRDefault="00FA02DE">
            <w:pPr>
              <w:rPr>
                <w:rFonts w:ascii="Cambria" w:eastAsia="Cambria" w:hAnsi="Cambria" w:cs="Cambria"/>
                <w:lang w:val="en-US"/>
              </w:rPr>
            </w:pPr>
            <w:r w:rsidRPr="00FA02DE">
              <w:rPr>
                <w:rFonts w:ascii="Cambria" w:eastAsia="Cambria" w:hAnsi="Cambria" w:cs="Cambria"/>
                <w:sz w:val="16"/>
                <w:szCs w:val="16"/>
                <w:lang w:val="en-US"/>
              </w:rPr>
              <w:lastRenderedPageBreak/>
              <w:t>Examples: acts of a</w:t>
            </w:r>
            <w:r>
              <w:rPr>
                <w:rFonts w:ascii="Cambria" w:eastAsia="Cambria" w:hAnsi="Cambria" w:cs="Cambria"/>
                <w:sz w:val="16"/>
                <w:szCs w:val="16"/>
                <w:lang w:val="en-US"/>
              </w:rPr>
              <w:t>c</w:t>
            </w:r>
            <w:r w:rsidRPr="00FA02DE">
              <w:rPr>
                <w:rFonts w:ascii="Cambria" w:eastAsia="Cambria" w:hAnsi="Cambria" w:cs="Cambria"/>
                <w:sz w:val="16"/>
                <w:szCs w:val="16"/>
                <w:lang w:val="en-US"/>
              </w:rPr>
              <w:t>knowledgement of responsibility and public apologies, construction of buildings and tributes.</w:t>
            </w:r>
          </w:p>
        </w:tc>
        <w:tc>
          <w:tcPr>
            <w:tcW w:w="4650" w:type="dxa"/>
            <w:shd w:val="clear" w:color="auto" w:fill="F2F2F2"/>
          </w:tcPr>
          <w:p w14:paraId="46772938" w14:textId="6C7C80C6" w:rsidR="007D45F3" w:rsidRPr="00FA02DE" w:rsidRDefault="00C00A27">
            <w:pPr>
              <w:rPr>
                <w:rFonts w:ascii="Cambria" w:eastAsia="Cambria" w:hAnsi="Cambria" w:cs="Cambria"/>
                <w:b/>
                <w:lang w:val="en-US"/>
              </w:rPr>
            </w:pPr>
            <w:r w:rsidRPr="00FA02DE">
              <w:rPr>
                <w:rFonts w:ascii="Cambria" w:eastAsia="Cambria" w:hAnsi="Cambria" w:cs="Cambria"/>
                <w:b/>
                <w:lang w:val="en-US"/>
              </w:rPr>
              <w:lastRenderedPageBreak/>
              <w:t>Investiga</w:t>
            </w:r>
            <w:r w:rsidR="00FA02DE" w:rsidRPr="00FA02DE">
              <w:rPr>
                <w:rFonts w:ascii="Cambria" w:eastAsia="Cambria" w:hAnsi="Cambria" w:cs="Cambria"/>
                <w:b/>
                <w:lang w:val="en-US"/>
              </w:rPr>
              <w:t>tion</w:t>
            </w:r>
            <w:r w:rsidRPr="00FA02DE">
              <w:rPr>
                <w:rFonts w:ascii="Cambria" w:eastAsia="Cambria" w:hAnsi="Cambria" w:cs="Cambria"/>
                <w:b/>
                <w:lang w:val="en-US"/>
              </w:rPr>
              <w:t xml:space="preserve"> </w:t>
            </w:r>
          </w:p>
          <w:p w14:paraId="647510F9" w14:textId="45182C09" w:rsidR="007D45F3" w:rsidRPr="00FA02DE" w:rsidRDefault="00FA02DE">
            <w:pPr>
              <w:jc w:val="both"/>
              <w:rPr>
                <w:rFonts w:ascii="Cambria" w:eastAsia="Cambria" w:hAnsi="Cambria" w:cs="Cambria"/>
                <w:sz w:val="16"/>
                <w:szCs w:val="16"/>
                <w:lang w:val="en-US"/>
              </w:rPr>
            </w:pPr>
            <w:r w:rsidRPr="00FA02DE">
              <w:rPr>
                <w:rFonts w:ascii="Cambria" w:eastAsia="Cambria" w:hAnsi="Cambria" w:cs="Cambria"/>
                <w:sz w:val="16"/>
                <w:szCs w:val="16"/>
                <w:lang w:val="en-US"/>
              </w:rPr>
              <w:lastRenderedPageBreak/>
              <w:t>Examples: opening and continuation of investigations, non-application of amnesty laws and statute of limitation measures, localization and restitution of remains.</w:t>
            </w:r>
          </w:p>
        </w:tc>
      </w:tr>
      <w:tr w:rsidR="007D45F3" w:rsidRPr="00FA02DE" w14:paraId="11FFD36A" w14:textId="77777777">
        <w:trPr>
          <w:trHeight w:val="113"/>
        </w:trPr>
        <w:tc>
          <w:tcPr>
            <w:tcW w:w="4650" w:type="dxa"/>
            <w:vAlign w:val="center"/>
          </w:tcPr>
          <w:p w14:paraId="2F015C59" w14:textId="3FD222FC" w:rsidR="007D45F3" w:rsidRPr="00FA02DE" w:rsidRDefault="00C00A27">
            <w:pPr>
              <w:rPr>
                <w:rFonts w:ascii="Cambria" w:eastAsia="Cambria" w:hAnsi="Cambria" w:cs="Cambria"/>
                <w:b/>
                <w:sz w:val="20"/>
                <w:szCs w:val="20"/>
                <w:lang w:val="en-US"/>
              </w:rPr>
            </w:pPr>
            <w:r w:rsidRPr="00FA02DE">
              <w:rPr>
                <w:rFonts w:ascii="Cambria" w:eastAsia="Cambria" w:hAnsi="Cambria" w:cs="Cambria"/>
                <w:b/>
                <w:sz w:val="20"/>
                <w:szCs w:val="20"/>
                <w:lang w:val="en-US"/>
              </w:rPr>
              <w:lastRenderedPageBreak/>
              <w:t>Me</w:t>
            </w:r>
            <w:r w:rsidR="00FA02DE" w:rsidRPr="00FA02DE">
              <w:rPr>
                <w:rFonts w:ascii="Cambria" w:eastAsia="Cambria" w:hAnsi="Cambria" w:cs="Cambria"/>
                <w:b/>
                <w:sz w:val="20"/>
                <w:szCs w:val="20"/>
                <w:lang w:val="en-US"/>
              </w:rPr>
              <w:t>asures and mechanisms deployed</w:t>
            </w:r>
          </w:p>
          <w:p w14:paraId="5FD74225" w14:textId="77777777" w:rsidR="007D45F3" w:rsidRPr="00FA02DE" w:rsidRDefault="007D45F3">
            <w:pPr>
              <w:rPr>
                <w:rFonts w:ascii="Cambria" w:eastAsia="Cambria" w:hAnsi="Cambria" w:cs="Cambria"/>
                <w:b/>
                <w:lang w:val="en-US"/>
              </w:rPr>
            </w:pPr>
          </w:p>
          <w:p w14:paraId="60115D08" w14:textId="77777777" w:rsidR="007D45F3" w:rsidRPr="00FA02DE" w:rsidRDefault="007D45F3">
            <w:pPr>
              <w:rPr>
                <w:rFonts w:ascii="Cambria" w:eastAsia="Cambria" w:hAnsi="Cambria" w:cs="Cambria"/>
                <w:b/>
                <w:lang w:val="en-US"/>
              </w:rPr>
            </w:pPr>
          </w:p>
          <w:p w14:paraId="152AE2B6" w14:textId="77777777" w:rsidR="007D45F3" w:rsidRPr="00FA02DE" w:rsidRDefault="007D45F3">
            <w:pPr>
              <w:rPr>
                <w:rFonts w:ascii="Cambria" w:eastAsia="Cambria" w:hAnsi="Cambria" w:cs="Cambria"/>
                <w:b/>
                <w:lang w:val="en-US"/>
              </w:rPr>
            </w:pPr>
          </w:p>
        </w:tc>
        <w:tc>
          <w:tcPr>
            <w:tcW w:w="4650" w:type="dxa"/>
          </w:tcPr>
          <w:p w14:paraId="1C118C14"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Measures and mechanisms deployed</w:t>
            </w:r>
          </w:p>
          <w:p w14:paraId="4E5AF1EC" w14:textId="77777777" w:rsidR="007D45F3" w:rsidRPr="00FA02DE" w:rsidRDefault="007D45F3">
            <w:pPr>
              <w:rPr>
                <w:rFonts w:ascii="Cambria" w:eastAsia="Cambria" w:hAnsi="Cambria" w:cs="Cambria"/>
                <w:b/>
                <w:lang w:val="en-US"/>
              </w:rPr>
            </w:pPr>
          </w:p>
        </w:tc>
      </w:tr>
      <w:tr w:rsidR="007D45F3" w:rsidRPr="00FA02DE" w14:paraId="7B48E2EF" w14:textId="77777777">
        <w:trPr>
          <w:trHeight w:val="113"/>
        </w:trPr>
        <w:tc>
          <w:tcPr>
            <w:tcW w:w="4650" w:type="dxa"/>
            <w:vAlign w:val="center"/>
          </w:tcPr>
          <w:p w14:paraId="731C6368"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77EDF29E" w14:textId="77777777" w:rsidR="007D45F3" w:rsidRPr="00FA02DE" w:rsidRDefault="007D45F3">
            <w:pPr>
              <w:rPr>
                <w:rFonts w:ascii="Cambria" w:eastAsia="Cambria" w:hAnsi="Cambria" w:cs="Cambria"/>
                <w:b/>
                <w:lang w:val="en-US"/>
              </w:rPr>
            </w:pPr>
          </w:p>
          <w:p w14:paraId="7E8182C4" w14:textId="77777777" w:rsidR="007D45F3" w:rsidRPr="00FA02DE" w:rsidRDefault="007D45F3">
            <w:pPr>
              <w:rPr>
                <w:rFonts w:ascii="Cambria" w:eastAsia="Cambria" w:hAnsi="Cambria" w:cs="Cambria"/>
                <w:b/>
                <w:lang w:val="en-US"/>
              </w:rPr>
            </w:pPr>
          </w:p>
          <w:p w14:paraId="4982A4A5" w14:textId="77777777" w:rsidR="007D45F3" w:rsidRPr="00FA02DE" w:rsidRDefault="007D45F3">
            <w:pPr>
              <w:rPr>
                <w:rFonts w:ascii="Cambria" w:eastAsia="Cambria" w:hAnsi="Cambria" w:cs="Cambria"/>
                <w:b/>
                <w:lang w:val="en-US"/>
              </w:rPr>
            </w:pPr>
          </w:p>
        </w:tc>
        <w:tc>
          <w:tcPr>
            <w:tcW w:w="4650" w:type="dxa"/>
          </w:tcPr>
          <w:p w14:paraId="63920024"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127DB301" w14:textId="77777777" w:rsidR="007D45F3" w:rsidRPr="00FA02DE" w:rsidRDefault="007D45F3">
            <w:pPr>
              <w:rPr>
                <w:rFonts w:ascii="Cambria" w:eastAsia="Cambria" w:hAnsi="Cambria" w:cs="Cambria"/>
                <w:b/>
                <w:lang w:val="en-US"/>
              </w:rPr>
            </w:pPr>
          </w:p>
        </w:tc>
      </w:tr>
      <w:tr w:rsidR="007D45F3" w:rsidRPr="00CC4B91" w14:paraId="6FD51D37" w14:textId="77777777">
        <w:trPr>
          <w:trHeight w:val="133"/>
        </w:trPr>
        <w:tc>
          <w:tcPr>
            <w:tcW w:w="9300" w:type="dxa"/>
            <w:gridSpan w:val="2"/>
            <w:shd w:val="clear" w:color="auto" w:fill="F2F2F2"/>
            <w:vAlign w:val="center"/>
          </w:tcPr>
          <w:p w14:paraId="3636E628" w14:textId="03965ADC" w:rsidR="007D45F3" w:rsidRPr="00FA02DE" w:rsidRDefault="00C00A27">
            <w:pPr>
              <w:jc w:val="center"/>
              <w:rPr>
                <w:rFonts w:ascii="Cambria" w:eastAsia="Cambria" w:hAnsi="Cambria" w:cs="Cambria"/>
                <w:b/>
                <w:lang w:val="en-US"/>
              </w:rPr>
            </w:pPr>
            <w:r w:rsidRPr="00FA02DE">
              <w:rPr>
                <w:rFonts w:ascii="Cambria" w:eastAsia="Cambria" w:hAnsi="Cambria" w:cs="Cambria"/>
                <w:b/>
                <w:lang w:val="en-US"/>
              </w:rPr>
              <w:t>G</w:t>
            </w:r>
            <w:r w:rsidR="00FA02DE" w:rsidRPr="00FA02DE">
              <w:rPr>
                <w:rFonts w:ascii="Cambria" w:eastAsia="Cambria" w:hAnsi="Cambria" w:cs="Cambria"/>
                <w:b/>
                <w:lang w:val="en-US"/>
              </w:rPr>
              <w:t>uarantees of non-repetition</w:t>
            </w:r>
          </w:p>
          <w:p w14:paraId="732865C5" w14:textId="60098242" w:rsidR="007D45F3" w:rsidRPr="00FA02DE" w:rsidRDefault="00FA02DE">
            <w:pPr>
              <w:jc w:val="center"/>
              <w:rPr>
                <w:rFonts w:ascii="Cambria" w:eastAsia="Cambria" w:hAnsi="Cambria" w:cs="Cambria"/>
                <w:lang w:val="en-US"/>
              </w:rPr>
            </w:pPr>
            <w:r w:rsidRPr="00FA02DE">
              <w:rPr>
                <w:rFonts w:ascii="Cambria" w:eastAsia="Cambria" w:hAnsi="Cambria" w:cs="Cambria"/>
                <w:sz w:val="16"/>
                <w:szCs w:val="16"/>
                <w:lang w:val="en-US"/>
              </w:rPr>
              <w:t>Examples: adoption of public policies, issuance of law</w:t>
            </w:r>
            <w:r w:rsidR="008C3E0D">
              <w:rPr>
                <w:rFonts w:ascii="Cambria" w:eastAsia="Cambria" w:hAnsi="Cambria" w:cs="Cambria"/>
                <w:sz w:val="16"/>
                <w:szCs w:val="16"/>
                <w:lang w:val="en-US"/>
              </w:rPr>
              <w:t>s</w:t>
            </w:r>
            <w:r w:rsidRPr="00FA02DE">
              <w:rPr>
                <w:rFonts w:ascii="Cambria" w:eastAsia="Cambria" w:hAnsi="Cambria" w:cs="Cambria"/>
                <w:sz w:val="16"/>
                <w:szCs w:val="16"/>
                <w:lang w:val="en-US"/>
              </w:rPr>
              <w:t xml:space="preserve"> and decrees, awareness and training campaigns, strengthening of the state apparatus.</w:t>
            </w:r>
          </w:p>
        </w:tc>
      </w:tr>
      <w:tr w:rsidR="007D45F3" w:rsidRPr="00FA02DE" w14:paraId="6726B2F0" w14:textId="77777777">
        <w:trPr>
          <w:trHeight w:val="132"/>
        </w:trPr>
        <w:tc>
          <w:tcPr>
            <w:tcW w:w="4650" w:type="dxa"/>
          </w:tcPr>
          <w:p w14:paraId="6837AEA9"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Measures and mechanisms deployed</w:t>
            </w:r>
          </w:p>
          <w:p w14:paraId="5FE1B1A6" w14:textId="77777777" w:rsidR="007D45F3" w:rsidRPr="00FA02DE" w:rsidRDefault="007D45F3">
            <w:pPr>
              <w:rPr>
                <w:rFonts w:ascii="Cambria" w:eastAsia="Cambria" w:hAnsi="Cambria" w:cs="Cambria"/>
                <w:b/>
                <w:sz w:val="20"/>
                <w:szCs w:val="20"/>
                <w:lang w:val="en-US"/>
              </w:rPr>
            </w:pPr>
          </w:p>
          <w:p w14:paraId="706913F4" w14:textId="77777777" w:rsidR="007D45F3" w:rsidRPr="00FA02DE" w:rsidRDefault="007D45F3">
            <w:pPr>
              <w:rPr>
                <w:rFonts w:ascii="Cambria" w:eastAsia="Cambria" w:hAnsi="Cambria" w:cs="Cambria"/>
                <w:b/>
                <w:sz w:val="20"/>
                <w:szCs w:val="20"/>
                <w:lang w:val="en-US"/>
              </w:rPr>
            </w:pPr>
          </w:p>
          <w:p w14:paraId="0A2F7201" w14:textId="77777777" w:rsidR="007D45F3" w:rsidRPr="00FA02DE" w:rsidRDefault="007D45F3">
            <w:pPr>
              <w:rPr>
                <w:rFonts w:ascii="Cambria" w:eastAsia="Cambria" w:hAnsi="Cambria" w:cs="Cambria"/>
                <w:b/>
                <w:sz w:val="20"/>
                <w:szCs w:val="20"/>
                <w:lang w:val="en-US"/>
              </w:rPr>
            </w:pPr>
          </w:p>
        </w:tc>
        <w:tc>
          <w:tcPr>
            <w:tcW w:w="4650" w:type="dxa"/>
            <w:vAlign w:val="center"/>
          </w:tcPr>
          <w:p w14:paraId="57D00D10" w14:textId="77777777" w:rsidR="00FA02DE" w:rsidRPr="00FA02DE" w:rsidRDefault="00FA02DE" w:rsidP="00FA02DE">
            <w:pPr>
              <w:rPr>
                <w:rFonts w:ascii="Cambria" w:eastAsia="Cambria" w:hAnsi="Cambria" w:cs="Cambria"/>
                <w:b/>
                <w:sz w:val="20"/>
                <w:szCs w:val="20"/>
                <w:lang w:val="en-US"/>
              </w:rPr>
            </w:pPr>
            <w:r w:rsidRPr="00FA02DE">
              <w:rPr>
                <w:rFonts w:ascii="Cambria" w:eastAsia="Cambria" w:hAnsi="Cambria" w:cs="Cambria"/>
                <w:b/>
                <w:sz w:val="20"/>
                <w:szCs w:val="20"/>
                <w:lang w:val="en-US"/>
              </w:rPr>
              <w:t>Main Results</w:t>
            </w:r>
          </w:p>
          <w:p w14:paraId="694AB9DD" w14:textId="77777777" w:rsidR="007D45F3" w:rsidRPr="00FA02DE" w:rsidRDefault="007D45F3">
            <w:pPr>
              <w:rPr>
                <w:rFonts w:ascii="Cambria" w:eastAsia="Cambria" w:hAnsi="Cambria" w:cs="Cambria"/>
                <w:b/>
                <w:sz w:val="20"/>
                <w:szCs w:val="20"/>
                <w:lang w:val="en-US"/>
              </w:rPr>
            </w:pPr>
          </w:p>
          <w:p w14:paraId="2F97BF77" w14:textId="77777777" w:rsidR="007D45F3" w:rsidRPr="00FA02DE" w:rsidRDefault="007D45F3">
            <w:pPr>
              <w:rPr>
                <w:rFonts w:ascii="Cambria" w:eastAsia="Cambria" w:hAnsi="Cambria" w:cs="Cambria"/>
                <w:b/>
                <w:sz w:val="20"/>
                <w:szCs w:val="20"/>
                <w:lang w:val="en-US"/>
              </w:rPr>
            </w:pPr>
          </w:p>
          <w:p w14:paraId="6B98FCCA" w14:textId="77777777" w:rsidR="007D45F3" w:rsidRPr="00FA02DE" w:rsidRDefault="007D45F3">
            <w:pPr>
              <w:rPr>
                <w:rFonts w:ascii="Cambria" w:eastAsia="Cambria" w:hAnsi="Cambria" w:cs="Cambria"/>
                <w:b/>
                <w:lang w:val="en-US"/>
              </w:rPr>
            </w:pPr>
          </w:p>
        </w:tc>
      </w:tr>
    </w:tbl>
    <w:p w14:paraId="52AB8E35" w14:textId="575FD542" w:rsidR="007D45F3" w:rsidRPr="00FA02DE" w:rsidRDefault="00C00A27">
      <w:pPr>
        <w:jc w:val="both"/>
        <w:rPr>
          <w:rFonts w:ascii="Cambria" w:eastAsia="Cambria" w:hAnsi="Cambria" w:cs="Cambria"/>
          <w:sz w:val="18"/>
          <w:szCs w:val="18"/>
          <w:lang w:val="en-US"/>
        </w:rPr>
      </w:pPr>
      <w:r w:rsidRPr="00FA02DE">
        <w:rPr>
          <w:rFonts w:ascii="Cambria" w:eastAsia="Cambria" w:hAnsi="Cambria" w:cs="Cambria"/>
          <w:sz w:val="18"/>
          <w:szCs w:val="18"/>
          <w:lang w:val="en-US"/>
        </w:rPr>
        <w:t>*</w:t>
      </w:r>
      <w:r w:rsidR="00FA02DE" w:rsidRPr="00FA02DE">
        <w:rPr>
          <w:rFonts w:ascii="Cambria" w:eastAsia="Cambria" w:hAnsi="Cambria" w:cs="Cambria"/>
          <w:sz w:val="18"/>
          <w:szCs w:val="18"/>
          <w:lang w:val="en-US"/>
        </w:rPr>
        <w:t xml:space="preserve">For further reference about the types of reparation measures, please see the </w:t>
      </w:r>
      <w:hyperlink r:id="rId13" w:history="1">
        <w:r w:rsidR="00FA02DE" w:rsidRPr="00FA02DE">
          <w:rPr>
            <w:rStyle w:val="Hyperlink"/>
            <w:rFonts w:ascii="Cambria" w:eastAsia="Cambria" w:hAnsi="Cambria" w:cs="Cambria"/>
            <w:sz w:val="18"/>
            <w:szCs w:val="18"/>
            <w:lang w:val="en-US"/>
          </w:rPr>
          <w:t>General Guidelines on the Follow-up of Recommendations and Decisions of the Inter-American Commission on Human Rights</w:t>
        </w:r>
      </w:hyperlink>
      <w:r w:rsidR="00FA02DE" w:rsidRPr="00FA02DE">
        <w:rPr>
          <w:rFonts w:ascii="Cambria" w:eastAsia="Cambria" w:hAnsi="Cambria" w:cs="Cambria"/>
          <w:sz w:val="18"/>
          <w:szCs w:val="18"/>
          <w:lang w:val="en-US"/>
        </w:rPr>
        <w:t>.</w:t>
      </w:r>
    </w:p>
    <w:sectPr w:rsidR="007D45F3" w:rsidRPr="00FA02DE">
      <w:pgSz w:w="12240" w:h="15840"/>
      <w:pgMar w:top="900" w:right="1440" w:bottom="5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7B1E" w14:textId="77777777" w:rsidR="00C00A27" w:rsidRDefault="00C00A27">
      <w:pPr>
        <w:spacing w:after="0" w:line="240" w:lineRule="auto"/>
      </w:pPr>
      <w:r>
        <w:separator/>
      </w:r>
    </w:p>
  </w:endnote>
  <w:endnote w:type="continuationSeparator" w:id="0">
    <w:p w14:paraId="36772BB6" w14:textId="77777777" w:rsidR="00C00A27" w:rsidRDefault="00C0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65BA2" w14:textId="77777777" w:rsidR="00C00A27" w:rsidRDefault="00C00A27">
      <w:pPr>
        <w:spacing w:after="0" w:line="240" w:lineRule="auto"/>
      </w:pPr>
      <w:r>
        <w:separator/>
      </w:r>
    </w:p>
  </w:footnote>
  <w:footnote w:type="continuationSeparator" w:id="0">
    <w:p w14:paraId="0A7BE2D4" w14:textId="77777777" w:rsidR="00C00A27" w:rsidRDefault="00C00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E02B" w14:textId="77777777" w:rsidR="007D45F3" w:rsidRDefault="00C00A27">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lang w:val="en-US"/>
      </w:rPr>
      <w:drawing>
        <wp:anchor distT="0" distB="0" distL="0" distR="0" simplePos="0" relativeHeight="251658240" behindDoc="0" locked="0" layoutInCell="1" hidden="0" allowOverlap="1" wp14:anchorId="30B64E2F" wp14:editId="5CE23C56">
          <wp:simplePos x="0" y="0"/>
          <wp:positionH relativeFrom="column">
            <wp:posOffset>4018280</wp:posOffset>
          </wp:positionH>
          <wp:positionV relativeFrom="paragraph">
            <wp:posOffset>-12699</wp:posOffset>
          </wp:positionV>
          <wp:extent cx="1595120" cy="406400"/>
          <wp:effectExtent l="0" t="0" r="0" b="0"/>
          <wp:wrapSquare wrapText="bothSides" distT="0" distB="0" distL="0" distR="0"/>
          <wp:docPr id="14" name="image2.png" descr="OAS_Seal_ESP_Principal_"/>
          <wp:cNvGraphicFramePr/>
          <a:graphic xmlns:a="http://schemas.openxmlformats.org/drawingml/2006/main">
            <a:graphicData uri="http://schemas.openxmlformats.org/drawingml/2006/picture">
              <pic:pic xmlns:pic="http://schemas.openxmlformats.org/drawingml/2006/picture">
                <pic:nvPicPr>
                  <pic:cNvPr id="0" name="image2.png" descr="OAS_Seal_ESP_Principal_"/>
                  <pic:cNvPicPr preferRelativeResize="0"/>
                </pic:nvPicPr>
                <pic:blipFill>
                  <a:blip r:embed="rId1"/>
                  <a:srcRect/>
                  <a:stretch>
                    <a:fillRect/>
                  </a:stretch>
                </pic:blipFill>
                <pic:spPr>
                  <a:xfrm>
                    <a:off x="0" y="0"/>
                    <a:ext cx="1595120" cy="406400"/>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14:anchorId="6E319238" wp14:editId="7EC36C85">
          <wp:simplePos x="0" y="0"/>
          <wp:positionH relativeFrom="column">
            <wp:posOffset>1</wp:posOffset>
          </wp:positionH>
          <wp:positionV relativeFrom="paragraph">
            <wp:posOffset>14605</wp:posOffset>
          </wp:positionV>
          <wp:extent cx="1786255" cy="351155"/>
          <wp:effectExtent l="0" t="0" r="0" b="0"/>
          <wp:wrapSquare wrapText="bothSides" distT="0" distB="0" distL="114300" distR="114300"/>
          <wp:docPr id="15" name="image1.jpg" descr="C:\Users\mfontana\Documents\Eva Fontana\GRAFICA CIDH\cartas\logos\cidh-es.jpg"/>
          <wp:cNvGraphicFramePr/>
          <a:graphic xmlns:a="http://schemas.openxmlformats.org/drawingml/2006/main">
            <a:graphicData uri="http://schemas.openxmlformats.org/drawingml/2006/picture">
              <pic:pic xmlns:pic="http://schemas.openxmlformats.org/drawingml/2006/picture">
                <pic:nvPicPr>
                  <pic:cNvPr id="0" name="image1.jpg" descr="C:\Users\mfontana\Documents\Eva Fontana\GRAFICA CIDH\cartas\logos\cidh-es.jpg"/>
                  <pic:cNvPicPr preferRelativeResize="0"/>
                </pic:nvPicPr>
                <pic:blipFill>
                  <a:blip r:embed="rId2"/>
                  <a:srcRect/>
                  <a:stretch>
                    <a:fillRect/>
                  </a:stretch>
                </pic:blipFill>
                <pic:spPr>
                  <a:xfrm>
                    <a:off x="0" y="0"/>
                    <a:ext cx="1786255" cy="351155"/>
                  </a:xfrm>
                  <a:prstGeom prst="rect">
                    <a:avLst/>
                  </a:prstGeom>
                  <a:ln/>
                </pic:spPr>
              </pic:pic>
            </a:graphicData>
          </a:graphic>
        </wp:anchor>
      </w:drawing>
    </w:r>
  </w:p>
  <w:p w14:paraId="13A7AA30" w14:textId="77777777" w:rsidR="007D45F3" w:rsidRDefault="007D45F3">
    <w:pPr>
      <w:pBdr>
        <w:top w:val="nil"/>
        <w:left w:val="nil"/>
        <w:bottom w:val="nil"/>
        <w:right w:val="nil"/>
        <w:between w:val="nil"/>
      </w:pBdr>
      <w:tabs>
        <w:tab w:val="center" w:pos="4419"/>
        <w:tab w:val="right" w:pos="8838"/>
      </w:tabs>
      <w:spacing w:after="0" w:line="240" w:lineRule="auto"/>
      <w:rPr>
        <w:color w:val="000000"/>
      </w:rPr>
    </w:pPr>
  </w:p>
  <w:p w14:paraId="2238C1BD" w14:textId="77777777" w:rsidR="007D45F3" w:rsidRDefault="007D45F3">
    <w:pPr>
      <w:pBdr>
        <w:top w:val="nil"/>
        <w:left w:val="nil"/>
        <w:bottom w:val="nil"/>
        <w:right w:val="nil"/>
        <w:between w:val="nil"/>
      </w:pBdr>
      <w:tabs>
        <w:tab w:val="center" w:pos="4419"/>
        <w:tab w:val="right" w:pos="8838"/>
      </w:tabs>
      <w:spacing w:after="0" w:line="240" w:lineRule="auto"/>
      <w:rPr>
        <w:color w:val="000000"/>
        <w:sz w:val="8"/>
        <w:szCs w:val="8"/>
      </w:rPr>
    </w:pPr>
  </w:p>
  <w:p w14:paraId="766D4261" w14:textId="77777777" w:rsidR="007D45F3" w:rsidRDefault="00CC4B91">
    <w:pPr>
      <w:pBdr>
        <w:top w:val="nil"/>
        <w:left w:val="nil"/>
        <w:bottom w:val="nil"/>
        <w:right w:val="nil"/>
        <w:between w:val="nil"/>
      </w:pBdr>
      <w:tabs>
        <w:tab w:val="center" w:pos="4419"/>
        <w:tab w:val="right" w:pos="8838"/>
      </w:tabs>
      <w:spacing w:after="0" w:line="240" w:lineRule="auto"/>
      <w:rPr>
        <w:color w:val="000000"/>
      </w:rPr>
    </w:pPr>
    <w:r>
      <w:rPr>
        <w:noProof/>
      </w:rPr>
      <w:pict w14:anchorId="2A272606">
        <v:rect id="_x0000_i1025" alt="" style="width:468pt;height:.05pt;mso-width-percent:0;mso-height-percent:0;mso-width-percent:0;mso-height-percent:0" o:hralign="center" o:hrstd="t" o:hr="t" fillcolor="#a0a0a0" stroked="f"/>
      </w:pict>
    </w:r>
  </w:p>
  <w:p w14:paraId="58987175" w14:textId="77777777" w:rsidR="007D45F3" w:rsidRDefault="007D45F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F619A"/>
    <w:multiLevelType w:val="multilevel"/>
    <w:tmpl w:val="255C9D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9A4D60"/>
    <w:multiLevelType w:val="multilevel"/>
    <w:tmpl w:val="241CA1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6A23DC"/>
    <w:multiLevelType w:val="multilevel"/>
    <w:tmpl w:val="F49E1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F3"/>
    <w:rsid w:val="007D45F3"/>
    <w:rsid w:val="008C3E0D"/>
    <w:rsid w:val="00C00A27"/>
    <w:rsid w:val="00CC4B91"/>
    <w:rsid w:val="00FA02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E540933"/>
  <w15:docId w15:val="{0882245D-C959-214E-B9DB-BBA5933E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F22CB"/>
    <w:rPr>
      <w:color w:val="0563C1" w:themeColor="hyperlink"/>
      <w:u w:val="single"/>
    </w:rPr>
  </w:style>
  <w:style w:type="paragraph" w:styleId="ListParagraph">
    <w:name w:val="List Paragraph"/>
    <w:basedOn w:val="Normal"/>
    <w:uiPriority w:val="34"/>
    <w:qFormat/>
    <w:rsid w:val="00A77B88"/>
    <w:pPr>
      <w:ind w:left="720"/>
      <w:contextualSpacing/>
    </w:pPr>
  </w:style>
  <w:style w:type="table" w:styleId="TableGrid">
    <w:name w:val="Table Grid"/>
    <w:basedOn w:val="TableNormal"/>
    <w:uiPriority w:val="39"/>
    <w:rsid w:val="00A77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7F4D"/>
    <w:pPr>
      <w:spacing w:after="0" w:line="240" w:lineRule="auto"/>
    </w:pPr>
  </w:style>
  <w:style w:type="character" w:styleId="CommentReference">
    <w:name w:val="annotation reference"/>
    <w:basedOn w:val="DefaultParagraphFont"/>
    <w:uiPriority w:val="99"/>
    <w:semiHidden/>
    <w:unhideWhenUsed/>
    <w:rsid w:val="00BB1F2A"/>
    <w:rPr>
      <w:sz w:val="16"/>
      <w:szCs w:val="16"/>
    </w:rPr>
  </w:style>
  <w:style w:type="paragraph" w:styleId="CommentText">
    <w:name w:val="annotation text"/>
    <w:basedOn w:val="Normal"/>
    <w:link w:val="CommentTextChar"/>
    <w:uiPriority w:val="99"/>
    <w:semiHidden/>
    <w:unhideWhenUsed/>
    <w:rsid w:val="00BB1F2A"/>
    <w:pPr>
      <w:spacing w:line="240" w:lineRule="auto"/>
    </w:pPr>
    <w:rPr>
      <w:sz w:val="20"/>
      <w:szCs w:val="20"/>
    </w:rPr>
  </w:style>
  <w:style w:type="character" w:customStyle="1" w:styleId="CommentTextChar">
    <w:name w:val="Comment Text Char"/>
    <w:basedOn w:val="DefaultParagraphFont"/>
    <w:link w:val="CommentText"/>
    <w:uiPriority w:val="99"/>
    <w:semiHidden/>
    <w:rsid w:val="00BB1F2A"/>
    <w:rPr>
      <w:sz w:val="20"/>
      <w:szCs w:val="20"/>
    </w:rPr>
  </w:style>
  <w:style w:type="paragraph" w:styleId="CommentSubject">
    <w:name w:val="annotation subject"/>
    <w:basedOn w:val="CommentText"/>
    <w:next w:val="CommentText"/>
    <w:link w:val="CommentSubjectChar"/>
    <w:uiPriority w:val="99"/>
    <w:semiHidden/>
    <w:unhideWhenUsed/>
    <w:rsid w:val="00BB1F2A"/>
    <w:rPr>
      <w:b/>
      <w:bCs/>
    </w:rPr>
  </w:style>
  <w:style w:type="character" w:customStyle="1" w:styleId="CommentSubjectChar">
    <w:name w:val="Comment Subject Char"/>
    <w:basedOn w:val="CommentTextChar"/>
    <w:link w:val="CommentSubject"/>
    <w:uiPriority w:val="99"/>
    <w:semiHidden/>
    <w:rsid w:val="00BB1F2A"/>
    <w:rPr>
      <w:b/>
      <w:bCs/>
      <w:sz w:val="20"/>
      <w:szCs w:val="20"/>
    </w:rPr>
  </w:style>
  <w:style w:type="paragraph" w:styleId="BalloonText">
    <w:name w:val="Balloon Text"/>
    <w:basedOn w:val="Normal"/>
    <w:link w:val="BalloonTextChar"/>
    <w:uiPriority w:val="99"/>
    <w:semiHidden/>
    <w:unhideWhenUsed/>
    <w:rsid w:val="00F362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62BB"/>
    <w:rPr>
      <w:rFonts w:ascii="Times New Roman" w:hAnsi="Times New Roman" w:cs="Times New Roman"/>
      <w:sz w:val="18"/>
      <w:szCs w:val="18"/>
    </w:rPr>
  </w:style>
  <w:style w:type="paragraph" w:styleId="Header">
    <w:name w:val="header"/>
    <w:basedOn w:val="Normal"/>
    <w:link w:val="HeaderChar"/>
    <w:uiPriority w:val="99"/>
    <w:unhideWhenUsed/>
    <w:rsid w:val="008A08E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A08E5"/>
  </w:style>
  <w:style w:type="paragraph" w:styleId="Footer">
    <w:name w:val="footer"/>
    <w:basedOn w:val="Normal"/>
    <w:link w:val="FooterChar"/>
    <w:uiPriority w:val="99"/>
    <w:unhideWhenUsed/>
    <w:rsid w:val="008A08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A08E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FA02DE"/>
    <w:rPr>
      <w:color w:val="605E5C"/>
      <w:shd w:val="clear" w:color="auto" w:fill="E1DFDD"/>
    </w:rPr>
  </w:style>
  <w:style w:type="character" w:styleId="FollowedHyperlink">
    <w:name w:val="FollowedHyperlink"/>
    <w:basedOn w:val="DefaultParagraphFont"/>
    <w:uiPriority w:val="99"/>
    <w:semiHidden/>
    <w:unhideWhenUsed/>
    <w:rsid w:val="00FA0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6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as.org/en/iachr/activities/follow-up/Directrices-en.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as.org/en/iachr/activities/follow-up/Directrices-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garcia@oas.org" TargetMode="External"/><Relationship Id="rId4" Type="http://schemas.openxmlformats.org/officeDocument/2006/relationships/styles" Target="styles.xml"/><Relationship Id="rId9" Type="http://schemas.openxmlformats.org/officeDocument/2006/relationships/hyperlink" Target="mailto:cidhseguimiento@oa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cWdZRZHdb0dhokbyZusr9MDfiw==">AMUW2mUqTpxekbb3tYtRiFpIn3i277bJqScF+VUoxU84+o0kZ3PQbvNf+N6tzlJ56kItEZM0qeS9qs3dj0bwaXydde5AHqiF+u8AMsuSxCUCO6rOZA+Gj7E=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1E5DB3-8840-4F6E-B7BB-7FF4B372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9541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Daniel</dc:creator>
  <cp:lastModifiedBy>Garcia, Daniel</cp:lastModifiedBy>
  <cp:revision>2</cp:revision>
  <dcterms:created xsi:type="dcterms:W3CDTF">2021-04-13T13:50:00Z</dcterms:created>
  <dcterms:modified xsi:type="dcterms:W3CDTF">2021-04-13T13:50:00Z</dcterms:modified>
</cp:coreProperties>
</file>