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0D5C3" w14:textId="77777777" w:rsidR="00E737AE" w:rsidRPr="007175E2" w:rsidRDefault="00E737AE" w:rsidP="00112395">
      <w:pPr>
        <w:spacing w:after="0" w:line="240" w:lineRule="auto"/>
        <w:ind w:right="4"/>
        <w:rPr>
          <w:rFonts w:ascii="Cambria" w:hAnsi="Cambria"/>
        </w:rPr>
      </w:pPr>
    </w:p>
    <w:p w14:paraId="713AD3EB" w14:textId="77777777" w:rsidR="00732EA4" w:rsidRPr="007175E2" w:rsidRDefault="00732EA4" w:rsidP="00B8008C">
      <w:pPr>
        <w:spacing w:after="0" w:line="240" w:lineRule="auto"/>
        <w:ind w:right="4"/>
        <w:contextualSpacing/>
        <w:jc w:val="center"/>
        <w:rPr>
          <w:rFonts w:ascii="Cambria" w:eastAsia="Batang" w:hAnsi="Cambria"/>
          <w:b/>
          <w:color w:val="000000"/>
        </w:rPr>
      </w:pPr>
      <w:r w:rsidRPr="007175E2">
        <w:rPr>
          <w:rFonts w:ascii="Cambria" w:eastAsia="Batang" w:hAnsi="Cambria"/>
          <w:b/>
          <w:color w:val="000000"/>
        </w:rPr>
        <w:t>TECHNICAL INFORMATION SHEET</w:t>
      </w:r>
    </w:p>
    <w:p w14:paraId="78E0D02F" w14:textId="77777777" w:rsidR="00732EA4" w:rsidRPr="007175E2" w:rsidRDefault="00732EA4" w:rsidP="00B8008C">
      <w:pPr>
        <w:spacing w:after="0"/>
        <w:ind w:right="4"/>
        <w:jc w:val="center"/>
        <w:rPr>
          <w:rFonts w:ascii="Cambria" w:hAnsi="Cambria"/>
          <w:b/>
          <w:color w:val="000000"/>
          <w:szCs w:val="20"/>
        </w:rPr>
      </w:pPr>
      <w:r w:rsidRPr="007175E2">
        <w:rPr>
          <w:rFonts w:ascii="Cambria" w:hAnsi="Cambria"/>
          <w:b/>
          <w:color w:val="000000"/>
          <w:szCs w:val="20"/>
        </w:rPr>
        <w:t xml:space="preserve">CASE 12.957 LUIS BOLÍVAR HERNÁNDEZ PEÑAHERRERA </w:t>
      </w:r>
    </w:p>
    <w:p w14:paraId="639F97FA" w14:textId="2BF032EF" w:rsidR="00732EA4" w:rsidRPr="007175E2" w:rsidRDefault="00732EA4" w:rsidP="00B8008C">
      <w:pPr>
        <w:spacing w:after="0" w:line="240" w:lineRule="auto"/>
        <w:ind w:right="4"/>
        <w:contextualSpacing/>
        <w:jc w:val="center"/>
        <w:rPr>
          <w:rFonts w:ascii="Cambria" w:eastAsia="Batang" w:hAnsi="Cambria"/>
          <w:b/>
          <w:color w:val="000000"/>
        </w:rPr>
      </w:pPr>
      <w:r w:rsidRPr="007175E2">
        <w:rPr>
          <w:rFonts w:ascii="Cambria" w:eastAsia="Batang" w:hAnsi="Cambria"/>
          <w:b/>
          <w:color w:val="000000"/>
        </w:rPr>
        <w:t>FRIENDLY SETTLEMENT REPO</w:t>
      </w:r>
      <w:r w:rsidRPr="007175E2">
        <w:rPr>
          <w:rFonts w:ascii="Cambria" w:eastAsia="Batang" w:hAnsi="Cambria"/>
          <w:b/>
          <w:color w:val="000000" w:themeColor="text1"/>
        </w:rPr>
        <w:t>RT No</w:t>
      </w:r>
      <w:r w:rsidR="00054EA0" w:rsidRPr="007175E2">
        <w:rPr>
          <w:rFonts w:ascii="Cambria" w:hAnsi="Cambria"/>
          <w:color w:val="000000" w:themeColor="text1"/>
        </w:rPr>
        <w:t>.</w:t>
      </w:r>
      <w:r w:rsidR="0096142F" w:rsidRPr="007175E2">
        <w:rPr>
          <w:rFonts w:ascii="Cambria" w:hAnsi="Cambria"/>
          <w:color w:val="000000" w:themeColor="text1"/>
        </w:rPr>
        <w:t xml:space="preserve"> </w:t>
      </w:r>
      <w:hyperlink r:id="rId11" w:history="1">
        <w:r w:rsidRPr="007175E2">
          <w:rPr>
            <w:rStyle w:val="Hyperlink"/>
            <w:rFonts w:ascii="Cambria" w:hAnsi="Cambria"/>
            <w:b/>
            <w:bCs/>
            <w:color w:val="000000" w:themeColor="text1"/>
            <w:u w:val="none"/>
          </w:rPr>
          <w:t>167/18</w:t>
        </w:r>
      </w:hyperlink>
    </w:p>
    <w:p w14:paraId="7C964A3A" w14:textId="77777777" w:rsidR="00732EA4" w:rsidRPr="007175E2" w:rsidRDefault="00732EA4" w:rsidP="00B8008C">
      <w:pPr>
        <w:spacing w:after="0" w:line="240" w:lineRule="auto"/>
        <w:ind w:right="4"/>
        <w:contextualSpacing/>
        <w:jc w:val="center"/>
        <w:rPr>
          <w:rFonts w:ascii="Cambria" w:eastAsia="Batang" w:hAnsi="Cambria"/>
          <w:b/>
          <w:color w:val="000000"/>
        </w:rPr>
      </w:pPr>
      <w:r w:rsidRPr="007175E2">
        <w:rPr>
          <w:rFonts w:ascii="Cambria" w:eastAsia="Batang" w:hAnsi="Cambria"/>
          <w:b/>
          <w:color w:val="000000"/>
        </w:rPr>
        <w:t>TOTAL COMPLIANCE</w:t>
      </w:r>
    </w:p>
    <w:p w14:paraId="2CAA8F4E" w14:textId="77777777" w:rsidR="00732EA4" w:rsidRPr="007175E2" w:rsidRDefault="00732EA4" w:rsidP="00B8008C">
      <w:pPr>
        <w:spacing w:after="0" w:line="240" w:lineRule="auto"/>
        <w:ind w:right="4"/>
        <w:contextualSpacing/>
        <w:jc w:val="center"/>
        <w:rPr>
          <w:rFonts w:ascii="Cambria" w:eastAsia="Batang" w:hAnsi="Cambria"/>
          <w:b/>
          <w:color w:val="000000"/>
        </w:rPr>
      </w:pPr>
      <w:r w:rsidRPr="007175E2">
        <w:rPr>
          <w:rFonts w:ascii="Cambria" w:eastAsia="Batang" w:hAnsi="Cambria"/>
          <w:b/>
          <w:color w:val="000000"/>
        </w:rPr>
        <w:t>(ECUADOR)</w:t>
      </w:r>
    </w:p>
    <w:p w14:paraId="26485D1C" w14:textId="77777777" w:rsidR="00732EA4" w:rsidRPr="007175E2" w:rsidRDefault="00732EA4" w:rsidP="00732EA4">
      <w:pPr>
        <w:spacing w:after="0" w:line="240" w:lineRule="auto"/>
        <w:ind w:right="-270"/>
        <w:jc w:val="center"/>
        <w:rPr>
          <w:rFonts w:ascii="Cambria" w:eastAsia="Batang" w:hAnsi="Cambria"/>
          <w:b/>
          <w:color w:val="000000"/>
        </w:rPr>
      </w:pPr>
    </w:p>
    <w:p w14:paraId="4128B05F" w14:textId="77777777" w:rsidR="00732EA4" w:rsidRPr="007175E2" w:rsidRDefault="00732EA4" w:rsidP="00637AFB">
      <w:pPr>
        <w:numPr>
          <w:ilvl w:val="0"/>
          <w:numId w:val="22"/>
        </w:numPr>
        <w:spacing w:after="0" w:line="240" w:lineRule="auto"/>
        <w:rPr>
          <w:rFonts w:ascii="Cambria" w:eastAsia="Batang" w:hAnsi="Cambria" w:cs="Calibri Light"/>
          <w:b/>
          <w:color w:val="000000"/>
        </w:rPr>
      </w:pPr>
      <w:r w:rsidRPr="007175E2">
        <w:rPr>
          <w:rFonts w:ascii="Cambria" w:eastAsia="Batang" w:hAnsi="Cambria" w:cs="Calibri Light"/>
          <w:b/>
          <w:color w:val="000000"/>
        </w:rPr>
        <w:t>SUMMARY OF THE CASE</w:t>
      </w:r>
    </w:p>
    <w:p w14:paraId="51030500" w14:textId="77777777" w:rsidR="00732EA4" w:rsidRPr="007175E2" w:rsidRDefault="00732EA4" w:rsidP="00732EA4">
      <w:pPr>
        <w:spacing w:after="0" w:line="240" w:lineRule="auto"/>
        <w:rPr>
          <w:rFonts w:ascii="Cambria" w:eastAsia="Batang" w:hAnsi="Cambria" w:cs="Calibri Light"/>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732EA4" w:rsidRPr="007175E2" w14:paraId="3E6F5AD3" w14:textId="77777777" w:rsidTr="00054EA0">
        <w:trPr>
          <w:trHeight w:val="6520"/>
          <w:jc w:val="center"/>
        </w:trPr>
        <w:tc>
          <w:tcPr>
            <w:tcW w:w="9350" w:type="dxa"/>
            <w:shd w:val="clear" w:color="auto" w:fill="F2F2F2"/>
          </w:tcPr>
          <w:p w14:paraId="7BE3BEB1" w14:textId="77777777" w:rsidR="00732EA4" w:rsidRPr="007175E2" w:rsidRDefault="00732EA4" w:rsidP="00F024F0">
            <w:pPr>
              <w:tabs>
                <w:tab w:val="left" w:pos="9270"/>
              </w:tabs>
              <w:spacing w:after="0" w:line="240" w:lineRule="auto"/>
              <w:jc w:val="both"/>
              <w:rPr>
                <w:rFonts w:ascii="Cambria" w:eastAsia="Batang" w:hAnsi="Cambria"/>
                <w:b/>
                <w:color w:val="000000"/>
                <w:lang w:val="es-CO"/>
              </w:rPr>
            </w:pPr>
            <w:r w:rsidRPr="007175E2">
              <w:rPr>
                <w:rFonts w:ascii="Cambria" w:eastAsia="Batang" w:hAnsi="Cambria"/>
                <w:b/>
                <w:color w:val="000000"/>
                <w:lang w:val="es-CO"/>
              </w:rPr>
              <w:t xml:space="preserve">Victim(s): </w:t>
            </w:r>
            <w:r w:rsidRPr="007175E2">
              <w:rPr>
                <w:rFonts w:ascii="Cambria" w:eastAsia="Batang" w:hAnsi="Cambria"/>
                <w:bCs/>
                <w:color w:val="000000"/>
                <w:lang w:val="es-CO"/>
              </w:rPr>
              <w:t>Luis Bolívar Hernández Peñaherrera</w:t>
            </w:r>
          </w:p>
          <w:p w14:paraId="6B178981" w14:textId="77777777" w:rsidR="00732EA4" w:rsidRPr="007175E2" w:rsidRDefault="00732EA4" w:rsidP="00F024F0">
            <w:pPr>
              <w:tabs>
                <w:tab w:val="left" w:pos="9270"/>
              </w:tabs>
              <w:spacing w:after="0" w:line="240" w:lineRule="auto"/>
              <w:jc w:val="both"/>
              <w:rPr>
                <w:rFonts w:ascii="Cambria" w:eastAsia="Batang" w:hAnsi="Cambria"/>
                <w:b/>
                <w:color w:val="000000"/>
                <w:lang w:val="es-CO"/>
              </w:rPr>
            </w:pPr>
            <w:r w:rsidRPr="007175E2">
              <w:rPr>
                <w:rFonts w:ascii="Cambria" w:eastAsia="Batang" w:hAnsi="Cambria"/>
                <w:b/>
                <w:color w:val="000000"/>
                <w:lang w:val="es-CO"/>
              </w:rPr>
              <w:t xml:space="preserve">Petitioner(s): </w:t>
            </w:r>
            <w:r w:rsidRPr="007175E2">
              <w:rPr>
                <w:rFonts w:ascii="Cambria" w:eastAsia="Batang" w:hAnsi="Cambria"/>
                <w:bCs/>
                <w:color w:val="000000"/>
                <w:lang w:val="es-CO"/>
              </w:rPr>
              <w:t>Luis Bolívar Hernández Peñaherrera and Íñigo Salvador Crepos</w:t>
            </w:r>
          </w:p>
          <w:p w14:paraId="010307CA" w14:textId="77777777" w:rsidR="00732EA4" w:rsidRPr="007175E2" w:rsidRDefault="00732EA4" w:rsidP="00F024F0">
            <w:pPr>
              <w:tabs>
                <w:tab w:val="left" w:pos="9270"/>
              </w:tabs>
              <w:spacing w:after="0" w:line="240" w:lineRule="auto"/>
              <w:jc w:val="both"/>
              <w:rPr>
                <w:rFonts w:ascii="Cambria" w:eastAsia="Batang" w:hAnsi="Cambria"/>
                <w:b/>
                <w:color w:val="000000"/>
              </w:rPr>
            </w:pPr>
            <w:r w:rsidRPr="007175E2">
              <w:rPr>
                <w:rFonts w:ascii="Cambria" w:eastAsia="Batang" w:hAnsi="Cambria"/>
                <w:b/>
                <w:color w:val="000000"/>
              </w:rPr>
              <w:t xml:space="preserve">State: </w:t>
            </w:r>
            <w:r w:rsidRPr="007175E2">
              <w:rPr>
                <w:rFonts w:ascii="Cambria" w:eastAsia="Batang" w:hAnsi="Cambria"/>
                <w:bCs/>
                <w:color w:val="000000"/>
              </w:rPr>
              <w:t>Ecuador</w:t>
            </w:r>
          </w:p>
          <w:p w14:paraId="6C4E6F7A" w14:textId="77777777" w:rsidR="00732EA4" w:rsidRPr="007175E2" w:rsidRDefault="00732EA4" w:rsidP="00F024F0">
            <w:pPr>
              <w:tabs>
                <w:tab w:val="left" w:pos="9270"/>
              </w:tabs>
              <w:spacing w:after="0" w:line="240" w:lineRule="auto"/>
              <w:jc w:val="both"/>
              <w:rPr>
                <w:rFonts w:ascii="Cambria" w:eastAsia="Batang" w:hAnsi="Cambria"/>
                <w:b/>
                <w:color w:val="000000"/>
              </w:rPr>
            </w:pPr>
            <w:r w:rsidRPr="007175E2">
              <w:rPr>
                <w:rFonts w:ascii="Cambria" w:eastAsia="Batang" w:hAnsi="Cambria"/>
                <w:b/>
                <w:bCs/>
                <w:color w:val="000000"/>
              </w:rPr>
              <w:t xml:space="preserve">Beginning of the negotiation date: </w:t>
            </w:r>
            <w:r w:rsidRPr="007175E2">
              <w:rPr>
                <w:rFonts w:ascii="Cambria" w:eastAsia="Batang" w:hAnsi="Cambria"/>
                <w:color w:val="000000"/>
              </w:rPr>
              <w:t>March 13, 2018</w:t>
            </w:r>
          </w:p>
          <w:p w14:paraId="181783C6" w14:textId="77777777" w:rsidR="00732EA4" w:rsidRPr="007175E2" w:rsidRDefault="00732EA4" w:rsidP="00F024F0">
            <w:pPr>
              <w:tabs>
                <w:tab w:val="left" w:pos="9270"/>
              </w:tabs>
              <w:spacing w:after="0" w:line="240" w:lineRule="auto"/>
              <w:jc w:val="both"/>
              <w:rPr>
                <w:rFonts w:ascii="Cambria" w:eastAsia="Batang" w:hAnsi="Cambria"/>
                <w:b/>
                <w:color w:val="000000"/>
              </w:rPr>
            </w:pPr>
            <w:r w:rsidRPr="007175E2">
              <w:rPr>
                <w:rFonts w:ascii="Cambria" w:eastAsia="Batang" w:hAnsi="Cambria"/>
                <w:b/>
                <w:bCs/>
                <w:color w:val="000000"/>
              </w:rPr>
              <w:t xml:space="preserve">FSA signature date: </w:t>
            </w:r>
            <w:r w:rsidRPr="007175E2">
              <w:rPr>
                <w:rFonts w:ascii="Cambria" w:eastAsia="Batang" w:hAnsi="Cambria"/>
                <w:color w:val="000000"/>
              </w:rPr>
              <w:t>September 24, 2018</w:t>
            </w:r>
          </w:p>
          <w:p w14:paraId="592709E3" w14:textId="77777777" w:rsidR="00732EA4" w:rsidRPr="007175E2" w:rsidRDefault="00732EA4" w:rsidP="00F024F0">
            <w:pPr>
              <w:tabs>
                <w:tab w:val="left" w:pos="9270"/>
              </w:tabs>
              <w:spacing w:after="0" w:line="240" w:lineRule="auto"/>
              <w:jc w:val="both"/>
              <w:rPr>
                <w:rFonts w:ascii="Cambria" w:eastAsia="Batang" w:hAnsi="Cambria"/>
                <w:bCs/>
                <w:color w:val="000000"/>
              </w:rPr>
            </w:pPr>
            <w:r w:rsidRPr="007175E2">
              <w:rPr>
                <w:rFonts w:ascii="Cambria" w:eastAsia="Batang" w:hAnsi="Cambria"/>
                <w:b/>
                <w:color w:val="000000"/>
              </w:rPr>
              <w:t>Report on Admissibility Nº:</w:t>
            </w:r>
            <w:r w:rsidR="00B8008C" w:rsidRPr="007175E2">
              <w:rPr>
                <w:rFonts w:ascii="Cambria" w:eastAsia="Batang" w:hAnsi="Cambria"/>
                <w:b/>
                <w:color w:val="000000"/>
              </w:rPr>
              <w:t xml:space="preserve"> </w:t>
            </w:r>
            <w:hyperlink r:id="rId12" w:history="1">
              <w:r w:rsidRPr="007175E2">
                <w:rPr>
                  <w:rStyle w:val="Hyperlink"/>
                  <w:rFonts w:ascii="Cambria" w:eastAsia="Batang" w:hAnsi="Cambria"/>
                  <w:b/>
                  <w:bCs/>
                  <w:color w:val="000000" w:themeColor="text1"/>
                </w:rPr>
                <w:t>53/14</w:t>
              </w:r>
            </w:hyperlink>
            <w:r w:rsidRPr="007175E2">
              <w:rPr>
                <w:rFonts w:ascii="Cambria" w:eastAsia="Batang" w:hAnsi="Cambria"/>
                <w:bCs/>
                <w:color w:val="000000"/>
              </w:rPr>
              <w:t>, published July 21, 2014</w:t>
            </w:r>
          </w:p>
          <w:p w14:paraId="49B323D4" w14:textId="77777777" w:rsidR="00732EA4" w:rsidRPr="007175E2" w:rsidRDefault="00732EA4" w:rsidP="00F024F0">
            <w:pPr>
              <w:tabs>
                <w:tab w:val="left" w:pos="9270"/>
              </w:tabs>
              <w:spacing w:after="0" w:line="240" w:lineRule="auto"/>
              <w:jc w:val="both"/>
              <w:rPr>
                <w:rFonts w:ascii="Cambria" w:eastAsia="Batang" w:hAnsi="Cambria"/>
                <w:b/>
                <w:color w:val="000000"/>
              </w:rPr>
            </w:pPr>
            <w:r w:rsidRPr="007175E2">
              <w:rPr>
                <w:rFonts w:ascii="Cambria" w:eastAsia="Batang" w:hAnsi="Cambria"/>
                <w:b/>
                <w:color w:val="000000"/>
              </w:rPr>
              <w:t>Report on Friendly Settlement Agreement N</w:t>
            </w:r>
            <w:r w:rsidRPr="007175E2">
              <w:rPr>
                <w:rFonts w:ascii="Cambria" w:eastAsia="Batang" w:hAnsi="Cambria"/>
                <w:b/>
                <w:color w:val="000000" w:themeColor="text1"/>
              </w:rPr>
              <w:t>º</w:t>
            </w:r>
            <w:r w:rsidRPr="007175E2">
              <w:rPr>
                <w:rFonts w:ascii="Cambria" w:eastAsia="Batang" w:hAnsi="Cambria"/>
                <w:b/>
                <w:color w:val="000000"/>
              </w:rPr>
              <w:t>:</w:t>
            </w:r>
            <w:r w:rsidR="00B8008C" w:rsidRPr="007175E2">
              <w:rPr>
                <w:rFonts w:ascii="Cambria" w:eastAsia="Batang" w:hAnsi="Cambria"/>
                <w:b/>
                <w:color w:val="000000"/>
              </w:rPr>
              <w:t xml:space="preserve"> </w:t>
            </w:r>
            <w:hyperlink r:id="rId13" w:history="1">
              <w:r w:rsidRPr="007175E2">
                <w:rPr>
                  <w:rStyle w:val="Hyperlink"/>
                  <w:rFonts w:ascii="Cambria" w:eastAsia="Batang" w:hAnsi="Cambria"/>
                  <w:b/>
                  <w:bCs/>
                  <w:color w:val="000000" w:themeColor="text1"/>
                </w:rPr>
                <w:t>167/18</w:t>
              </w:r>
            </w:hyperlink>
            <w:r w:rsidRPr="007175E2">
              <w:rPr>
                <w:rFonts w:ascii="Cambria" w:eastAsia="Batang" w:hAnsi="Cambria"/>
                <w:bCs/>
                <w:color w:val="000000"/>
              </w:rPr>
              <w:t>, published December 21, 2018</w:t>
            </w:r>
          </w:p>
          <w:p w14:paraId="78725819" w14:textId="77777777" w:rsidR="00732EA4" w:rsidRPr="007175E2" w:rsidRDefault="00732EA4" w:rsidP="00F024F0">
            <w:pPr>
              <w:tabs>
                <w:tab w:val="left" w:pos="9270"/>
              </w:tabs>
              <w:spacing w:after="0" w:line="240" w:lineRule="auto"/>
              <w:jc w:val="both"/>
              <w:rPr>
                <w:rFonts w:ascii="Cambria" w:eastAsia="Batang" w:hAnsi="Cambria"/>
                <w:b/>
                <w:bCs/>
                <w:color w:val="000000"/>
              </w:rPr>
            </w:pPr>
            <w:r w:rsidRPr="007175E2">
              <w:rPr>
                <w:rFonts w:ascii="Cambria" w:eastAsia="Batang" w:hAnsi="Cambria"/>
                <w:b/>
                <w:bCs/>
                <w:color w:val="000000"/>
              </w:rPr>
              <w:t xml:space="preserve">Estimated length of the negotiation phase: </w:t>
            </w:r>
            <w:r w:rsidRPr="007175E2">
              <w:rPr>
                <w:rFonts w:ascii="Cambria" w:eastAsia="Batang" w:hAnsi="Cambria"/>
                <w:color w:val="000000"/>
              </w:rPr>
              <w:t>9 months</w:t>
            </w:r>
            <w:r w:rsidRPr="007175E2">
              <w:rPr>
                <w:rFonts w:ascii="Cambria" w:eastAsia="Batang" w:hAnsi="Cambria"/>
                <w:b/>
                <w:bCs/>
                <w:color w:val="000000"/>
              </w:rPr>
              <w:t xml:space="preserve"> </w:t>
            </w:r>
          </w:p>
          <w:p w14:paraId="55AAC05A" w14:textId="77777777" w:rsidR="00732EA4" w:rsidRPr="007175E2" w:rsidRDefault="00732EA4" w:rsidP="00F024F0">
            <w:pPr>
              <w:tabs>
                <w:tab w:val="left" w:pos="9270"/>
              </w:tabs>
              <w:spacing w:after="0" w:line="240" w:lineRule="auto"/>
              <w:jc w:val="both"/>
              <w:rPr>
                <w:rFonts w:ascii="Cambria" w:eastAsia="Batang" w:hAnsi="Cambria"/>
                <w:b/>
                <w:color w:val="000000"/>
              </w:rPr>
            </w:pPr>
            <w:r w:rsidRPr="007175E2">
              <w:rPr>
                <w:rFonts w:ascii="Cambria" w:eastAsia="Batang" w:hAnsi="Cambria"/>
                <w:b/>
                <w:color w:val="000000"/>
              </w:rPr>
              <w:t xml:space="preserve">Rapporteurship involved: </w:t>
            </w:r>
            <w:r w:rsidRPr="007175E2">
              <w:rPr>
                <w:rFonts w:ascii="Cambria" w:eastAsia="Batang" w:hAnsi="Cambria"/>
                <w:bCs/>
                <w:color w:val="000000"/>
              </w:rPr>
              <w:t>Special Rapporteur on Economic, Social, Cultural and Environmental Rights.</w:t>
            </w:r>
          </w:p>
          <w:p w14:paraId="12A20D8C" w14:textId="77777777" w:rsidR="00732EA4" w:rsidRPr="007175E2" w:rsidRDefault="00732EA4" w:rsidP="00F024F0">
            <w:pPr>
              <w:tabs>
                <w:tab w:val="left" w:pos="9270"/>
              </w:tabs>
              <w:spacing w:after="0" w:line="240" w:lineRule="auto"/>
              <w:jc w:val="both"/>
              <w:rPr>
                <w:rFonts w:ascii="Cambria" w:eastAsia="Batang" w:hAnsi="Cambria"/>
                <w:b/>
                <w:color w:val="000000"/>
              </w:rPr>
            </w:pPr>
            <w:r w:rsidRPr="007175E2">
              <w:rPr>
                <w:rFonts w:ascii="Cambria" w:eastAsia="Batang" w:hAnsi="Cambria"/>
                <w:b/>
                <w:color w:val="000000"/>
              </w:rPr>
              <w:t xml:space="preserve">Topics: </w:t>
            </w:r>
            <w:r w:rsidRPr="007175E2">
              <w:rPr>
                <w:rFonts w:ascii="Cambria" w:eastAsia="Batang" w:hAnsi="Cambria"/>
                <w:bCs/>
                <w:color w:val="000000"/>
              </w:rPr>
              <w:t>Work under equitable and satisfactory conditions / Economic, Social, Cultural and Environmental Rights</w:t>
            </w:r>
          </w:p>
          <w:p w14:paraId="6DEE66F5" w14:textId="77777777" w:rsidR="00732EA4" w:rsidRPr="007175E2" w:rsidRDefault="00732EA4" w:rsidP="00F024F0">
            <w:pPr>
              <w:tabs>
                <w:tab w:val="left" w:pos="9270"/>
              </w:tabs>
              <w:spacing w:after="0" w:line="240" w:lineRule="auto"/>
              <w:jc w:val="both"/>
              <w:rPr>
                <w:rFonts w:ascii="Cambria" w:eastAsia="Batang" w:hAnsi="Cambria"/>
                <w:b/>
                <w:color w:val="000000"/>
                <w:highlight w:val="yellow"/>
              </w:rPr>
            </w:pPr>
          </w:p>
          <w:p w14:paraId="6DF0C08F" w14:textId="77777777" w:rsidR="00732EA4" w:rsidRPr="007175E2" w:rsidRDefault="00732EA4" w:rsidP="00F024F0">
            <w:pPr>
              <w:tabs>
                <w:tab w:val="left" w:pos="9270"/>
              </w:tabs>
              <w:spacing w:after="0" w:line="240" w:lineRule="auto"/>
              <w:jc w:val="both"/>
              <w:rPr>
                <w:rFonts w:ascii="Cambria" w:eastAsia="Batang" w:hAnsi="Cambria"/>
                <w:bCs/>
                <w:color w:val="000000"/>
              </w:rPr>
            </w:pPr>
            <w:r w:rsidRPr="007175E2">
              <w:rPr>
                <w:rFonts w:ascii="Cambria" w:eastAsia="Batang" w:hAnsi="Cambria"/>
                <w:b/>
                <w:color w:val="000000"/>
              </w:rPr>
              <w:t xml:space="preserve">Facts: </w:t>
            </w:r>
            <w:r w:rsidRPr="007175E2">
              <w:rPr>
                <w:rFonts w:ascii="Cambria" w:eastAsia="Batang" w:hAnsi="Cambria"/>
                <w:bCs/>
                <w:color w:val="000000"/>
              </w:rPr>
              <w:t>Mr. Peñaherrera was an active member of the Land Force and had attained the rank of Colonel of the Joint Staff. Peñaherrera was highly decorated during his military career and was never sanctioned for military or other acts. Also, while he was Director of the Eloy Alfaro Military Academy this victim encouraged the inclusion of women in the Land Force by accepting the first female cadets (officer candidates) in October 1999, even though the Land Force and the armed forces in general had traditionally opposed the inclusion of women as officers; for that reason, the inclusion of women in the first cadet graduating class was strongly opposed by a group of generals. From the beginning of this initiative, his superiors had let him know “in different ways” their displeasure over his acceptance of women into the Land Force. Despite this, Peñaherrera continued to recruit female cadets. On June 21, 2001, the General Officer’s Council of the Land Force met to vote on colonels to be promoted. The next day the victim was informed that he was “not suitable” for a promotion. The petitioner argued that the there was no explanation at all for this decision regarding his alleged unsuitability because he had fulfilled as the legal requirements to be promoted. Furthermore, he alleged that he was told unofficially that his error had been “to heavily promote the idea of letting women in.”</w:t>
            </w:r>
          </w:p>
          <w:p w14:paraId="48181C05" w14:textId="77777777" w:rsidR="00732EA4" w:rsidRPr="007175E2" w:rsidRDefault="00732EA4" w:rsidP="00F024F0">
            <w:pPr>
              <w:tabs>
                <w:tab w:val="left" w:pos="9270"/>
              </w:tabs>
              <w:spacing w:after="0" w:line="240" w:lineRule="auto"/>
              <w:jc w:val="both"/>
              <w:rPr>
                <w:rFonts w:ascii="Cambria" w:eastAsia="Batang" w:hAnsi="Cambria"/>
                <w:b/>
                <w:color w:val="000000"/>
              </w:rPr>
            </w:pPr>
          </w:p>
          <w:p w14:paraId="5FF7BF36" w14:textId="77777777" w:rsidR="00732EA4" w:rsidRPr="007175E2" w:rsidRDefault="00732EA4" w:rsidP="00F024F0">
            <w:pPr>
              <w:tabs>
                <w:tab w:val="left" w:pos="9270"/>
              </w:tabs>
              <w:spacing w:after="0" w:line="240" w:lineRule="auto"/>
              <w:jc w:val="both"/>
              <w:rPr>
                <w:rFonts w:ascii="Cambria" w:eastAsia="Batang" w:hAnsi="Cambria"/>
                <w:color w:val="000000"/>
              </w:rPr>
            </w:pPr>
            <w:r w:rsidRPr="007175E2">
              <w:rPr>
                <w:rFonts w:ascii="Cambria" w:eastAsia="Batang" w:hAnsi="Cambria"/>
                <w:b/>
                <w:color w:val="000000"/>
              </w:rPr>
              <w:t xml:space="preserve">Rights declared admissible: </w:t>
            </w:r>
            <w:r w:rsidRPr="007175E2">
              <w:rPr>
                <w:rFonts w:ascii="Cambria" w:eastAsia="Batang" w:hAnsi="Cambria"/>
                <w:bCs/>
                <w:color w:val="000000"/>
              </w:rPr>
              <w:t>The Commission concluded that it was competent to hear the instant case and the petition was admissible in keeping with the rights provided for under Articles 8 (right to a fair trial), 13 (freedom of thought and expression), 24 (right to equal protection), and 25 (right to judicial protection) in connection with Article 1.1 of the American Convention on Human Rights (“the American Convention”).</w:t>
            </w:r>
          </w:p>
        </w:tc>
      </w:tr>
    </w:tbl>
    <w:p w14:paraId="50FC332F" w14:textId="44867A05" w:rsidR="00732EA4" w:rsidRDefault="00732EA4" w:rsidP="00732EA4">
      <w:pPr>
        <w:spacing w:after="0" w:line="240" w:lineRule="auto"/>
        <w:ind w:left="720"/>
        <w:contextualSpacing/>
        <w:jc w:val="both"/>
        <w:rPr>
          <w:rFonts w:ascii="Cambria" w:eastAsia="Batang" w:hAnsi="Cambria" w:cs="Calibri Light"/>
          <w:b/>
          <w:color w:val="000000"/>
        </w:rPr>
      </w:pPr>
    </w:p>
    <w:p w14:paraId="7603ED4D" w14:textId="0FB39ADC" w:rsidR="004C205D" w:rsidRDefault="004C205D" w:rsidP="00732EA4">
      <w:pPr>
        <w:spacing w:after="0" w:line="240" w:lineRule="auto"/>
        <w:ind w:left="720"/>
        <w:contextualSpacing/>
        <w:jc w:val="both"/>
        <w:rPr>
          <w:rFonts w:ascii="Cambria" w:eastAsia="Batang" w:hAnsi="Cambria" w:cs="Calibri Light"/>
          <w:b/>
          <w:color w:val="000000"/>
        </w:rPr>
      </w:pPr>
    </w:p>
    <w:p w14:paraId="7848B55F" w14:textId="1862FA58" w:rsidR="004C205D" w:rsidRDefault="004C205D" w:rsidP="00732EA4">
      <w:pPr>
        <w:spacing w:after="0" w:line="240" w:lineRule="auto"/>
        <w:ind w:left="720"/>
        <w:contextualSpacing/>
        <w:jc w:val="both"/>
        <w:rPr>
          <w:rFonts w:ascii="Cambria" w:eastAsia="Batang" w:hAnsi="Cambria" w:cs="Calibri Light"/>
          <w:b/>
          <w:color w:val="000000"/>
        </w:rPr>
      </w:pPr>
    </w:p>
    <w:p w14:paraId="282ACD20" w14:textId="77777777" w:rsidR="004C205D" w:rsidRPr="007175E2" w:rsidRDefault="004C205D" w:rsidP="00732EA4">
      <w:pPr>
        <w:spacing w:after="0" w:line="240" w:lineRule="auto"/>
        <w:ind w:left="720"/>
        <w:contextualSpacing/>
        <w:jc w:val="both"/>
        <w:rPr>
          <w:rFonts w:ascii="Cambria" w:eastAsia="Batang" w:hAnsi="Cambria" w:cs="Calibri Light"/>
          <w:b/>
          <w:color w:val="000000"/>
        </w:rPr>
      </w:pPr>
    </w:p>
    <w:p w14:paraId="391AEB1F" w14:textId="77777777" w:rsidR="00054EA0" w:rsidRPr="007175E2" w:rsidRDefault="00054EA0" w:rsidP="00637AFB">
      <w:pPr>
        <w:pStyle w:val="ListParagraph"/>
        <w:numPr>
          <w:ilvl w:val="0"/>
          <w:numId w:val="22"/>
        </w:numPr>
        <w:spacing w:after="0" w:line="240" w:lineRule="auto"/>
        <w:ind w:left="0" w:firstLine="720"/>
        <w:jc w:val="both"/>
        <w:rPr>
          <w:rFonts w:ascii="Cambria" w:eastAsia="Batang" w:hAnsi="Cambria" w:cs="Calibri Light"/>
          <w:b/>
          <w:color w:val="000000"/>
        </w:rPr>
      </w:pPr>
      <w:r w:rsidRPr="007175E2">
        <w:rPr>
          <w:rFonts w:ascii="Cambria" w:eastAsia="Batang" w:hAnsi="Cambria"/>
          <w:b/>
          <w:color w:val="000000"/>
        </w:rPr>
        <w:lastRenderedPageBreak/>
        <w:t>PROCEDURAL ACTIVITY</w:t>
      </w:r>
    </w:p>
    <w:p w14:paraId="58BAD7A8" w14:textId="77777777" w:rsidR="00054EA0" w:rsidRPr="007175E2" w:rsidRDefault="00054EA0" w:rsidP="007175E2">
      <w:pPr>
        <w:spacing w:after="0" w:line="240" w:lineRule="auto"/>
        <w:ind w:firstLine="720"/>
        <w:contextualSpacing/>
        <w:jc w:val="both"/>
        <w:rPr>
          <w:rFonts w:ascii="Cambria" w:eastAsia="Batang" w:hAnsi="Cambria" w:cs="Calibri Light"/>
          <w:b/>
          <w:color w:val="000000"/>
        </w:rPr>
      </w:pPr>
    </w:p>
    <w:p w14:paraId="12F0283E" w14:textId="3BEFFE29" w:rsidR="00054EA0" w:rsidRPr="007175E2" w:rsidRDefault="00054EA0" w:rsidP="007175E2">
      <w:pPr>
        <w:spacing w:after="0" w:line="240" w:lineRule="auto"/>
        <w:ind w:firstLine="720"/>
        <w:contextualSpacing/>
        <w:jc w:val="both"/>
        <w:rPr>
          <w:rFonts w:ascii="Cambria" w:eastAsia="Batang" w:hAnsi="Cambria" w:cs="Calibri Light"/>
          <w:color w:val="000000"/>
        </w:rPr>
      </w:pPr>
      <w:r w:rsidRPr="007175E2">
        <w:rPr>
          <w:rFonts w:ascii="Cambria" w:eastAsia="Batang" w:hAnsi="Cambria" w:cs="Calibri Light"/>
          <w:color w:val="000000"/>
        </w:rPr>
        <w:t>1.</w:t>
      </w:r>
      <w:r w:rsidRPr="007175E2">
        <w:rPr>
          <w:rFonts w:ascii="Cambria" w:eastAsia="Batang" w:hAnsi="Cambria" w:cs="Calibri Light"/>
          <w:color w:val="000000"/>
        </w:rPr>
        <w:tab/>
        <w:t xml:space="preserve">On September 24, 2018, the parties </w:t>
      </w:r>
      <w:r w:rsidR="007175E2" w:rsidRPr="007175E2">
        <w:rPr>
          <w:rFonts w:ascii="Cambria" w:eastAsia="Batang" w:hAnsi="Cambria" w:cs="Calibri Light"/>
          <w:color w:val="000000"/>
        </w:rPr>
        <w:t>signed a f</w:t>
      </w:r>
      <w:r w:rsidRPr="007175E2">
        <w:rPr>
          <w:rFonts w:ascii="Cambria" w:eastAsia="Batang" w:hAnsi="Cambria" w:cs="Calibri Light"/>
          <w:color w:val="000000"/>
        </w:rPr>
        <w:t>riendly settlement</w:t>
      </w:r>
      <w:r w:rsidR="007175E2" w:rsidRPr="007175E2">
        <w:rPr>
          <w:rFonts w:ascii="Cambria" w:eastAsia="Batang" w:hAnsi="Cambria" w:cs="Calibri Light"/>
          <w:color w:val="000000"/>
        </w:rPr>
        <w:t xml:space="preserve"> agreement</w:t>
      </w:r>
      <w:r w:rsidRPr="007175E2">
        <w:rPr>
          <w:rFonts w:ascii="Cambria" w:eastAsia="Batang" w:hAnsi="Cambria" w:cs="Calibri Light"/>
          <w:color w:val="000000"/>
        </w:rPr>
        <w:t>.</w:t>
      </w:r>
    </w:p>
    <w:p w14:paraId="22448EB1" w14:textId="77777777" w:rsidR="00054EA0" w:rsidRPr="007175E2" w:rsidRDefault="00054EA0" w:rsidP="007175E2">
      <w:pPr>
        <w:spacing w:after="0" w:line="240" w:lineRule="auto"/>
        <w:ind w:firstLine="720"/>
        <w:contextualSpacing/>
        <w:jc w:val="both"/>
        <w:rPr>
          <w:rFonts w:ascii="Cambria" w:eastAsia="Batang" w:hAnsi="Cambria" w:cs="Calibri Light"/>
          <w:color w:val="000000"/>
        </w:rPr>
      </w:pPr>
    </w:p>
    <w:p w14:paraId="3B22F0AC" w14:textId="77777777" w:rsidR="00054EA0" w:rsidRPr="007175E2" w:rsidRDefault="00054EA0" w:rsidP="007175E2">
      <w:pPr>
        <w:spacing w:after="0" w:line="240" w:lineRule="auto"/>
        <w:ind w:firstLine="720"/>
        <w:contextualSpacing/>
        <w:jc w:val="both"/>
        <w:rPr>
          <w:rFonts w:ascii="Cambria" w:eastAsia="Batang" w:hAnsi="Cambria" w:cs="Calibri Light"/>
          <w:color w:val="000000"/>
        </w:rPr>
      </w:pPr>
      <w:r w:rsidRPr="007175E2">
        <w:rPr>
          <w:rFonts w:ascii="Cambria" w:eastAsia="Batang" w:hAnsi="Cambria" w:cs="Calibri Light"/>
          <w:color w:val="000000"/>
        </w:rPr>
        <w:t>2.</w:t>
      </w:r>
      <w:r w:rsidRPr="007175E2">
        <w:rPr>
          <w:rFonts w:ascii="Cambria" w:eastAsia="Batang" w:hAnsi="Cambria" w:cs="Calibri Light"/>
          <w:color w:val="000000"/>
        </w:rPr>
        <w:tab/>
        <w:t>On December 21, 2018, the Commission approved the agreement signed by the parties, by means of Report No.167/18.</w:t>
      </w:r>
    </w:p>
    <w:p w14:paraId="4677BE31" w14:textId="77777777" w:rsidR="00054EA0" w:rsidRPr="007175E2" w:rsidRDefault="00054EA0" w:rsidP="00054EA0">
      <w:pPr>
        <w:spacing w:after="0" w:line="240" w:lineRule="auto"/>
        <w:ind w:firstLine="709"/>
        <w:contextualSpacing/>
        <w:jc w:val="both"/>
        <w:rPr>
          <w:rFonts w:ascii="Cambria" w:eastAsia="Batang" w:hAnsi="Cambria" w:cs="Calibri Light"/>
          <w:color w:val="000000"/>
          <w:highlight w:val="cyan"/>
        </w:rPr>
      </w:pPr>
    </w:p>
    <w:p w14:paraId="7AC8311E" w14:textId="77777777" w:rsidR="00054EA0" w:rsidRPr="007175E2" w:rsidRDefault="00054EA0" w:rsidP="00637AFB">
      <w:pPr>
        <w:pStyle w:val="ListParagraph"/>
        <w:numPr>
          <w:ilvl w:val="0"/>
          <w:numId w:val="22"/>
        </w:numPr>
        <w:spacing w:after="0" w:line="240" w:lineRule="auto"/>
        <w:ind w:left="0" w:firstLine="709"/>
        <w:jc w:val="both"/>
        <w:rPr>
          <w:rFonts w:ascii="Cambria" w:eastAsia="Batang" w:hAnsi="Cambria" w:cs="Calibri Light"/>
          <w:b/>
          <w:color w:val="000000"/>
        </w:rPr>
      </w:pPr>
      <w:r w:rsidRPr="007175E2">
        <w:rPr>
          <w:rFonts w:ascii="Cambria" w:eastAsia="Batang" w:hAnsi="Cambria" w:cs="Calibri Light"/>
          <w:b/>
          <w:color w:val="000000"/>
        </w:rPr>
        <w:t>ANALYSIS OF COMPLIANCE WITH THE CLAUSES OF THE FRIENDLY SETTLEMENT</w:t>
      </w:r>
    </w:p>
    <w:p w14:paraId="6D114B80" w14:textId="77777777" w:rsidR="00D76EDC" w:rsidRPr="007175E2" w:rsidRDefault="00D76EDC" w:rsidP="00D76EDC">
      <w:pPr>
        <w:pStyle w:val="ListParagraph"/>
        <w:spacing w:after="0" w:line="240" w:lineRule="auto"/>
        <w:ind w:left="709"/>
        <w:jc w:val="both"/>
        <w:rPr>
          <w:rFonts w:ascii="Cambria" w:eastAsia="Batang" w:hAnsi="Cambria" w:cs="Calibri Light"/>
          <w:b/>
          <w:color w:val="00000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8"/>
        <w:gridCol w:w="1985"/>
      </w:tblGrid>
      <w:tr w:rsidR="00D76EDC" w:rsidRPr="007175E2" w14:paraId="404CD03F" w14:textId="77777777" w:rsidTr="00D76EDC">
        <w:tc>
          <w:tcPr>
            <w:tcW w:w="725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8A543A" w14:textId="77777777" w:rsidR="00D76EDC" w:rsidRPr="007175E2" w:rsidRDefault="00D76EDC" w:rsidP="00F024F0">
            <w:pPr>
              <w:tabs>
                <w:tab w:val="center" w:pos="2049"/>
              </w:tabs>
              <w:spacing w:after="0" w:line="240" w:lineRule="auto"/>
              <w:jc w:val="center"/>
              <w:rPr>
                <w:rFonts w:ascii="Cambria" w:eastAsia="Batang" w:hAnsi="Cambria"/>
                <w:b/>
                <w:color w:val="000000"/>
              </w:rPr>
            </w:pPr>
            <w:r w:rsidRPr="007175E2">
              <w:rPr>
                <w:rFonts w:ascii="Cambria" w:eastAsia="Batang" w:hAnsi="Cambria"/>
                <w:b/>
                <w:color w:val="000000"/>
              </w:rPr>
              <w:t xml:space="preserve">Clause of the Agreement </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CE101C" w14:textId="77777777" w:rsidR="00D76EDC" w:rsidRPr="007175E2" w:rsidRDefault="00D76EDC" w:rsidP="00F024F0">
            <w:pPr>
              <w:spacing w:after="0" w:line="240" w:lineRule="auto"/>
              <w:jc w:val="center"/>
              <w:rPr>
                <w:rFonts w:ascii="Cambria" w:eastAsia="Batang" w:hAnsi="Cambria"/>
                <w:b/>
                <w:color w:val="000000"/>
              </w:rPr>
            </w:pPr>
            <w:r w:rsidRPr="007175E2">
              <w:rPr>
                <w:rFonts w:ascii="Cambria" w:eastAsia="Batang" w:hAnsi="Cambria"/>
                <w:b/>
                <w:color w:val="000000"/>
              </w:rPr>
              <w:t xml:space="preserve">Status of Implementation </w:t>
            </w:r>
          </w:p>
        </w:tc>
      </w:tr>
      <w:tr w:rsidR="00D76EDC" w:rsidRPr="007175E2" w14:paraId="24A99166" w14:textId="77777777" w:rsidTr="00D76EDC">
        <w:tc>
          <w:tcPr>
            <w:tcW w:w="9243" w:type="dxa"/>
            <w:gridSpan w:val="2"/>
            <w:tcBorders>
              <w:top w:val="single" w:sz="4" w:space="0" w:color="auto"/>
              <w:left w:val="single" w:sz="4" w:space="0" w:color="auto"/>
              <w:bottom w:val="single" w:sz="4" w:space="0" w:color="auto"/>
              <w:right w:val="single" w:sz="4" w:space="0" w:color="auto"/>
            </w:tcBorders>
          </w:tcPr>
          <w:p w14:paraId="5DDDE510" w14:textId="77777777" w:rsidR="00D76EDC" w:rsidRPr="007175E2" w:rsidRDefault="00D76EDC" w:rsidP="00F024F0">
            <w:pPr>
              <w:spacing w:after="0" w:line="240" w:lineRule="auto"/>
              <w:jc w:val="both"/>
              <w:rPr>
                <w:rFonts w:ascii="Cambria" w:hAnsi="Cambria"/>
                <w:b/>
                <w:bCs/>
              </w:rPr>
            </w:pPr>
            <w:r w:rsidRPr="007175E2">
              <w:rPr>
                <w:rFonts w:ascii="Cambria" w:hAnsi="Cambria"/>
                <w:b/>
                <w:bCs/>
              </w:rPr>
              <w:t>FOURTH: Responsibility of the State according to the articles admitted by the Inter-American Commission on Human Rights</w:t>
            </w:r>
          </w:p>
        </w:tc>
      </w:tr>
      <w:tr w:rsidR="00D76EDC" w:rsidRPr="007175E2" w14:paraId="3C68CF79" w14:textId="77777777" w:rsidTr="00D76EDC">
        <w:trPr>
          <w:trHeight w:val="608"/>
        </w:trPr>
        <w:tc>
          <w:tcPr>
            <w:tcW w:w="7258" w:type="dxa"/>
            <w:tcBorders>
              <w:top w:val="single" w:sz="4" w:space="0" w:color="auto"/>
              <w:left w:val="single" w:sz="4" w:space="0" w:color="auto"/>
              <w:bottom w:val="single" w:sz="4" w:space="0" w:color="auto"/>
              <w:right w:val="single" w:sz="4" w:space="0" w:color="auto"/>
            </w:tcBorders>
          </w:tcPr>
          <w:p w14:paraId="183BAFD4" w14:textId="77777777" w:rsidR="00D76EDC" w:rsidRPr="007175E2" w:rsidRDefault="00D76EDC" w:rsidP="00F024F0">
            <w:pPr>
              <w:spacing w:after="0" w:line="240" w:lineRule="auto"/>
              <w:ind w:right="72"/>
              <w:jc w:val="both"/>
              <w:rPr>
                <w:rFonts w:ascii="Cambria" w:hAnsi="Cambria"/>
                <w:bCs/>
                <w:color w:val="000000"/>
                <w:kern w:val="36"/>
              </w:rPr>
            </w:pPr>
            <w:r w:rsidRPr="007175E2">
              <w:rPr>
                <w:rFonts w:ascii="Cambria" w:eastAsia="Times New Roman" w:hAnsi="Cambria"/>
                <w:bCs/>
                <w:color w:val="000000"/>
                <w:kern w:val="36"/>
              </w:rPr>
              <w:t>[…] it bears mention that the Ministry of Defense, in its Human Rights Technical Advisory Report submitted to the office of the Attorney General through memo No. MDN-MDN-2018-0542-OF of April 26, 2018, stated that “considering the importance of protecting the rights under discussion, the  State must acknowledge its international responsibility for violation of the human rights set forth in Articles  8, 13, 24, and 25,” which is ratified through this agreement.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4D50D37" w14:textId="77777777" w:rsidR="00D76EDC" w:rsidRPr="007175E2" w:rsidRDefault="00D76EDC" w:rsidP="00F024F0">
            <w:pPr>
              <w:spacing w:after="0" w:line="240" w:lineRule="auto"/>
              <w:jc w:val="center"/>
              <w:rPr>
                <w:rFonts w:ascii="Cambria" w:eastAsia="Batang" w:hAnsi="Cambria"/>
                <w:b/>
                <w:bCs/>
                <w:color w:val="000000"/>
              </w:rPr>
            </w:pPr>
            <w:r w:rsidRPr="007175E2">
              <w:rPr>
                <w:rFonts w:ascii="Cambria" w:hAnsi="Cambria"/>
                <w:b/>
                <w:color w:val="000000"/>
              </w:rPr>
              <w:t>Declarative Clause</w:t>
            </w:r>
          </w:p>
        </w:tc>
      </w:tr>
      <w:tr w:rsidR="00D76EDC" w:rsidRPr="007175E2" w14:paraId="4C0619B9" w14:textId="77777777" w:rsidTr="00D76EDC">
        <w:trPr>
          <w:trHeight w:val="73"/>
        </w:trPr>
        <w:tc>
          <w:tcPr>
            <w:tcW w:w="9243" w:type="dxa"/>
            <w:gridSpan w:val="2"/>
            <w:tcBorders>
              <w:top w:val="single" w:sz="4" w:space="0" w:color="auto"/>
              <w:left w:val="single" w:sz="4" w:space="0" w:color="auto"/>
              <w:bottom w:val="single" w:sz="4" w:space="0" w:color="auto"/>
              <w:right w:val="single" w:sz="4" w:space="0" w:color="auto"/>
            </w:tcBorders>
            <w:vAlign w:val="center"/>
          </w:tcPr>
          <w:p w14:paraId="1BEC1C4B" w14:textId="77777777" w:rsidR="00D76EDC" w:rsidRPr="007175E2" w:rsidRDefault="00D76EDC" w:rsidP="00F024F0">
            <w:pPr>
              <w:spacing w:after="0" w:line="240" w:lineRule="auto"/>
              <w:rPr>
                <w:rFonts w:ascii="Cambria" w:eastAsia="Batang" w:hAnsi="Cambria"/>
                <w:b/>
                <w:color w:val="000000"/>
              </w:rPr>
            </w:pPr>
            <w:r w:rsidRPr="007175E2">
              <w:rPr>
                <w:rFonts w:ascii="Cambria" w:hAnsi="Cambria"/>
                <w:b/>
                <w:color w:val="000000"/>
              </w:rPr>
              <w:t>SEVENTH: FRIENDLY SETTLEMENT AGREEMENT</w:t>
            </w:r>
          </w:p>
        </w:tc>
      </w:tr>
      <w:tr w:rsidR="00D76EDC" w:rsidRPr="007175E2" w14:paraId="6ADFF417" w14:textId="77777777" w:rsidTr="00D76EDC">
        <w:trPr>
          <w:trHeight w:val="4499"/>
        </w:trPr>
        <w:tc>
          <w:tcPr>
            <w:tcW w:w="7258" w:type="dxa"/>
            <w:tcBorders>
              <w:top w:val="single" w:sz="4" w:space="0" w:color="auto"/>
              <w:left w:val="single" w:sz="4" w:space="0" w:color="auto"/>
              <w:bottom w:val="single" w:sz="4" w:space="0" w:color="auto"/>
              <w:right w:val="single" w:sz="4" w:space="0" w:color="auto"/>
            </w:tcBorders>
          </w:tcPr>
          <w:p w14:paraId="2115BC0E" w14:textId="77777777" w:rsidR="00D76EDC" w:rsidRPr="007175E2" w:rsidRDefault="00D76EDC" w:rsidP="00F024F0">
            <w:pPr>
              <w:spacing w:after="0" w:line="240" w:lineRule="auto"/>
              <w:ind w:right="72"/>
              <w:jc w:val="both"/>
              <w:rPr>
                <w:rFonts w:ascii="Cambria" w:eastAsia="Times New Roman" w:hAnsi="Cambria"/>
                <w:bCs/>
              </w:rPr>
            </w:pPr>
            <w:r w:rsidRPr="007175E2">
              <w:rPr>
                <w:rFonts w:ascii="Cambria" w:eastAsia="Times New Roman" w:hAnsi="Cambria"/>
                <w:bCs/>
              </w:rPr>
              <w:t>Following the negotiation process, as stated in the unnumbered letters to the Ministry of National Defense dated December 11 and 19, 2017, setting out the requests and positions of Luis Bolivar Hernandez Peñaherrera, and the counterproposal enclosed in Official Letter No. MDN-MDN-2018-0531-OF of April 23, 2018, from the Ministry of National Defense to Luis Bolivar Hernandez Peñaherrera, it was agreed that by executive decree, as prescribed in Article 25 of the Armed Forces Personnel Law, the President of the Republic will award Luis Bolivar Hernandez Peñaherrera the rank of brigadier general and in the same act order the military discharge of the beneficiary of this agreement.</w:t>
            </w:r>
          </w:p>
          <w:p w14:paraId="59DC2380" w14:textId="77777777" w:rsidR="00D76EDC" w:rsidRPr="007175E2" w:rsidRDefault="00D76EDC" w:rsidP="00F024F0">
            <w:pPr>
              <w:spacing w:after="0" w:line="240" w:lineRule="auto"/>
              <w:ind w:right="72"/>
              <w:jc w:val="both"/>
              <w:rPr>
                <w:rFonts w:ascii="Cambria" w:eastAsia="Times New Roman" w:hAnsi="Cambria"/>
                <w:bCs/>
              </w:rPr>
            </w:pPr>
          </w:p>
          <w:p w14:paraId="6D4ACB1A" w14:textId="77777777" w:rsidR="00D76EDC" w:rsidRPr="007175E2" w:rsidRDefault="00D76EDC" w:rsidP="00F024F0">
            <w:pPr>
              <w:spacing w:after="0" w:line="240" w:lineRule="auto"/>
              <w:ind w:right="72"/>
              <w:jc w:val="both"/>
              <w:rPr>
                <w:rFonts w:ascii="Cambria" w:eastAsia="Batang" w:hAnsi="Cambria" w:cs="Calibri Light"/>
                <w:color w:val="000000"/>
              </w:rPr>
            </w:pPr>
            <w:r w:rsidRPr="007175E2">
              <w:rPr>
                <w:rFonts w:ascii="Cambria" w:eastAsia="Times New Roman" w:hAnsi="Cambria"/>
                <w:bCs/>
              </w:rPr>
              <w:t xml:space="preserve">Likewise, following the negotiation process, the parties have agreed that the Ecuadorian State, through the institution responsible for the performance of friendly settlement agreements, shall take the necessary steps before the competent agencies, so that, upon his promotion to Brigadier General and discharge, Luis Bolivar Hernandez Peñaherrera may access the social security rights to which is rank entitles him.  </w:t>
            </w:r>
          </w:p>
        </w:tc>
        <w:tc>
          <w:tcPr>
            <w:tcW w:w="1985" w:type="dxa"/>
            <w:tcBorders>
              <w:top w:val="single" w:sz="4" w:space="0" w:color="auto"/>
              <w:left w:val="single" w:sz="4" w:space="0" w:color="auto"/>
              <w:bottom w:val="single" w:sz="4" w:space="0" w:color="auto"/>
              <w:right w:val="single" w:sz="4" w:space="0" w:color="auto"/>
            </w:tcBorders>
            <w:vAlign w:val="center"/>
          </w:tcPr>
          <w:p w14:paraId="695E89F9" w14:textId="77777777" w:rsidR="00D76EDC" w:rsidRPr="007175E2" w:rsidRDefault="00D76EDC" w:rsidP="00F024F0">
            <w:pPr>
              <w:spacing w:after="0" w:line="240" w:lineRule="auto"/>
              <w:jc w:val="center"/>
              <w:rPr>
                <w:rFonts w:ascii="Cambria" w:eastAsia="Batang" w:hAnsi="Cambria"/>
                <w:b/>
                <w:color w:val="000000"/>
              </w:rPr>
            </w:pPr>
            <w:r w:rsidRPr="007175E2">
              <w:rPr>
                <w:rFonts w:ascii="Cambria" w:hAnsi="Cambria"/>
                <w:b/>
                <w:color w:val="000000"/>
              </w:rPr>
              <w:t>Total</w:t>
            </w:r>
            <w:r w:rsidRPr="007175E2">
              <w:rPr>
                <w:rFonts w:ascii="Cambria" w:eastAsia="Batang" w:hAnsi="Cambria"/>
                <w:b/>
                <w:color w:val="000000"/>
                <w:vertAlign w:val="superscript"/>
              </w:rPr>
              <w:footnoteReference w:id="1"/>
            </w:r>
          </w:p>
        </w:tc>
      </w:tr>
    </w:tbl>
    <w:p w14:paraId="2CA40002" w14:textId="77777777" w:rsidR="00CB7CD5" w:rsidRPr="007175E2" w:rsidRDefault="00CB7CD5" w:rsidP="00CB7CD5">
      <w:pPr>
        <w:pStyle w:val="ListParagraph"/>
        <w:tabs>
          <w:tab w:val="left" w:pos="720"/>
        </w:tabs>
        <w:autoSpaceDE w:val="0"/>
        <w:autoSpaceDN w:val="0"/>
        <w:adjustRightInd w:val="0"/>
        <w:spacing w:after="0" w:line="240" w:lineRule="auto"/>
        <w:ind w:left="1890"/>
        <w:jc w:val="both"/>
        <w:rPr>
          <w:rFonts w:ascii="Cambria" w:eastAsia="Batang" w:hAnsi="Cambria" w:cs="Calibri Light"/>
          <w:b/>
          <w:color w:val="000000"/>
        </w:rPr>
      </w:pPr>
    </w:p>
    <w:p w14:paraId="2AA104B3" w14:textId="77777777" w:rsidR="00CB7CD5" w:rsidRPr="007175E2" w:rsidRDefault="00CB7CD5" w:rsidP="004C205D">
      <w:pPr>
        <w:pStyle w:val="ListParagraph"/>
        <w:numPr>
          <w:ilvl w:val="0"/>
          <w:numId w:val="22"/>
        </w:numPr>
        <w:tabs>
          <w:tab w:val="left" w:pos="720"/>
        </w:tabs>
        <w:autoSpaceDE w:val="0"/>
        <w:autoSpaceDN w:val="0"/>
        <w:adjustRightInd w:val="0"/>
        <w:spacing w:after="0" w:line="240" w:lineRule="auto"/>
        <w:ind w:left="0" w:firstLine="720"/>
        <w:jc w:val="both"/>
        <w:rPr>
          <w:rFonts w:ascii="Cambria" w:eastAsia="Batang" w:hAnsi="Cambria" w:cs="Calibri Light"/>
          <w:b/>
          <w:color w:val="000000"/>
        </w:rPr>
      </w:pPr>
      <w:r w:rsidRPr="007175E2">
        <w:rPr>
          <w:rFonts w:ascii="Cambria" w:eastAsia="Batang" w:hAnsi="Cambria" w:cs="Calibri Light"/>
          <w:b/>
          <w:color w:val="000000"/>
        </w:rPr>
        <w:t xml:space="preserve">LEVEL OF COMPLIANCE OF THE CASE </w:t>
      </w:r>
    </w:p>
    <w:p w14:paraId="7E3E14CD" w14:textId="77777777" w:rsidR="00CB7CD5" w:rsidRPr="007175E2" w:rsidRDefault="00CB7CD5" w:rsidP="004C205D">
      <w:pPr>
        <w:tabs>
          <w:tab w:val="left" w:pos="720"/>
        </w:tabs>
        <w:autoSpaceDE w:val="0"/>
        <w:autoSpaceDN w:val="0"/>
        <w:adjustRightInd w:val="0"/>
        <w:spacing w:after="0" w:line="240" w:lineRule="auto"/>
        <w:ind w:firstLine="720"/>
        <w:jc w:val="both"/>
        <w:rPr>
          <w:rFonts w:ascii="Cambria" w:eastAsia="Batang" w:hAnsi="Cambria"/>
          <w:color w:val="000000"/>
        </w:rPr>
      </w:pPr>
    </w:p>
    <w:p w14:paraId="2EB0EB25" w14:textId="4AFAA7C3" w:rsidR="00CB7CD5" w:rsidRPr="004C205D" w:rsidRDefault="00CB7CD5" w:rsidP="004C205D">
      <w:pPr>
        <w:pStyle w:val="ListParagraph"/>
        <w:numPr>
          <w:ilvl w:val="0"/>
          <w:numId w:val="40"/>
        </w:numPr>
        <w:autoSpaceDE w:val="0"/>
        <w:autoSpaceDN w:val="0"/>
        <w:adjustRightInd w:val="0"/>
        <w:spacing w:after="0" w:line="240" w:lineRule="auto"/>
        <w:ind w:left="0" w:firstLine="720"/>
        <w:jc w:val="both"/>
        <w:rPr>
          <w:rFonts w:ascii="Cambria" w:eastAsia="Batang" w:hAnsi="Cambria" w:cs="Calibri Light"/>
          <w:b/>
          <w:color w:val="080808"/>
        </w:rPr>
      </w:pPr>
      <w:r w:rsidRPr="004C205D">
        <w:rPr>
          <w:rFonts w:ascii="Cambria" w:hAnsi="Cambria"/>
          <w:color w:val="080808"/>
        </w:rPr>
        <w:t>The Commission declared full compliance with the case and the ceasing of the follow-up of the friendly settlement agreement in the 2021 Annual Report.</w:t>
      </w:r>
    </w:p>
    <w:p w14:paraId="430FBF29" w14:textId="02674C4E" w:rsidR="00C76780" w:rsidRDefault="00C76780" w:rsidP="004C205D">
      <w:pPr>
        <w:pStyle w:val="ListParagraph"/>
        <w:autoSpaceDE w:val="0"/>
        <w:autoSpaceDN w:val="0"/>
        <w:adjustRightInd w:val="0"/>
        <w:spacing w:after="0" w:line="240" w:lineRule="auto"/>
        <w:ind w:left="0" w:firstLine="720"/>
        <w:jc w:val="both"/>
        <w:rPr>
          <w:rFonts w:ascii="Cambria" w:eastAsia="Batang" w:hAnsi="Cambria" w:cs="Calibri Light"/>
          <w:b/>
          <w:color w:val="080808"/>
        </w:rPr>
      </w:pPr>
    </w:p>
    <w:p w14:paraId="4FE70BF3" w14:textId="6DC24B49" w:rsidR="004C205D" w:rsidRDefault="004C205D" w:rsidP="004C205D">
      <w:pPr>
        <w:pStyle w:val="ListParagraph"/>
        <w:autoSpaceDE w:val="0"/>
        <w:autoSpaceDN w:val="0"/>
        <w:adjustRightInd w:val="0"/>
        <w:spacing w:after="0" w:line="240" w:lineRule="auto"/>
        <w:ind w:left="0" w:firstLine="720"/>
        <w:jc w:val="both"/>
        <w:rPr>
          <w:rFonts w:ascii="Cambria" w:eastAsia="Batang" w:hAnsi="Cambria" w:cs="Calibri Light"/>
          <w:b/>
          <w:color w:val="080808"/>
        </w:rPr>
      </w:pPr>
    </w:p>
    <w:p w14:paraId="51CF107A" w14:textId="77777777" w:rsidR="004C205D" w:rsidRPr="007175E2" w:rsidRDefault="004C205D" w:rsidP="004C205D">
      <w:pPr>
        <w:pStyle w:val="ListParagraph"/>
        <w:autoSpaceDE w:val="0"/>
        <w:autoSpaceDN w:val="0"/>
        <w:adjustRightInd w:val="0"/>
        <w:spacing w:after="0" w:line="240" w:lineRule="auto"/>
        <w:ind w:left="0" w:firstLine="720"/>
        <w:jc w:val="both"/>
        <w:rPr>
          <w:rFonts w:ascii="Cambria" w:eastAsia="Batang" w:hAnsi="Cambria" w:cs="Calibri Light"/>
          <w:b/>
          <w:color w:val="080808"/>
        </w:rPr>
      </w:pPr>
    </w:p>
    <w:p w14:paraId="4E256D6C" w14:textId="22CC6462" w:rsidR="00D76EDC" w:rsidRPr="004C205D" w:rsidRDefault="00D76EDC" w:rsidP="004C205D">
      <w:pPr>
        <w:pStyle w:val="ListParagraph"/>
        <w:numPr>
          <w:ilvl w:val="0"/>
          <w:numId w:val="22"/>
        </w:numPr>
        <w:spacing w:after="0" w:line="240" w:lineRule="auto"/>
        <w:ind w:left="0" w:firstLine="720"/>
        <w:jc w:val="both"/>
        <w:rPr>
          <w:rFonts w:ascii="Cambria" w:eastAsia="Batang" w:hAnsi="Cambria" w:cs="Calibri Light"/>
          <w:b/>
          <w:color w:val="000000"/>
        </w:rPr>
      </w:pPr>
      <w:r w:rsidRPr="004C205D">
        <w:rPr>
          <w:rFonts w:ascii="Cambria" w:eastAsia="Batang" w:hAnsi="Cambria" w:cs="Calibri Light"/>
          <w:b/>
          <w:color w:val="000000"/>
        </w:rPr>
        <w:lastRenderedPageBreak/>
        <w:t xml:space="preserve">INDIVIDUAL AND STRUCTURAL OUTCOMES OF THE CASE </w:t>
      </w:r>
    </w:p>
    <w:p w14:paraId="0CE3A6CC" w14:textId="77777777" w:rsidR="00D76EDC" w:rsidRPr="007175E2" w:rsidRDefault="00D76EDC" w:rsidP="00D76EDC">
      <w:pPr>
        <w:spacing w:after="0" w:line="240" w:lineRule="auto"/>
        <w:ind w:left="1440"/>
        <w:contextualSpacing/>
        <w:jc w:val="both"/>
        <w:rPr>
          <w:rFonts w:ascii="Cambria" w:eastAsia="Batang" w:hAnsi="Cambria" w:cs="Calibri Light"/>
          <w:b/>
          <w:color w:val="000000"/>
        </w:rPr>
      </w:pPr>
    </w:p>
    <w:p w14:paraId="14829C6E" w14:textId="77777777" w:rsidR="00D76EDC" w:rsidRPr="007175E2" w:rsidRDefault="00D76EDC" w:rsidP="00637AFB">
      <w:pPr>
        <w:numPr>
          <w:ilvl w:val="0"/>
          <w:numId w:val="23"/>
        </w:numPr>
        <w:spacing w:after="0" w:line="240" w:lineRule="auto"/>
        <w:ind w:left="0" w:firstLine="709"/>
        <w:contextualSpacing/>
        <w:jc w:val="both"/>
        <w:rPr>
          <w:rFonts w:ascii="Cambria" w:eastAsia="Batang" w:hAnsi="Cambria" w:cs="Calibri Light"/>
          <w:b/>
          <w:color w:val="000000"/>
        </w:rPr>
      </w:pPr>
      <w:r w:rsidRPr="007175E2">
        <w:rPr>
          <w:rFonts w:ascii="Cambria" w:eastAsia="Batang" w:hAnsi="Cambria" w:cs="Calibri Light"/>
          <w:b/>
          <w:color w:val="000000"/>
        </w:rPr>
        <w:t xml:space="preserve">Individual outcomes of the case </w:t>
      </w:r>
    </w:p>
    <w:p w14:paraId="71B7E3E7" w14:textId="77777777" w:rsidR="00D76EDC" w:rsidRPr="007175E2" w:rsidRDefault="00D76EDC" w:rsidP="00D76EDC">
      <w:pPr>
        <w:pStyle w:val="ListParagraph"/>
        <w:spacing w:after="0" w:line="240" w:lineRule="auto"/>
        <w:ind w:left="0" w:firstLine="720"/>
        <w:jc w:val="both"/>
        <w:rPr>
          <w:rFonts w:ascii="Cambria" w:hAnsi="Cambria" w:cs="Calibri Light"/>
          <w:b/>
          <w:color w:val="000000"/>
        </w:rPr>
      </w:pPr>
    </w:p>
    <w:p w14:paraId="36AEFABF" w14:textId="77777777" w:rsidR="00D76EDC" w:rsidRPr="007175E2" w:rsidRDefault="00D76EDC" w:rsidP="00C76780">
      <w:pPr>
        <w:numPr>
          <w:ilvl w:val="0"/>
          <w:numId w:val="6"/>
        </w:numPr>
        <w:spacing w:line="240" w:lineRule="auto"/>
        <w:ind w:left="1418" w:hanging="698"/>
        <w:contextualSpacing/>
        <w:jc w:val="both"/>
        <w:rPr>
          <w:rFonts w:ascii="Cambria" w:hAnsi="Cambria"/>
          <w:color w:val="000000"/>
        </w:rPr>
      </w:pPr>
      <w:r w:rsidRPr="007175E2">
        <w:rPr>
          <w:rFonts w:ascii="Cambria" w:hAnsi="Cambria"/>
          <w:color w:val="000000"/>
        </w:rPr>
        <w:t xml:space="preserve">The State has accepted responsibility for the events that occurred. </w:t>
      </w:r>
    </w:p>
    <w:p w14:paraId="71D64587" w14:textId="77777777" w:rsidR="00D76EDC" w:rsidRPr="007175E2" w:rsidRDefault="00D76EDC" w:rsidP="004C205D">
      <w:pPr>
        <w:numPr>
          <w:ilvl w:val="0"/>
          <w:numId w:val="6"/>
        </w:numPr>
        <w:spacing w:line="240" w:lineRule="auto"/>
        <w:ind w:left="1418" w:hanging="698"/>
        <w:contextualSpacing/>
        <w:jc w:val="both"/>
        <w:rPr>
          <w:rFonts w:ascii="Cambria" w:hAnsi="Cambria"/>
          <w:color w:val="000000"/>
        </w:rPr>
      </w:pPr>
      <w:r w:rsidRPr="007175E2">
        <w:rPr>
          <w:rFonts w:ascii="Cambria" w:hAnsi="Cambria"/>
          <w:color w:val="000000"/>
        </w:rPr>
        <w:t xml:space="preserve">The State granted Mr. Hernández Peñaherrera the rank of brigadier general and ordered his discharge from the military. </w:t>
      </w:r>
    </w:p>
    <w:p w14:paraId="44364B92" w14:textId="77777777" w:rsidR="00D76EDC" w:rsidRPr="007175E2" w:rsidRDefault="00D76EDC" w:rsidP="004C205D">
      <w:pPr>
        <w:numPr>
          <w:ilvl w:val="0"/>
          <w:numId w:val="6"/>
        </w:numPr>
        <w:spacing w:line="240" w:lineRule="auto"/>
        <w:ind w:left="1418" w:hanging="698"/>
        <w:contextualSpacing/>
        <w:jc w:val="both"/>
        <w:rPr>
          <w:rFonts w:ascii="Cambria" w:hAnsi="Cambria"/>
          <w:color w:val="000000"/>
        </w:rPr>
      </w:pPr>
      <w:r w:rsidRPr="007175E2">
        <w:rPr>
          <w:rFonts w:ascii="Cambria" w:hAnsi="Cambria"/>
          <w:color w:val="000000"/>
        </w:rPr>
        <w:t>Mr. Peñaherrera was able to access his military social security benefits.</w:t>
      </w:r>
    </w:p>
    <w:p w14:paraId="384DF411" w14:textId="41049CF4" w:rsidR="00660EF3" w:rsidRPr="004C205D" w:rsidRDefault="00D76EDC" w:rsidP="004C205D">
      <w:pPr>
        <w:numPr>
          <w:ilvl w:val="0"/>
          <w:numId w:val="6"/>
        </w:numPr>
        <w:spacing w:after="0" w:line="240" w:lineRule="auto"/>
        <w:ind w:left="1418" w:right="4" w:hanging="698"/>
        <w:contextualSpacing/>
        <w:jc w:val="both"/>
        <w:rPr>
          <w:rFonts w:ascii="Cambria" w:eastAsia="Batang" w:hAnsi="Cambria"/>
          <w:b/>
          <w:color w:val="000000"/>
        </w:rPr>
      </w:pPr>
      <w:r w:rsidRPr="004C205D">
        <w:rPr>
          <w:rFonts w:ascii="Cambria" w:eastAsia="MS Mincho" w:hAnsi="Cambria"/>
          <w:color w:val="000000"/>
          <w:lang w:eastAsia="es-ES_tradnl"/>
        </w:rPr>
        <w:t xml:space="preserve">The State granted Mr. Hernández Peñaherrera a monthly pension of 3,175.38 or its equivalent (US $171,590.56). </w:t>
      </w:r>
    </w:p>
    <w:sectPr w:rsidR="00660EF3" w:rsidRPr="004C205D" w:rsidSect="004C205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13B4D" w14:textId="77777777" w:rsidR="00C51BD1" w:rsidRDefault="00C51BD1" w:rsidP="00A343FF">
      <w:pPr>
        <w:spacing w:after="0" w:line="240" w:lineRule="auto"/>
      </w:pPr>
      <w:r>
        <w:separator/>
      </w:r>
    </w:p>
  </w:endnote>
  <w:endnote w:type="continuationSeparator" w:id="0">
    <w:p w14:paraId="6E253393" w14:textId="77777777" w:rsidR="00C51BD1" w:rsidRDefault="00C51BD1"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7F71F" w14:textId="77777777" w:rsidR="00F74974" w:rsidRDefault="00F74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43703" w14:textId="77777777" w:rsidR="00A61B5E" w:rsidRPr="00A61B5E" w:rsidRDefault="00A61B5E">
    <w:pPr>
      <w:pStyle w:val="Footer"/>
      <w:jc w:val="center"/>
      <w:rPr>
        <w:color w:val="404040"/>
        <w:sz w:val="16"/>
        <w:szCs w:val="16"/>
      </w:rPr>
    </w:pPr>
    <w:r w:rsidRPr="00A61B5E">
      <w:rPr>
        <w:color w:val="404040"/>
        <w:sz w:val="16"/>
        <w:szCs w:val="16"/>
      </w:rPr>
      <w:fldChar w:fldCharType="begin"/>
    </w:r>
    <w:r w:rsidRPr="00A61B5E">
      <w:rPr>
        <w:color w:val="404040"/>
        <w:sz w:val="16"/>
        <w:szCs w:val="16"/>
      </w:rPr>
      <w:instrText xml:space="preserve"> PAGE   \* MERGEFORMAT </w:instrText>
    </w:r>
    <w:r w:rsidRPr="00A61B5E">
      <w:rPr>
        <w:color w:val="404040"/>
        <w:sz w:val="16"/>
        <w:szCs w:val="16"/>
      </w:rPr>
      <w:fldChar w:fldCharType="separate"/>
    </w:r>
    <w:r w:rsidR="00F74974">
      <w:rPr>
        <w:noProof/>
        <w:color w:val="404040"/>
        <w:sz w:val="16"/>
        <w:szCs w:val="16"/>
      </w:rPr>
      <w:t>2</w:t>
    </w:r>
    <w:r w:rsidRPr="00A61B5E">
      <w:rPr>
        <w:noProof/>
        <w:color w:val="404040"/>
        <w:sz w:val="16"/>
        <w:szCs w:val="16"/>
      </w:rPr>
      <w:fldChar w:fldCharType="end"/>
    </w:r>
  </w:p>
  <w:p w14:paraId="242F45FC" w14:textId="77777777" w:rsidR="00F66FEE" w:rsidRDefault="00F66FEE" w:rsidP="008550EF">
    <w:pPr>
      <w:pStyle w:val="Footer"/>
      <w:spacing w:line="360" w:lineRule="auto"/>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BF5ED" w14:textId="77777777" w:rsidR="008F2248" w:rsidRDefault="0075689B" w:rsidP="008F2248">
    <w:pPr>
      <w:pStyle w:val="Footer"/>
      <w:spacing w:line="360" w:lineRule="auto"/>
    </w:pPr>
    <w:r>
      <w:rPr>
        <w:noProof/>
      </w:rPr>
      <w:pict w14:anchorId="7DFD246B">
        <v:rect id="_x0000_i1027" alt="" style="width:441.9pt;height:.05pt;mso-width-percent:0;mso-height-percent:0;mso-width-percent:0;mso-height-percent:0" o:hralign="center" o:hrstd="t" o:hr="t" fillcolor="#a0a0a0" stroked="f"/>
      </w:pict>
    </w:r>
  </w:p>
  <w:p w14:paraId="6EC67A5C" w14:textId="77777777" w:rsidR="008F2248" w:rsidRDefault="00AB253B" w:rsidP="006E2BD8">
    <w:pPr>
      <w:pStyle w:val="Footer"/>
      <w:jc w:val="center"/>
    </w:pPr>
    <w:r>
      <w:rPr>
        <w:noProof/>
      </w:rPr>
      <w:drawing>
        <wp:inline distT="0" distB="0" distL="0" distR="0" wp14:anchorId="6DBA9108" wp14:editId="295ADEE9">
          <wp:extent cx="5235575" cy="324485"/>
          <wp:effectExtent l="0" t="0" r="0" b="0"/>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5575" cy="3244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B26A" w14:textId="77777777" w:rsidR="00C51BD1" w:rsidRDefault="00C51BD1" w:rsidP="00A343FF">
      <w:pPr>
        <w:spacing w:after="0" w:line="240" w:lineRule="auto"/>
      </w:pPr>
      <w:r>
        <w:separator/>
      </w:r>
    </w:p>
  </w:footnote>
  <w:footnote w:type="continuationSeparator" w:id="0">
    <w:p w14:paraId="368F9250" w14:textId="77777777" w:rsidR="00C51BD1" w:rsidRDefault="00C51BD1" w:rsidP="00A343FF">
      <w:pPr>
        <w:spacing w:after="0" w:line="240" w:lineRule="auto"/>
      </w:pPr>
      <w:r>
        <w:continuationSeparator/>
      </w:r>
    </w:p>
  </w:footnote>
  <w:footnote w:id="1">
    <w:p w14:paraId="55E7AB01" w14:textId="77777777" w:rsidR="00D76EDC" w:rsidRPr="007175E2" w:rsidRDefault="00D76EDC" w:rsidP="007175E2">
      <w:pPr>
        <w:pStyle w:val="NormalWeb"/>
        <w:spacing w:before="0" w:beforeAutospacing="0" w:after="0" w:afterAutospacing="0"/>
        <w:ind w:firstLine="709"/>
        <w:jc w:val="both"/>
        <w:rPr>
          <w:rFonts w:ascii="Cambria" w:hAnsi="Cambria"/>
          <w:sz w:val="16"/>
          <w:szCs w:val="16"/>
          <w:lang w:eastAsia="es-ES_tradnl"/>
        </w:rPr>
      </w:pPr>
      <w:r w:rsidRPr="007175E2">
        <w:rPr>
          <w:rStyle w:val="FootnoteReference"/>
          <w:rFonts w:ascii="Cambria" w:hAnsi="Cambria"/>
          <w:sz w:val="16"/>
          <w:szCs w:val="16"/>
        </w:rPr>
        <w:footnoteRef/>
      </w:r>
      <w:r w:rsidRPr="007175E2">
        <w:rPr>
          <w:rFonts w:ascii="Cambria" w:hAnsi="Cambria"/>
          <w:sz w:val="16"/>
          <w:szCs w:val="16"/>
        </w:rPr>
        <w:t xml:space="preserve"> See IACHR, Annual Report 2021, Chapter II, Section F: Progress and Setbacks in the Negotiation and Implementation of Friendly Settlement Agreements, Available at: https://www.oas.org/es/cidh/docs/anual/2021/capitulos/IA2021cap2-es.pdf.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EDE9" w14:textId="77777777" w:rsidR="00F74974" w:rsidRDefault="00F74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101B" w14:textId="77777777" w:rsidR="00A343FF" w:rsidRDefault="00AB253B" w:rsidP="00DC7C8F">
    <w:pPr>
      <w:pStyle w:val="Header"/>
      <w:jc w:val="center"/>
    </w:pPr>
    <w:r>
      <w:rPr>
        <w:noProof/>
      </w:rPr>
      <w:drawing>
        <wp:inline distT="0" distB="0" distL="0" distR="0" wp14:anchorId="12DE2D16" wp14:editId="70746368">
          <wp:extent cx="2271395" cy="118110"/>
          <wp:effectExtent l="0" t="0" r="0" b="0"/>
          <wp:docPr id="4"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395" cy="118110"/>
                  </a:xfrm>
                  <a:prstGeom prst="rect">
                    <a:avLst/>
                  </a:prstGeom>
                  <a:noFill/>
                  <a:ln>
                    <a:noFill/>
                  </a:ln>
                </pic:spPr>
              </pic:pic>
            </a:graphicData>
          </a:graphic>
        </wp:inline>
      </w:drawing>
    </w:r>
  </w:p>
  <w:p w14:paraId="54B9C190" w14:textId="77777777" w:rsidR="00A343FF" w:rsidRDefault="0075689B">
    <w:pPr>
      <w:pStyle w:val="Header"/>
    </w:pPr>
    <w:r>
      <w:rPr>
        <w:noProof/>
      </w:rPr>
      <w:pict w14:anchorId="3C167262">
        <v:rect id="_x0000_i1025" alt="" style="width:441.9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FB95" w14:textId="77777777" w:rsidR="00A61B5E" w:rsidRDefault="00AB253B" w:rsidP="00A61B5E">
    <w:pPr>
      <w:pStyle w:val="Header"/>
    </w:pPr>
    <w:r>
      <w:rPr>
        <w:noProof/>
      </w:rPr>
      <w:drawing>
        <wp:anchor distT="0" distB="0" distL="114300" distR="114300" simplePos="0" relativeHeight="251656192" behindDoc="1" locked="0" layoutInCell="1" allowOverlap="1" wp14:anchorId="59FE738C" wp14:editId="11A3A48B">
          <wp:simplePos x="0" y="0"/>
          <wp:positionH relativeFrom="column">
            <wp:posOffset>0</wp:posOffset>
          </wp:positionH>
          <wp:positionV relativeFrom="paragraph">
            <wp:posOffset>-28575</wp:posOffset>
          </wp:positionV>
          <wp:extent cx="2567940" cy="495300"/>
          <wp:effectExtent l="0" t="0" r="0" b="0"/>
          <wp:wrapThrough wrapText="bothSides">
            <wp:wrapPolygon edited="0">
              <wp:start x="0" y="0"/>
              <wp:lineTo x="0" y="21046"/>
              <wp:lineTo x="21472" y="21046"/>
              <wp:lineTo x="21472" y="0"/>
              <wp:lineTo x="0" y="0"/>
            </wp:wrapPolygon>
          </wp:wrapThrough>
          <wp:docPr id="7"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4DEC2470" wp14:editId="773EC283">
          <wp:simplePos x="0" y="0"/>
          <wp:positionH relativeFrom="column">
            <wp:posOffset>4019550</wp:posOffset>
          </wp:positionH>
          <wp:positionV relativeFrom="paragraph">
            <wp:posOffset>-34290</wp:posOffset>
          </wp:positionV>
          <wp:extent cx="1924050" cy="499110"/>
          <wp:effectExtent l="0" t="0" r="0" b="0"/>
          <wp:wrapThrough wrapText="bothSides">
            <wp:wrapPolygon edited="0">
              <wp:start x="1711" y="0"/>
              <wp:lineTo x="0" y="3298"/>
              <wp:lineTo x="0" y="14290"/>
              <wp:lineTo x="428" y="18137"/>
              <wp:lineTo x="1568" y="20885"/>
              <wp:lineTo x="1711" y="20885"/>
              <wp:lineTo x="3850" y="20885"/>
              <wp:lineTo x="3992" y="20885"/>
              <wp:lineTo x="5133" y="17588"/>
              <wp:lineTo x="21529" y="17588"/>
              <wp:lineTo x="21529" y="11542"/>
              <wp:lineTo x="20103" y="8794"/>
              <wp:lineTo x="20388" y="5496"/>
              <wp:lineTo x="18962" y="4397"/>
              <wp:lineTo x="3707" y="0"/>
              <wp:lineTo x="1711" y="0"/>
            </wp:wrapPolygon>
          </wp:wrapThrough>
          <wp:docPr id="6"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9911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B5E">
      <w:tab/>
    </w:r>
    <w:r w:rsidR="00A61B5E">
      <w:tab/>
    </w:r>
  </w:p>
  <w:p w14:paraId="16B56DFB" w14:textId="77777777" w:rsidR="00F53B51" w:rsidRDefault="00F53B51" w:rsidP="00A61B5E">
    <w:pPr>
      <w:pStyle w:val="Header"/>
    </w:pPr>
  </w:p>
  <w:p w14:paraId="4948EA69" w14:textId="77777777" w:rsidR="00F53B51" w:rsidRDefault="00F53B51" w:rsidP="00A61B5E">
    <w:pPr>
      <w:pStyle w:val="Header"/>
    </w:pPr>
  </w:p>
  <w:p w14:paraId="0D5588C7" w14:textId="77777777" w:rsidR="00A61B5E" w:rsidRDefault="0075689B" w:rsidP="00A61B5E">
    <w:pPr>
      <w:pStyle w:val="Header"/>
    </w:pPr>
    <w:r>
      <w:rPr>
        <w:noProof/>
      </w:rPr>
      <w:pict w14:anchorId="3DB91606">
        <v:rect id="_x0000_i1026"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7BDB"/>
    <w:multiLevelType w:val="hybridMultilevel"/>
    <w:tmpl w:val="61D47DB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C30BBE"/>
    <w:multiLevelType w:val="hybridMultilevel"/>
    <w:tmpl w:val="BBF0671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B45238"/>
    <w:multiLevelType w:val="hybridMultilevel"/>
    <w:tmpl w:val="E132C0D0"/>
    <w:lvl w:ilvl="0" w:tplc="65526156">
      <w:start w:val="1"/>
      <w:numFmt w:val="bullet"/>
      <w:lvlText w:val=""/>
      <w:lvlJc w:val="left"/>
      <w:pPr>
        <w:ind w:left="1530" w:hanging="360"/>
      </w:pPr>
      <w:rPr>
        <w:rFonts w:ascii="Symbol" w:hAnsi="Symbol" w:hint="default"/>
        <w:color w:val="000000"/>
        <w:sz w:val="20"/>
        <w:szCs w:val="20"/>
      </w:rPr>
    </w:lvl>
    <w:lvl w:ilvl="1" w:tplc="0C0A0003">
      <w:start w:val="1"/>
      <w:numFmt w:val="bullet"/>
      <w:lvlText w:val="o"/>
      <w:lvlJc w:val="left"/>
      <w:pPr>
        <w:ind w:left="2250" w:hanging="360"/>
      </w:pPr>
      <w:rPr>
        <w:rFonts w:ascii="Courier New" w:hAnsi="Courier New" w:cs="Courier New" w:hint="default"/>
      </w:rPr>
    </w:lvl>
    <w:lvl w:ilvl="2" w:tplc="0C0A0005" w:tentative="1">
      <w:start w:val="1"/>
      <w:numFmt w:val="bullet"/>
      <w:lvlText w:val=""/>
      <w:lvlJc w:val="left"/>
      <w:pPr>
        <w:ind w:left="2970" w:hanging="360"/>
      </w:pPr>
      <w:rPr>
        <w:rFonts w:ascii="Wingdings" w:hAnsi="Wingdings" w:hint="default"/>
      </w:rPr>
    </w:lvl>
    <w:lvl w:ilvl="3" w:tplc="0C0A0001" w:tentative="1">
      <w:start w:val="1"/>
      <w:numFmt w:val="bullet"/>
      <w:lvlText w:val=""/>
      <w:lvlJc w:val="left"/>
      <w:pPr>
        <w:ind w:left="3690" w:hanging="360"/>
      </w:pPr>
      <w:rPr>
        <w:rFonts w:ascii="Symbol" w:hAnsi="Symbol" w:hint="default"/>
      </w:rPr>
    </w:lvl>
    <w:lvl w:ilvl="4" w:tplc="0C0A0003" w:tentative="1">
      <w:start w:val="1"/>
      <w:numFmt w:val="bullet"/>
      <w:lvlText w:val="o"/>
      <w:lvlJc w:val="left"/>
      <w:pPr>
        <w:ind w:left="4410" w:hanging="360"/>
      </w:pPr>
      <w:rPr>
        <w:rFonts w:ascii="Courier New" w:hAnsi="Courier New" w:cs="Courier New" w:hint="default"/>
      </w:rPr>
    </w:lvl>
    <w:lvl w:ilvl="5" w:tplc="0C0A0005" w:tentative="1">
      <w:start w:val="1"/>
      <w:numFmt w:val="bullet"/>
      <w:lvlText w:val=""/>
      <w:lvlJc w:val="left"/>
      <w:pPr>
        <w:ind w:left="5130" w:hanging="360"/>
      </w:pPr>
      <w:rPr>
        <w:rFonts w:ascii="Wingdings" w:hAnsi="Wingdings" w:hint="default"/>
      </w:rPr>
    </w:lvl>
    <w:lvl w:ilvl="6" w:tplc="0C0A0001" w:tentative="1">
      <w:start w:val="1"/>
      <w:numFmt w:val="bullet"/>
      <w:lvlText w:val=""/>
      <w:lvlJc w:val="left"/>
      <w:pPr>
        <w:ind w:left="5850" w:hanging="360"/>
      </w:pPr>
      <w:rPr>
        <w:rFonts w:ascii="Symbol" w:hAnsi="Symbol" w:hint="default"/>
      </w:rPr>
    </w:lvl>
    <w:lvl w:ilvl="7" w:tplc="0C0A0003" w:tentative="1">
      <w:start w:val="1"/>
      <w:numFmt w:val="bullet"/>
      <w:lvlText w:val="o"/>
      <w:lvlJc w:val="left"/>
      <w:pPr>
        <w:ind w:left="6570" w:hanging="360"/>
      </w:pPr>
      <w:rPr>
        <w:rFonts w:ascii="Courier New" w:hAnsi="Courier New" w:cs="Courier New" w:hint="default"/>
      </w:rPr>
    </w:lvl>
    <w:lvl w:ilvl="8" w:tplc="0C0A0005" w:tentative="1">
      <w:start w:val="1"/>
      <w:numFmt w:val="bullet"/>
      <w:lvlText w:val=""/>
      <w:lvlJc w:val="left"/>
      <w:pPr>
        <w:ind w:left="7290" w:hanging="360"/>
      </w:pPr>
      <w:rPr>
        <w:rFonts w:ascii="Wingdings" w:hAnsi="Wingdings" w:hint="default"/>
      </w:rPr>
    </w:lvl>
  </w:abstractNum>
  <w:abstractNum w:abstractNumId="3" w15:restartNumberingAfterBreak="0">
    <w:nsid w:val="13E57989"/>
    <w:multiLevelType w:val="hybridMultilevel"/>
    <w:tmpl w:val="4E486E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7C4600"/>
    <w:multiLevelType w:val="multilevel"/>
    <w:tmpl w:val="4E8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4236A5"/>
    <w:multiLevelType w:val="hybridMultilevel"/>
    <w:tmpl w:val="2F82DD5C"/>
    <w:lvl w:ilvl="0" w:tplc="4C7ECB12">
      <w:start w:val="1"/>
      <w:numFmt w:val="decimal"/>
      <w:lvlText w:val="%1)"/>
      <w:lvlJc w:val="left"/>
      <w:pPr>
        <w:ind w:left="720" w:hanging="360"/>
      </w:pPr>
      <w:rPr>
        <w:rFonts w:eastAsia="MS Mincho"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C14DC"/>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312A9F"/>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37127D"/>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5B60A1"/>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333480"/>
    <w:multiLevelType w:val="hybridMultilevel"/>
    <w:tmpl w:val="52D07F1C"/>
    <w:lvl w:ilvl="0" w:tplc="FFFFFFFF">
      <w:start w:val="1"/>
      <w:numFmt w:val="upperRoman"/>
      <w:lvlText w:val="%1."/>
      <w:lvlJc w:val="left"/>
      <w:pPr>
        <w:ind w:left="1890" w:hanging="72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C352DCD4">
      <w:start w:val="1"/>
      <w:numFmt w:val="decimal"/>
      <w:lvlText w:val="%4."/>
      <w:lvlJc w:val="left"/>
      <w:pPr>
        <w:ind w:left="2880" w:hanging="360"/>
      </w:pPr>
      <w:rPr>
        <w:b w:val="0"/>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BCA2B85"/>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2833C9"/>
    <w:multiLevelType w:val="hybridMultilevel"/>
    <w:tmpl w:val="1E680606"/>
    <w:lvl w:ilvl="0" w:tplc="8BD876CA">
      <w:start w:val="1"/>
      <w:numFmt w:val="bullet"/>
      <w:lvlText w:val=""/>
      <w:lvlJc w:val="left"/>
      <w:pPr>
        <w:ind w:left="1440" w:hanging="360"/>
      </w:pPr>
      <w:rPr>
        <w:rFonts w:ascii="Symbol" w:hAnsi="Symbol" w:hint="default"/>
        <w:lang w:val="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C005EC"/>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EE2BBA"/>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276FA0"/>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CD7804"/>
    <w:multiLevelType w:val="hybridMultilevel"/>
    <w:tmpl w:val="084A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D22AE"/>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1F5CCD"/>
    <w:multiLevelType w:val="hybridMultilevel"/>
    <w:tmpl w:val="842AE3C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49302B1"/>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5422B71"/>
    <w:multiLevelType w:val="hybridMultilevel"/>
    <w:tmpl w:val="BD1ED690"/>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46253A63"/>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B205796"/>
    <w:multiLevelType w:val="hybridMultilevel"/>
    <w:tmpl w:val="E57C5418"/>
    <w:lvl w:ilvl="0" w:tplc="2C0AD58C">
      <w:start w:val="3"/>
      <w:numFmt w:val="decimal"/>
      <w:lvlText w:val="%1."/>
      <w:lvlJc w:val="left"/>
      <w:pPr>
        <w:ind w:left="720" w:hanging="360"/>
      </w:pPr>
      <w:rPr>
        <w:rFonts w:eastAsia="Calibri"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2F62E1"/>
    <w:multiLevelType w:val="multilevel"/>
    <w:tmpl w:val="52D07F1C"/>
    <w:styleLink w:val="CurrentList1"/>
    <w:lvl w:ilvl="0">
      <w:start w:val="1"/>
      <w:numFmt w:val="upperRoman"/>
      <w:lvlText w:val="%1."/>
      <w:lvlJc w:val="left"/>
      <w:pPr>
        <w:ind w:left="189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112EDA"/>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3E961B8"/>
    <w:multiLevelType w:val="hybridMultilevel"/>
    <w:tmpl w:val="6C02FA7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55252B23"/>
    <w:multiLevelType w:val="hybridMultilevel"/>
    <w:tmpl w:val="5262080E"/>
    <w:lvl w:ilvl="0" w:tplc="42D8C1E4">
      <w:start w:val="1"/>
      <w:numFmt w:val="decimal"/>
      <w:lvlText w:val="%1."/>
      <w:lvlJc w:val="left"/>
      <w:pPr>
        <w:ind w:left="1080" w:hanging="360"/>
      </w:pPr>
      <w:rPr>
        <w:rFonts w:ascii="Cambria" w:hAnsi="Cambria" w:hint="default"/>
        <w:b w:val="0"/>
        <w:bCs/>
        <w:sz w:val="22"/>
        <w:szCs w:val="22"/>
      </w:rPr>
    </w:lvl>
    <w:lvl w:ilvl="1" w:tplc="2C0A0019">
      <w:start w:val="1"/>
      <w:numFmt w:val="lowerLetter"/>
      <w:lvlText w:val="%2."/>
      <w:lvlJc w:val="left"/>
      <w:pPr>
        <w:ind w:left="1800" w:hanging="360"/>
      </w:pPr>
    </w:lvl>
    <w:lvl w:ilvl="2" w:tplc="2C0A001B">
      <w:start w:val="1"/>
      <w:numFmt w:val="lowerRoman"/>
      <w:lvlText w:val="%3."/>
      <w:lvlJc w:val="right"/>
      <w:pPr>
        <w:ind w:left="2520" w:hanging="180"/>
      </w:pPr>
    </w:lvl>
    <w:lvl w:ilvl="3" w:tplc="4B9C0506">
      <w:start w:val="1"/>
      <w:numFmt w:val="decimal"/>
      <w:lvlText w:val="%4."/>
      <w:lvlJc w:val="left"/>
      <w:pPr>
        <w:ind w:left="3240" w:hanging="360"/>
      </w:pPr>
      <w:rPr>
        <w:b w:val="0"/>
        <w:bCs/>
      </w:r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64F4750E">
      <w:start w:val="1"/>
      <w:numFmt w:val="decimal"/>
      <w:lvlText w:val="%7."/>
      <w:lvlJc w:val="left"/>
      <w:pPr>
        <w:ind w:left="5400" w:hanging="360"/>
      </w:pPr>
      <w:rPr>
        <w:b w:val="0"/>
        <w:bCs/>
      </w:r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abstractNum w:abstractNumId="29" w15:restartNumberingAfterBreak="0">
    <w:nsid w:val="5C1A141F"/>
    <w:multiLevelType w:val="hybridMultilevel"/>
    <w:tmpl w:val="BBF06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A5433B"/>
    <w:multiLevelType w:val="hybridMultilevel"/>
    <w:tmpl w:val="BBF42C0A"/>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6DE83646"/>
    <w:multiLevelType w:val="hybridMultilevel"/>
    <w:tmpl w:val="AB56968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15:restartNumberingAfterBreak="0">
    <w:nsid w:val="7437226A"/>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4374125"/>
    <w:multiLevelType w:val="hybridMultilevel"/>
    <w:tmpl w:val="BD1ED690"/>
    <w:lvl w:ilvl="0" w:tplc="0C0A0015">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4" w15:restartNumberingAfterBreak="0">
    <w:nsid w:val="7777634B"/>
    <w:multiLevelType w:val="hybridMultilevel"/>
    <w:tmpl w:val="BBF0671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B413E71"/>
    <w:multiLevelType w:val="hybridMultilevel"/>
    <w:tmpl w:val="639CBA1A"/>
    <w:lvl w:ilvl="0" w:tplc="17E875D0">
      <w:start w:val="2"/>
      <w:numFmt w:val="decimal"/>
      <w:lvlText w:val="%1."/>
      <w:lvlJc w:val="left"/>
      <w:pPr>
        <w:ind w:left="1440" w:hanging="360"/>
      </w:pPr>
      <w:rPr>
        <w:rFonts w:hint="default"/>
        <w:b w:val="0"/>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15:restartNumberingAfterBreak="0">
    <w:nsid w:val="7BE974E9"/>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4E5D74"/>
    <w:multiLevelType w:val="hybridMultilevel"/>
    <w:tmpl w:val="E530F4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15:restartNumberingAfterBreak="0">
    <w:nsid w:val="7D5B68B4"/>
    <w:multiLevelType w:val="hybridMultilevel"/>
    <w:tmpl w:val="660A1088"/>
    <w:lvl w:ilvl="0" w:tplc="13EC8CA0">
      <w:start w:val="1"/>
      <w:numFmt w:val="lowerLetter"/>
      <w:lvlText w:val="%1)"/>
      <w:lvlJc w:val="left"/>
      <w:pPr>
        <w:ind w:left="720" w:hanging="360"/>
      </w:pPr>
      <w:rPr>
        <w:rFonts w:eastAsia="Batang" w:cs="Calibri Light"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EC35B0D"/>
    <w:multiLevelType w:val="hybridMultilevel"/>
    <w:tmpl w:val="BD1ED690"/>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533809320">
    <w:abstractNumId w:val="11"/>
  </w:num>
  <w:num w:numId="2" w16cid:durableId="453600156">
    <w:abstractNumId w:val="29"/>
  </w:num>
  <w:num w:numId="3" w16cid:durableId="897327684">
    <w:abstractNumId w:val="18"/>
  </w:num>
  <w:num w:numId="4" w16cid:durableId="1141650489">
    <w:abstractNumId w:val="28"/>
  </w:num>
  <w:num w:numId="5" w16cid:durableId="746342540">
    <w:abstractNumId w:val="13"/>
  </w:num>
  <w:num w:numId="6" w16cid:durableId="1621692518">
    <w:abstractNumId w:val="6"/>
  </w:num>
  <w:num w:numId="7" w16cid:durableId="971790784">
    <w:abstractNumId w:val="1"/>
  </w:num>
  <w:num w:numId="8" w16cid:durableId="1387029646">
    <w:abstractNumId w:val="35"/>
  </w:num>
  <w:num w:numId="9" w16cid:durableId="1086881292">
    <w:abstractNumId w:val="7"/>
  </w:num>
  <w:num w:numId="10" w16cid:durableId="1292322756">
    <w:abstractNumId w:val="12"/>
  </w:num>
  <w:num w:numId="11" w16cid:durableId="1000500350">
    <w:abstractNumId w:val="2"/>
  </w:num>
  <w:num w:numId="12" w16cid:durableId="1706103099">
    <w:abstractNumId w:val="34"/>
  </w:num>
  <w:num w:numId="13" w16cid:durableId="1756710271">
    <w:abstractNumId w:val="20"/>
  </w:num>
  <w:num w:numId="14" w16cid:durableId="1099252676">
    <w:abstractNumId w:val="38"/>
  </w:num>
  <w:num w:numId="15" w16cid:durableId="1030109151">
    <w:abstractNumId w:val="16"/>
  </w:num>
  <w:num w:numId="16" w16cid:durableId="1722748191">
    <w:abstractNumId w:val="15"/>
  </w:num>
  <w:num w:numId="17" w16cid:durableId="351491452">
    <w:abstractNumId w:val="27"/>
  </w:num>
  <w:num w:numId="18" w16cid:durableId="1027633537">
    <w:abstractNumId w:val="9"/>
  </w:num>
  <w:num w:numId="19" w16cid:durableId="457845413">
    <w:abstractNumId w:val="26"/>
  </w:num>
  <w:num w:numId="20" w16cid:durableId="1211572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8907281">
    <w:abstractNumId w:val="19"/>
  </w:num>
  <w:num w:numId="22" w16cid:durableId="2003926928">
    <w:abstractNumId w:val="10"/>
  </w:num>
  <w:num w:numId="23" w16cid:durableId="1497725357">
    <w:abstractNumId w:val="21"/>
  </w:num>
  <w:num w:numId="24" w16cid:durableId="307248652">
    <w:abstractNumId w:val="23"/>
  </w:num>
  <w:num w:numId="25" w16cid:durableId="1985550389">
    <w:abstractNumId w:val="5"/>
  </w:num>
  <w:num w:numId="26" w16cid:durableId="1478456909">
    <w:abstractNumId w:val="8"/>
  </w:num>
  <w:num w:numId="27" w16cid:durableId="1176925587">
    <w:abstractNumId w:val="3"/>
  </w:num>
  <w:num w:numId="28" w16cid:durableId="1876766616">
    <w:abstractNumId w:val="36"/>
  </w:num>
  <w:num w:numId="29" w16cid:durableId="2142572164">
    <w:abstractNumId w:val="33"/>
  </w:num>
  <w:num w:numId="30" w16cid:durableId="571933528">
    <w:abstractNumId w:val="31"/>
  </w:num>
  <w:num w:numId="31" w16cid:durableId="1861430946">
    <w:abstractNumId w:val="14"/>
  </w:num>
  <w:num w:numId="32" w16cid:durableId="803893092">
    <w:abstractNumId w:val="17"/>
  </w:num>
  <w:num w:numId="33" w16cid:durableId="1739936026">
    <w:abstractNumId w:val="4"/>
  </w:num>
  <w:num w:numId="34" w16cid:durableId="1458915668">
    <w:abstractNumId w:val="30"/>
  </w:num>
  <w:num w:numId="35" w16cid:durableId="1599485303">
    <w:abstractNumId w:val="39"/>
  </w:num>
  <w:num w:numId="36" w16cid:durableId="1664964272">
    <w:abstractNumId w:val="37"/>
  </w:num>
  <w:num w:numId="37" w16cid:durableId="2074966919">
    <w:abstractNumId w:val="32"/>
  </w:num>
  <w:num w:numId="38" w16cid:durableId="20934263">
    <w:abstractNumId w:val="22"/>
  </w:num>
  <w:num w:numId="39" w16cid:durableId="195656616">
    <w:abstractNumId w:val="25"/>
  </w:num>
  <w:num w:numId="40" w16cid:durableId="687219354">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222"/>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B6"/>
    <w:rsid w:val="000161DA"/>
    <w:rsid w:val="000244BA"/>
    <w:rsid w:val="00047B56"/>
    <w:rsid w:val="00054EA0"/>
    <w:rsid w:val="00062031"/>
    <w:rsid w:val="0006625E"/>
    <w:rsid w:val="000667A7"/>
    <w:rsid w:val="00074D00"/>
    <w:rsid w:val="00096079"/>
    <w:rsid w:val="000B3203"/>
    <w:rsid w:val="000B3318"/>
    <w:rsid w:val="000D32B6"/>
    <w:rsid w:val="001011E0"/>
    <w:rsid w:val="00101E3E"/>
    <w:rsid w:val="00112395"/>
    <w:rsid w:val="0012326D"/>
    <w:rsid w:val="0012586C"/>
    <w:rsid w:val="00127F17"/>
    <w:rsid w:val="001511FD"/>
    <w:rsid w:val="001541D4"/>
    <w:rsid w:val="00162518"/>
    <w:rsid w:val="001834F6"/>
    <w:rsid w:val="001C516B"/>
    <w:rsid w:val="001E3F4C"/>
    <w:rsid w:val="00215215"/>
    <w:rsid w:val="0021669C"/>
    <w:rsid w:val="00226F48"/>
    <w:rsid w:val="00240E8E"/>
    <w:rsid w:val="002547E7"/>
    <w:rsid w:val="00260836"/>
    <w:rsid w:val="00277604"/>
    <w:rsid w:val="002859A9"/>
    <w:rsid w:val="00292B52"/>
    <w:rsid w:val="00294A83"/>
    <w:rsid w:val="00294B17"/>
    <w:rsid w:val="002A39B2"/>
    <w:rsid w:val="002D40CD"/>
    <w:rsid w:val="002E4FBC"/>
    <w:rsid w:val="002F156A"/>
    <w:rsid w:val="00324C1A"/>
    <w:rsid w:val="00335042"/>
    <w:rsid w:val="00336E78"/>
    <w:rsid w:val="003419CC"/>
    <w:rsid w:val="00343CED"/>
    <w:rsid w:val="0036283E"/>
    <w:rsid w:val="00385F0C"/>
    <w:rsid w:val="00393310"/>
    <w:rsid w:val="00394EEF"/>
    <w:rsid w:val="003C4836"/>
    <w:rsid w:val="003E4C2F"/>
    <w:rsid w:val="003E533F"/>
    <w:rsid w:val="003E6F57"/>
    <w:rsid w:val="003F3C6B"/>
    <w:rsid w:val="00402700"/>
    <w:rsid w:val="00417964"/>
    <w:rsid w:val="00420BB1"/>
    <w:rsid w:val="0043583A"/>
    <w:rsid w:val="004545D1"/>
    <w:rsid w:val="00470C7B"/>
    <w:rsid w:val="0047146A"/>
    <w:rsid w:val="004722BC"/>
    <w:rsid w:val="00472E04"/>
    <w:rsid w:val="0047567D"/>
    <w:rsid w:val="00477BF2"/>
    <w:rsid w:val="004B3074"/>
    <w:rsid w:val="004B7CA6"/>
    <w:rsid w:val="004C205D"/>
    <w:rsid w:val="004C6CCF"/>
    <w:rsid w:val="004C7C99"/>
    <w:rsid w:val="004F5CA9"/>
    <w:rsid w:val="004F5F70"/>
    <w:rsid w:val="00504855"/>
    <w:rsid w:val="005145CC"/>
    <w:rsid w:val="005205B9"/>
    <w:rsid w:val="00534F2B"/>
    <w:rsid w:val="005566F5"/>
    <w:rsid w:val="005829B9"/>
    <w:rsid w:val="00594A1B"/>
    <w:rsid w:val="005A328E"/>
    <w:rsid w:val="005A4D20"/>
    <w:rsid w:val="005A5AE8"/>
    <w:rsid w:val="005A5E14"/>
    <w:rsid w:val="005B2E65"/>
    <w:rsid w:val="005C2637"/>
    <w:rsid w:val="005C414D"/>
    <w:rsid w:val="005D7F05"/>
    <w:rsid w:val="005E3720"/>
    <w:rsid w:val="005E4B03"/>
    <w:rsid w:val="005F171A"/>
    <w:rsid w:val="005F4AAA"/>
    <w:rsid w:val="0060081A"/>
    <w:rsid w:val="00604132"/>
    <w:rsid w:val="00634F89"/>
    <w:rsid w:val="00637AFB"/>
    <w:rsid w:val="00655003"/>
    <w:rsid w:val="00660EF3"/>
    <w:rsid w:val="00663A76"/>
    <w:rsid w:val="0067152B"/>
    <w:rsid w:val="00672090"/>
    <w:rsid w:val="006C2941"/>
    <w:rsid w:val="006C2B06"/>
    <w:rsid w:val="006C7308"/>
    <w:rsid w:val="006E2BD8"/>
    <w:rsid w:val="006F0429"/>
    <w:rsid w:val="0070407B"/>
    <w:rsid w:val="00705E57"/>
    <w:rsid w:val="007175E2"/>
    <w:rsid w:val="00727940"/>
    <w:rsid w:val="00730193"/>
    <w:rsid w:val="0073227E"/>
    <w:rsid w:val="00732EA4"/>
    <w:rsid w:val="007377D4"/>
    <w:rsid w:val="0075689B"/>
    <w:rsid w:val="007B0327"/>
    <w:rsid w:val="007B3452"/>
    <w:rsid w:val="007B3D07"/>
    <w:rsid w:val="007C2CC3"/>
    <w:rsid w:val="007C351D"/>
    <w:rsid w:val="007D4C18"/>
    <w:rsid w:val="007E463E"/>
    <w:rsid w:val="007F5F4E"/>
    <w:rsid w:val="00801509"/>
    <w:rsid w:val="00802867"/>
    <w:rsid w:val="00806082"/>
    <w:rsid w:val="00807BAA"/>
    <w:rsid w:val="008145AE"/>
    <w:rsid w:val="00817E0C"/>
    <w:rsid w:val="008338E4"/>
    <w:rsid w:val="00833BA8"/>
    <w:rsid w:val="00846397"/>
    <w:rsid w:val="008521E0"/>
    <w:rsid w:val="00854914"/>
    <w:rsid w:val="008550EF"/>
    <w:rsid w:val="00893661"/>
    <w:rsid w:val="008A1CBE"/>
    <w:rsid w:val="008B1EA8"/>
    <w:rsid w:val="008B2A99"/>
    <w:rsid w:val="008B6DA8"/>
    <w:rsid w:val="008E42E1"/>
    <w:rsid w:val="008E751C"/>
    <w:rsid w:val="008F2248"/>
    <w:rsid w:val="009162E7"/>
    <w:rsid w:val="00941BE5"/>
    <w:rsid w:val="009457D8"/>
    <w:rsid w:val="0096142F"/>
    <w:rsid w:val="0096419E"/>
    <w:rsid w:val="00994458"/>
    <w:rsid w:val="009949ED"/>
    <w:rsid w:val="009B1135"/>
    <w:rsid w:val="009B219C"/>
    <w:rsid w:val="009C227B"/>
    <w:rsid w:val="009C4D87"/>
    <w:rsid w:val="009C5BE9"/>
    <w:rsid w:val="009E73F0"/>
    <w:rsid w:val="009F66EA"/>
    <w:rsid w:val="00A2502C"/>
    <w:rsid w:val="00A25CA7"/>
    <w:rsid w:val="00A343FF"/>
    <w:rsid w:val="00A61B5E"/>
    <w:rsid w:val="00A678C3"/>
    <w:rsid w:val="00A70B4A"/>
    <w:rsid w:val="00A76705"/>
    <w:rsid w:val="00A7781B"/>
    <w:rsid w:val="00A860C7"/>
    <w:rsid w:val="00AA164D"/>
    <w:rsid w:val="00AB253B"/>
    <w:rsid w:val="00AC2C8E"/>
    <w:rsid w:val="00AE1B0F"/>
    <w:rsid w:val="00AF2D92"/>
    <w:rsid w:val="00B002D8"/>
    <w:rsid w:val="00B056D9"/>
    <w:rsid w:val="00B063D6"/>
    <w:rsid w:val="00B120EB"/>
    <w:rsid w:val="00B205A7"/>
    <w:rsid w:val="00B3732F"/>
    <w:rsid w:val="00B40F77"/>
    <w:rsid w:val="00B4343F"/>
    <w:rsid w:val="00B60889"/>
    <w:rsid w:val="00B674F5"/>
    <w:rsid w:val="00B74EA5"/>
    <w:rsid w:val="00B8008C"/>
    <w:rsid w:val="00B806AC"/>
    <w:rsid w:val="00B93993"/>
    <w:rsid w:val="00BA2B9F"/>
    <w:rsid w:val="00BB0A8F"/>
    <w:rsid w:val="00BC3854"/>
    <w:rsid w:val="00C03B37"/>
    <w:rsid w:val="00C17E67"/>
    <w:rsid w:val="00C17F04"/>
    <w:rsid w:val="00C30658"/>
    <w:rsid w:val="00C3260E"/>
    <w:rsid w:val="00C3445F"/>
    <w:rsid w:val="00C402CB"/>
    <w:rsid w:val="00C51BD1"/>
    <w:rsid w:val="00C55E1C"/>
    <w:rsid w:val="00C56464"/>
    <w:rsid w:val="00C57947"/>
    <w:rsid w:val="00C76780"/>
    <w:rsid w:val="00CB6344"/>
    <w:rsid w:val="00CB7CD5"/>
    <w:rsid w:val="00CB7D17"/>
    <w:rsid w:val="00CC0731"/>
    <w:rsid w:val="00CC6DB2"/>
    <w:rsid w:val="00CD169F"/>
    <w:rsid w:val="00CE024B"/>
    <w:rsid w:val="00CE74B7"/>
    <w:rsid w:val="00CF54E1"/>
    <w:rsid w:val="00D048B2"/>
    <w:rsid w:val="00D05BCC"/>
    <w:rsid w:val="00D23C64"/>
    <w:rsid w:val="00D735C2"/>
    <w:rsid w:val="00D76EDC"/>
    <w:rsid w:val="00D9413D"/>
    <w:rsid w:val="00DA7797"/>
    <w:rsid w:val="00DC5A37"/>
    <w:rsid w:val="00DC7C8F"/>
    <w:rsid w:val="00DE4A18"/>
    <w:rsid w:val="00DF0FE5"/>
    <w:rsid w:val="00E12118"/>
    <w:rsid w:val="00E177B0"/>
    <w:rsid w:val="00E24621"/>
    <w:rsid w:val="00E3040C"/>
    <w:rsid w:val="00E31824"/>
    <w:rsid w:val="00E42870"/>
    <w:rsid w:val="00E525B3"/>
    <w:rsid w:val="00E6614F"/>
    <w:rsid w:val="00E737AE"/>
    <w:rsid w:val="00E953CE"/>
    <w:rsid w:val="00EC2A38"/>
    <w:rsid w:val="00ED7332"/>
    <w:rsid w:val="00ED73A5"/>
    <w:rsid w:val="00F14821"/>
    <w:rsid w:val="00F43314"/>
    <w:rsid w:val="00F45256"/>
    <w:rsid w:val="00F53B51"/>
    <w:rsid w:val="00F54F60"/>
    <w:rsid w:val="00F61B1D"/>
    <w:rsid w:val="00F62829"/>
    <w:rsid w:val="00F66FEE"/>
    <w:rsid w:val="00F74974"/>
    <w:rsid w:val="00F7589F"/>
    <w:rsid w:val="00F8575B"/>
    <w:rsid w:val="00F9351A"/>
    <w:rsid w:val="00FC304E"/>
    <w:rsid w:val="00FC62AE"/>
    <w:rsid w:val="00FC66C2"/>
    <w:rsid w:val="00FC76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99C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unhideWhenUsed/>
    <w:rsid w:val="0047146A"/>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aliases w:val="Párrafo de lista1,List Paragraph1,Colorful List - Accent 11,List Paragraph11"/>
    <w:basedOn w:val="Normal"/>
    <w:link w:val="ListParagraphChar"/>
    <w:uiPriority w:val="34"/>
    <w:qFormat/>
    <w:rsid w:val="00470C7B"/>
    <w:pPr>
      <w:ind w:left="720"/>
      <w:contextualSpacing/>
    </w:pPr>
    <w:rPr>
      <w:rFonts w:eastAsia="Times New Roman"/>
    </w:rPr>
  </w:style>
  <w:style w:type="character" w:styleId="Hyperlink">
    <w:name w:val="Hyperlink"/>
    <w:uiPriority w:val="99"/>
    <w:unhideWhenUsed/>
    <w:rsid w:val="00470C7B"/>
    <w:rPr>
      <w:color w:val="0000FF"/>
      <w:u w:val="single"/>
    </w:rPr>
  </w:style>
  <w:style w:type="character" w:customStyle="1" w:styleId="ListParagraphChar">
    <w:name w:val="List Paragraph Char"/>
    <w:aliases w:val="Párrafo de lista1 Char,List Paragraph1 Char,Colorful List - Accent 11 Char,List Paragraph11 Char"/>
    <w:link w:val="ListParagraph"/>
    <w:uiPriority w:val="34"/>
    <w:locked/>
    <w:rsid w:val="00470C7B"/>
    <w:rPr>
      <w:rFonts w:eastAsia="Times New Roman"/>
      <w:sz w:val="22"/>
      <w:szCs w:val="22"/>
      <w:lang w:val="en-US" w:eastAsia="en-US"/>
    </w:rPr>
  </w:style>
  <w:style w:type="character" w:styleId="FootnoteReference">
    <w:name w:val="footnote reference"/>
    <w:aliases w:val="Ref,f1,4,norma"/>
    <w:link w:val="Appelnotedebasde"/>
    <w:uiPriority w:val="99"/>
    <w:unhideWhenUsed/>
    <w:qFormat/>
    <w:rsid w:val="00470C7B"/>
    <w:rPr>
      <w:vertAlign w:val="superscript"/>
    </w:rPr>
  </w:style>
  <w:style w:type="paragraph" w:customStyle="1" w:styleId="Appelnotedebasde">
    <w:name w:val="Appel note de bas de..."/>
    <w:basedOn w:val="Normal"/>
    <w:link w:val="FootnoteReference"/>
    <w:uiPriority w:val="99"/>
    <w:rsid w:val="00470C7B"/>
    <w:pPr>
      <w:spacing w:after="160" w:line="240" w:lineRule="exact"/>
    </w:pPr>
    <w:rPr>
      <w:sz w:val="20"/>
      <w:szCs w:val="20"/>
      <w:vertAlign w:val="superscript"/>
      <w:lang w:val="es-CO" w:eastAsia="es-MX"/>
    </w:rPr>
  </w:style>
  <w:style w:type="character" w:styleId="FollowedHyperlink">
    <w:name w:val="FollowedHyperlink"/>
    <w:basedOn w:val="DefaultParagraphFont"/>
    <w:uiPriority w:val="99"/>
    <w:semiHidden/>
    <w:unhideWhenUsed/>
    <w:rsid w:val="00385F0C"/>
    <w:rPr>
      <w:color w:val="954F72" w:themeColor="followedHyperlink"/>
      <w:u w:val="single"/>
    </w:rPr>
  </w:style>
  <w:style w:type="paragraph" w:styleId="FootnoteText">
    <w:name w:val="footnote text"/>
    <w:aliases w:val="Footnote Reference1,Footnotes refss,Texto de nota al pie,referencia nota al pie,BVI fnr,Appel note de bas de page,Footnote symbol,Footnote number,f,Ref. de nota al pie.,4_G,16 Point,Superscript 6 Point,Texto nota al pie,Ref. de nota al pi"/>
    <w:basedOn w:val="Normal"/>
    <w:link w:val="FootnoteTextChar"/>
    <w:uiPriority w:val="99"/>
    <w:unhideWhenUsed/>
    <w:qFormat/>
    <w:rsid w:val="00672090"/>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Reference1 Char,Footnotes refss Char,Texto de nota al pie Char,referencia nota al pie Char,BVI fnr Char,Appel note de bas de page Char,Footnote symbol Char,Footnote number Char,f Char,Ref. de nota al pie. Char,4_G Char"/>
    <w:basedOn w:val="DefaultParagraphFont"/>
    <w:link w:val="FootnoteText"/>
    <w:uiPriority w:val="99"/>
    <w:rsid w:val="00672090"/>
    <w:rPr>
      <w:rFonts w:ascii="Times New Roman" w:eastAsia="Times New Roman" w:hAnsi="Times New Roman"/>
      <w:lang w:val="en-US" w:eastAsia="en-US"/>
    </w:rPr>
  </w:style>
  <w:style w:type="paragraph" w:styleId="NoSpacing">
    <w:name w:val="No Spacing"/>
    <w:uiPriority w:val="1"/>
    <w:qFormat/>
    <w:rsid w:val="008521E0"/>
    <w:rPr>
      <w:sz w:val="22"/>
      <w:szCs w:val="22"/>
      <w:lang w:val="en-US" w:eastAsia="en-US"/>
    </w:rPr>
  </w:style>
  <w:style w:type="paragraph" w:customStyle="1" w:styleId="Default">
    <w:name w:val="Default"/>
    <w:rsid w:val="008521E0"/>
    <w:pPr>
      <w:autoSpaceDE w:val="0"/>
      <w:autoSpaceDN w:val="0"/>
      <w:adjustRightInd w:val="0"/>
    </w:pPr>
    <w:rPr>
      <w:rFonts w:ascii="Cambria" w:hAnsi="Cambria" w:cs="Cambria"/>
      <w:color w:val="000000"/>
      <w:sz w:val="24"/>
      <w:szCs w:val="24"/>
      <w:lang w:val="en-US" w:eastAsia="en-US"/>
    </w:rPr>
  </w:style>
  <w:style w:type="paragraph" w:styleId="Revision">
    <w:name w:val="Revision"/>
    <w:hidden/>
    <w:uiPriority w:val="99"/>
    <w:semiHidden/>
    <w:rsid w:val="00B120EB"/>
    <w:rPr>
      <w:sz w:val="22"/>
      <w:szCs w:val="22"/>
      <w:lang w:val="en-US" w:eastAsia="en-US"/>
    </w:rPr>
  </w:style>
  <w:style w:type="character" w:styleId="UnresolvedMention">
    <w:name w:val="Unresolved Mention"/>
    <w:basedOn w:val="DefaultParagraphFont"/>
    <w:uiPriority w:val="99"/>
    <w:semiHidden/>
    <w:unhideWhenUsed/>
    <w:rsid w:val="00634F89"/>
    <w:rPr>
      <w:color w:val="605E5C"/>
      <w:shd w:val="clear" w:color="auto" w:fill="E1DFDD"/>
    </w:rPr>
  </w:style>
  <w:style w:type="numbering" w:customStyle="1" w:styleId="CurrentList1">
    <w:name w:val="Current List1"/>
    <w:uiPriority w:val="99"/>
    <w:rsid w:val="004C7C99"/>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7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as.org/en/iachr/decisions/2018/ECSA12957EN.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oas.org/en/iachr/decisions/2014/ECAD202-03EN.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as.org/en/iachr/decisions/2018/ECSA12957EN.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534A0D-18CE-4362-9E26-A3C7BFDE772A}">
  <ds:schemaRefs>
    <ds:schemaRef ds:uri="http://schemas.microsoft.com/office/2006/metadata/longProperties"/>
  </ds:schemaRefs>
</ds:datastoreItem>
</file>

<file path=customXml/itemProps2.xml><?xml version="1.0" encoding="utf-8"?>
<ds:datastoreItem xmlns:ds="http://schemas.openxmlformats.org/officeDocument/2006/customXml" ds:itemID="{490A2D28-5FAE-4C93-A166-435BBB1CA95B}">
  <ds:schemaRefs>
    <ds:schemaRef ds:uri="http://schemas.microsoft.com/sharepoint/v3/contenttype/forms"/>
  </ds:schemaRefs>
</ds:datastoreItem>
</file>

<file path=customXml/itemProps3.xml><?xml version="1.0" encoding="utf-8"?>
<ds:datastoreItem xmlns:ds="http://schemas.openxmlformats.org/officeDocument/2006/customXml" ds:itemID="{748CE3C7-B026-E241-B903-18C1190A9A5F}">
  <ds:schemaRefs>
    <ds:schemaRef ds:uri="http://schemas.openxmlformats.org/officeDocument/2006/bibliography"/>
  </ds:schemaRefs>
</ds:datastoreItem>
</file>

<file path=customXml/itemProps4.xml><?xml version="1.0" encoding="utf-8"?>
<ds:datastoreItem xmlns:ds="http://schemas.openxmlformats.org/officeDocument/2006/customXml" ds:itemID="{BF31B657-F33D-43CC-9F55-73619C379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834</Words>
  <Characters>4759</Characters>
  <Application>Microsoft Office Word</Application>
  <DocSecurity>0</DocSecurity>
  <Lines>39</Lines>
  <Paragraphs>11</Paragraphs>
  <ScaleCrop>false</ScaleCrop>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2023-03-07T20:28:00Z</dcterms:created>
  <dcterms:modified xsi:type="dcterms:W3CDTF">2023-03-07T20:28:00Z</dcterms:modified>
</cp:coreProperties>
</file>