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9EC350" w14:textId="77777777" w:rsidR="00595DAC" w:rsidRPr="000B27AB" w:rsidRDefault="00595DAC" w:rsidP="00894E8C">
      <w:pPr>
        <w:pStyle w:val="Header"/>
        <w:jc w:val="center"/>
        <w:rPr>
          <w:rFonts w:ascii="Cambria" w:hAnsi="Cambria"/>
          <w:b/>
          <w:sz w:val="20"/>
          <w:szCs w:val="20"/>
        </w:rPr>
      </w:pPr>
    </w:p>
    <w:p w14:paraId="35AAB2B0" w14:textId="50F48BA9" w:rsidR="00C365A8" w:rsidRPr="00D4638C" w:rsidRDefault="00894E8C" w:rsidP="00894E8C">
      <w:pPr>
        <w:pStyle w:val="Header"/>
        <w:jc w:val="center"/>
        <w:rPr>
          <w:rFonts w:ascii="Cambria" w:hAnsi="Cambria"/>
          <w:sz w:val="20"/>
          <w:szCs w:val="20"/>
        </w:rPr>
      </w:pPr>
      <w:r w:rsidRPr="00D4638C">
        <w:rPr>
          <w:rFonts w:ascii="Cambria" w:hAnsi="Cambria"/>
          <w:b/>
          <w:sz w:val="20"/>
          <w:szCs w:val="20"/>
        </w:rPr>
        <w:t xml:space="preserve">FOLLOW-UP FACTSHEET OF REPORT </w:t>
      </w:r>
      <w:r w:rsidR="002E1FE1" w:rsidRPr="00D4638C">
        <w:rPr>
          <w:rFonts w:ascii="Cambria" w:hAnsi="Cambria"/>
          <w:b/>
          <w:sz w:val="20"/>
          <w:szCs w:val="20"/>
        </w:rPr>
        <w:t xml:space="preserve">No. </w:t>
      </w:r>
      <w:r w:rsidR="00BD0503" w:rsidRPr="00D4638C">
        <w:rPr>
          <w:rFonts w:ascii="Cambria" w:hAnsi="Cambria"/>
          <w:b/>
          <w:sz w:val="20"/>
          <w:szCs w:val="20"/>
        </w:rPr>
        <w:t>80/11</w:t>
      </w:r>
    </w:p>
    <w:p w14:paraId="7095D9CF" w14:textId="2D1FEF82" w:rsidR="001F3D58" w:rsidRPr="00D4638C" w:rsidRDefault="002E1FE1" w:rsidP="002E1FE1">
      <w:pPr>
        <w:spacing w:after="0" w:line="240" w:lineRule="auto"/>
        <w:jc w:val="center"/>
        <w:rPr>
          <w:rFonts w:ascii="Cambria" w:hAnsi="Cambria"/>
          <w:b/>
          <w:sz w:val="20"/>
          <w:szCs w:val="20"/>
        </w:rPr>
      </w:pPr>
      <w:r w:rsidRPr="00D4638C">
        <w:rPr>
          <w:rFonts w:ascii="Cambria" w:hAnsi="Cambria"/>
          <w:b/>
          <w:sz w:val="20"/>
          <w:szCs w:val="20"/>
        </w:rPr>
        <w:t xml:space="preserve"> </w:t>
      </w:r>
      <w:r w:rsidR="00894E8C" w:rsidRPr="00D4638C">
        <w:rPr>
          <w:rFonts w:ascii="Cambria" w:hAnsi="Cambria"/>
          <w:b/>
          <w:sz w:val="20"/>
          <w:szCs w:val="20"/>
        </w:rPr>
        <w:t xml:space="preserve">CASE </w:t>
      </w:r>
      <w:r w:rsidR="00BD0503" w:rsidRPr="00D4638C">
        <w:rPr>
          <w:rFonts w:ascii="Cambria" w:hAnsi="Cambria"/>
          <w:b/>
          <w:sz w:val="20"/>
          <w:szCs w:val="20"/>
        </w:rPr>
        <w:t>12.626</w:t>
      </w:r>
    </w:p>
    <w:p w14:paraId="3FD1CC2A" w14:textId="107CB931" w:rsidR="001F3D58" w:rsidRPr="00D4638C" w:rsidRDefault="00894E8C" w:rsidP="002E1FE1">
      <w:pPr>
        <w:spacing w:after="0" w:line="240" w:lineRule="auto"/>
        <w:jc w:val="center"/>
        <w:rPr>
          <w:rFonts w:ascii="Cambria" w:hAnsi="Cambria"/>
          <w:b/>
          <w:sz w:val="20"/>
          <w:szCs w:val="20"/>
        </w:rPr>
      </w:pPr>
      <w:r w:rsidRPr="00D4638C">
        <w:rPr>
          <w:rFonts w:ascii="Cambria" w:hAnsi="Cambria"/>
          <w:b/>
          <w:sz w:val="20"/>
          <w:szCs w:val="20"/>
        </w:rPr>
        <w:t xml:space="preserve"> JESSICA LENAHAN (GONZALES)</w:t>
      </w:r>
    </w:p>
    <w:p w14:paraId="6E924BBC" w14:textId="77777777" w:rsidR="002E1FE1" w:rsidRPr="00D4638C" w:rsidRDefault="002E1FE1" w:rsidP="002E1FE1">
      <w:pPr>
        <w:spacing w:after="0" w:line="240" w:lineRule="auto"/>
        <w:jc w:val="center"/>
        <w:rPr>
          <w:rFonts w:ascii="Cambria" w:hAnsi="Cambria"/>
          <w:b/>
          <w:sz w:val="20"/>
          <w:szCs w:val="20"/>
        </w:rPr>
      </w:pPr>
      <w:r w:rsidRPr="00D4638C">
        <w:rPr>
          <w:rFonts w:ascii="Cambria" w:hAnsi="Cambria"/>
          <w:b/>
          <w:sz w:val="20"/>
          <w:szCs w:val="20"/>
        </w:rPr>
        <w:t xml:space="preserve"> (</w:t>
      </w:r>
      <w:r w:rsidR="00BD0503" w:rsidRPr="00D4638C">
        <w:rPr>
          <w:rFonts w:ascii="Cambria" w:hAnsi="Cambria"/>
          <w:b/>
          <w:sz w:val="20"/>
          <w:szCs w:val="20"/>
        </w:rPr>
        <w:t>United States</w:t>
      </w:r>
      <w:r w:rsidRPr="00D4638C">
        <w:rPr>
          <w:rFonts w:ascii="Cambria" w:hAnsi="Cambria"/>
          <w:b/>
          <w:sz w:val="20"/>
          <w:szCs w:val="20"/>
        </w:rPr>
        <w:t>)</w:t>
      </w:r>
    </w:p>
    <w:p w14:paraId="7E067709" w14:textId="77777777" w:rsidR="00B97AAC" w:rsidRPr="00D4638C" w:rsidRDefault="00B97AAC" w:rsidP="00B97AAC">
      <w:pPr>
        <w:pStyle w:val="ListParagraph"/>
        <w:spacing w:after="0" w:line="240" w:lineRule="auto"/>
        <w:ind w:left="1440"/>
        <w:rPr>
          <w:rFonts w:ascii="Cambria" w:hAnsi="Cambria" w:cs="Calibri Light"/>
          <w:b/>
          <w:sz w:val="20"/>
          <w:szCs w:val="20"/>
        </w:rPr>
      </w:pPr>
    </w:p>
    <w:p w14:paraId="5A6EDAFA" w14:textId="4E724FF8" w:rsidR="002E1FE1" w:rsidRPr="00D4638C" w:rsidRDefault="002E1FE1" w:rsidP="00B97AAC">
      <w:pPr>
        <w:pStyle w:val="ListParagraph"/>
        <w:numPr>
          <w:ilvl w:val="0"/>
          <w:numId w:val="37"/>
        </w:numPr>
        <w:spacing w:after="0" w:line="240" w:lineRule="auto"/>
        <w:ind w:left="1440"/>
        <w:rPr>
          <w:rFonts w:ascii="Cambria" w:hAnsi="Cambria" w:cs="Calibri Light"/>
          <w:b/>
          <w:sz w:val="20"/>
          <w:szCs w:val="20"/>
        </w:rPr>
      </w:pPr>
      <w:r w:rsidRPr="00D4638C">
        <w:rPr>
          <w:rFonts w:ascii="Cambria" w:hAnsi="Cambria" w:cs="Calibri Light"/>
          <w:b/>
          <w:sz w:val="20"/>
          <w:szCs w:val="20"/>
        </w:rPr>
        <w:t xml:space="preserve">Summary of Case  </w:t>
      </w:r>
    </w:p>
    <w:p w14:paraId="69D385F4" w14:textId="77777777" w:rsidR="002E1FE1" w:rsidRPr="00D4638C" w:rsidRDefault="002E1FE1" w:rsidP="002E1FE1">
      <w:pPr>
        <w:spacing w:after="0" w:line="240" w:lineRule="auto"/>
        <w:ind w:left="1080"/>
        <w:rPr>
          <w:rFonts w:ascii="Cambria" w:hAnsi="Cambria" w:cs="Calibri Light"/>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0B27AB" w:rsidRPr="00D4638C" w14:paraId="0388908A" w14:textId="77777777" w:rsidTr="002B4008">
        <w:trPr>
          <w:jc w:val="center"/>
        </w:trPr>
        <w:tc>
          <w:tcPr>
            <w:tcW w:w="9576" w:type="dxa"/>
            <w:shd w:val="clear" w:color="auto" w:fill="F2F2F2"/>
          </w:tcPr>
          <w:p w14:paraId="72C6D960" w14:textId="77777777" w:rsidR="002E1FE1" w:rsidRPr="00D4638C" w:rsidRDefault="002E1FE1" w:rsidP="00894E8C">
            <w:pPr>
              <w:spacing w:before="120" w:after="0" w:line="240" w:lineRule="auto"/>
              <w:jc w:val="both"/>
              <w:rPr>
                <w:rFonts w:ascii="Cambria" w:hAnsi="Cambria"/>
                <w:b/>
                <w:sz w:val="20"/>
                <w:szCs w:val="20"/>
              </w:rPr>
            </w:pPr>
            <w:r w:rsidRPr="00D4638C">
              <w:rPr>
                <w:rFonts w:ascii="Cambria" w:hAnsi="Cambria"/>
                <w:b/>
                <w:sz w:val="20"/>
                <w:szCs w:val="20"/>
              </w:rPr>
              <w:t xml:space="preserve">Victim (s): </w:t>
            </w:r>
            <w:r w:rsidR="009D4E16" w:rsidRPr="00D4638C">
              <w:rPr>
                <w:rFonts w:ascii="Cambria" w:hAnsi="Cambria"/>
                <w:sz w:val="20"/>
                <w:szCs w:val="20"/>
              </w:rPr>
              <w:t xml:space="preserve">Jessica </w:t>
            </w:r>
            <w:proofErr w:type="spellStart"/>
            <w:r w:rsidR="009D4E16" w:rsidRPr="00D4638C">
              <w:rPr>
                <w:rFonts w:ascii="Cambria" w:hAnsi="Cambria"/>
                <w:sz w:val="20"/>
                <w:szCs w:val="20"/>
              </w:rPr>
              <w:t>Lenahan</w:t>
            </w:r>
            <w:proofErr w:type="spellEnd"/>
            <w:r w:rsidR="009D4E16" w:rsidRPr="00D4638C">
              <w:rPr>
                <w:rFonts w:ascii="Cambria" w:hAnsi="Cambria"/>
                <w:sz w:val="20"/>
                <w:szCs w:val="20"/>
              </w:rPr>
              <w:t xml:space="preserve"> (Gonzales)</w:t>
            </w:r>
          </w:p>
          <w:p w14:paraId="518E1BC1" w14:textId="7A0D2324" w:rsidR="002E1FE1" w:rsidRPr="00D4638C" w:rsidRDefault="002B4008" w:rsidP="00894E8C">
            <w:pPr>
              <w:spacing w:after="0" w:line="240" w:lineRule="auto"/>
              <w:jc w:val="both"/>
              <w:rPr>
                <w:rFonts w:ascii="Cambria" w:hAnsi="Cambria"/>
                <w:b/>
                <w:sz w:val="20"/>
                <w:szCs w:val="20"/>
              </w:rPr>
            </w:pPr>
            <w:r w:rsidRPr="00D4638C">
              <w:rPr>
                <w:rFonts w:ascii="Cambria" w:hAnsi="Cambria"/>
                <w:b/>
                <w:sz w:val="20"/>
                <w:szCs w:val="20"/>
              </w:rPr>
              <w:t>Petitioner</w:t>
            </w:r>
            <w:r w:rsidR="002E1FE1" w:rsidRPr="00D4638C">
              <w:rPr>
                <w:rFonts w:ascii="Cambria" w:hAnsi="Cambria"/>
                <w:b/>
                <w:sz w:val="20"/>
                <w:szCs w:val="20"/>
              </w:rPr>
              <w:t xml:space="preserve"> (s):</w:t>
            </w:r>
            <w:r w:rsidR="00894E8C" w:rsidRPr="00D4638C">
              <w:rPr>
                <w:rFonts w:ascii="Cambria" w:hAnsi="Cambria"/>
                <w:sz w:val="20"/>
                <w:szCs w:val="20"/>
              </w:rPr>
              <w:t xml:space="preserve"> Human Rights Clinic of the University of Miami School of Law, American Civil Liberties Union, RFK Center for Justice &amp; Human Rights </w:t>
            </w:r>
          </w:p>
          <w:p w14:paraId="53CB99E6" w14:textId="77777777" w:rsidR="002E1FE1" w:rsidRPr="00D4638C" w:rsidRDefault="002E1FE1" w:rsidP="00894E8C">
            <w:pPr>
              <w:spacing w:after="0" w:line="240" w:lineRule="auto"/>
              <w:jc w:val="both"/>
              <w:rPr>
                <w:rFonts w:ascii="Cambria" w:hAnsi="Cambria"/>
                <w:sz w:val="20"/>
                <w:szCs w:val="20"/>
              </w:rPr>
            </w:pPr>
            <w:r w:rsidRPr="00D4638C">
              <w:rPr>
                <w:rFonts w:ascii="Cambria" w:hAnsi="Cambria"/>
                <w:b/>
                <w:sz w:val="20"/>
                <w:szCs w:val="20"/>
              </w:rPr>
              <w:t xml:space="preserve">State: </w:t>
            </w:r>
            <w:r w:rsidR="002D7C09" w:rsidRPr="00D4638C">
              <w:rPr>
                <w:rFonts w:ascii="Cambria" w:hAnsi="Cambria"/>
                <w:sz w:val="20"/>
                <w:szCs w:val="20"/>
              </w:rPr>
              <w:t xml:space="preserve">United States </w:t>
            </w:r>
          </w:p>
          <w:p w14:paraId="44DBDDC7" w14:textId="77777777" w:rsidR="00262984" w:rsidRPr="00D4638C" w:rsidRDefault="00C365A8" w:rsidP="00894E8C">
            <w:pPr>
              <w:spacing w:after="0" w:line="240" w:lineRule="auto"/>
              <w:jc w:val="both"/>
              <w:rPr>
                <w:rFonts w:ascii="Cambria" w:hAnsi="Cambria"/>
                <w:sz w:val="20"/>
                <w:szCs w:val="20"/>
              </w:rPr>
            </w:pPr>
            <w:r w:rsidRPr="00D4638C">
              <w:rPr>
                <w:rFonts w:ascii="Cambria" w:hAnsi="Cambria"/>
                <w:b/>
                <w:sz w:val="20"/>
                <w:szCs w:val="20"/>
              </w:rPr>
              <w:t>Merits Report No.</w:t>
            </w:r>
            <w:r w:rsidR="00CA6576" w:rsidRPr="00D4638C">
              <w:rPr>
                <w:rFonts w:ascii="Cambria" w:hAnsi="Cambria"/>
                <w:b/>
                <w:sz w:val="20"/>
                <w:szCs w:val="20"/>
              </w:rPr>
              <w:t>:</w:t>
            </w:r>
            <w:r w:rsidRPr="00D4638C">
              <w:rPr>
                <w:rFonts w:ascii="Cambria" w:hAnsi="Cambria"/>
                <w:b/>
                <w:sz w:val="20"/>
                <w:szCs w:val="20"/>
              </w:rPr>
              <w:t xml:space="preserve"> </w:t>
            </w:r>
            <w:hyperlink r:id="rId8" w:history="1">
              <w:r w:rsidR="009935E3" w:rsidRPr="00D4638C">
                <w:rPr>
                  <w:rStyle w:val="Hyperlink"/>
                  <w:rFonts w:ascii="Cambria" w:hAnsi="Cambria"/>
                  <w:color w:val="auto"/>
                  <w:sz w:val="20"/>
                  <w:szCs w:val="20"/>
                </w:rPr>
                <w:t>80/11</w:t>
              </w:r>
            </w:hyperlink>
            <w:r w:rsidRPr="00D4638C">
              <w:rPr>
                <w:rFonts w:ascii="Cambria" w:hAnsi="Cambria"/>
                <w:sz w:val="20"/>
                <w:szCs w:val="20"/>
              </w:rPr>
              <w:t xml:space="preserve">, published on </w:t>
            </w:r>
            <w:r w:rsidR="009935E3" w:rsidRPr="00D4638C">
              <w:rPr>
                <w:rFonts w:ascii="Cambria" w:hAnsi="Cambria"/>
                <w:sz w:val="20"/>
                <w:szCs w:val="20"/>
              </w:rPr>
              <w:t>July 21, 2011</w:t>
            </w:r>
          </w:p>
          <w:p w14:paraId="41D7F13C" w14:textId="77777777" w:rsidR="002E1FE1" w:rsidRPr="00D4638C" w:rsidRDefault="00C365A8" w:rsidP="00894E8C">
            <w:pPr>
              <w:spacing w:after="0" w:line="240" w:lineRule="auto"/>
              <w:jc w:val="both"/>
              <w:rPr>
                <w:rFonts w:ascii="Cambria" w:hAnsi="Cambria"/>
                <w:sz w:val="20"/>
                <w:szCs w:val="20"/>
              </w:rPr>
            </w:pPr>
            <w:r w:rsidRPr="00D4638C">
              <w:rPr>
                <w:rFonts w:ascii="Cambria" w:hAnsi="Cambria"/>
                <w:b/>
                <w:sz w:val="20"/>
                <w:szCs w:val="20"/>
              </w:rPr>
              <w:t>Admissibility Report No.</w:t>
            </w:r>
            <w:r w:rsidR="00CA6576" w:rsidRPr="00D4638C">
              <w:rPr>
                <w:rFonts w:ascii="Cambria" w:hAnsi="Cambria"/>
                <w:b/>
                <w:sz w:val="20"/>
                <w:szCs w:val="20"/>
              </w:rPr>
              <w:t>:</w:t>
            </w:r>
            <w:r w:rsidR="002E1FE1" w:rsidRPr="00D4638C">
              <w:rPr>
                <w:rFonts w:ascii="Cambria" w:hAnsi="Cambria"/>
                <w:b/>
                <w:sz w:val="20"/>
                <w:szCs w:val="20"/>
              </w:rPr>
              <w:t xml:space="preserve"> </w:t>
            </w:r>
            <w:hyperlink r:id="rId9" w:history="1">
              <w:r w:rsidR="002D7C09" w:rsidRPr="00D4638C">
                <w:rPr>
                  <w:rStyle w:val="Hyperlink"/>
                  <w:rFonts w:ascii="Cambria" w:hAnsi="Cambria"/>
                  <w:color w:val="auto"/>
                  <w:sz w:val="20"/>
                  <w:szCs w:val="20"/>
                </w:rPr>
                <w:t>52/07</w:t>
              </w:r>
            </w:hyperlink>
            <w:r w:rsidRPr="00D4638C">
              <w:rPr>
                <w:rFonts w:ascii="Cambria" w:hAnsi="Cambria"/>
                <w:sz w:val="20"/>
                <w:szCs w:val="20"/>
              </w:rPr>
              <w:t xml:space="preserve">, adopted on </w:t>
            </w:r>
            <w:r w:rsidR="002D7C09" w:rsidRPr="00D4638C">
              <w:rPr>
                <w:rFonts w:ascii="Cambria" w:hAnsi="Cambria"/>
                <w:sz w:val="20"/>
                <w:szCs w:val="20"/>
              </w:rPr>
              <w:t>July 24, 2007</w:t>
            </w:r>
          </w:p>
          <w:p w14:paraId="144E71C0" w14:textId="4FC73801" w:rsidR="002E1FE1" w:rsidRPr="00D4638C" w:rsidRDefault="002E1FE1" w:rsidP="00424A66">
            <w:pPr>
              <w:spacing w:after="120" w:line="240" w:lineRule="auto"/>
              <w:jc w:val="both"/>
              <w:rPr>
                <w:rFonts w:ascii="Cambria" w:hAnsi="Cambria"/>
                <w:b/>
                <w:sz w:val="20"/>
                <w:szCs w:val="20"/>
              </w:rPr>
            </w:pPr>
            <w:r w:rsidRPr="00D4638C">
              <w:rPr>
                <w:rFonts w:ascii="Cambria" w:hAnsi="Cambria"/>
                <w:b/>
                <w:sz w:val="20"/>
                <w:szCs w:val="20"/>
              </w:rPr>
              <w:t xml:space="preserve">Themes: </w:t>
            </w:r>
            <w:r w:rsidR="000B27AB" w:rsidRPr="00D4638C">
              <w:rPr>
                <w:rFonts w:ascii="Cambria" w:hAnsi="Cambria"/>
                <w:sz w:val="20"/>
                <w:szCs w:val="20"/>
              </w:rPr>
              <w:t>Gender Based Violence / Investigation and Due Diligence / Domestic Effects / Right to Life / Right to Humane Treatment / Right to Equal Protection / Right to a Fair Trial / Judicial Protection / Rights of the Child.</w:t>
            </w:r>
          </w:p>
          <w:p w14:paraId="4E6D4AB8" w14:textId="577CDDAE" w:rsidR="00CA6576" w:rsidRPr="00D4638C" w:rsidRDefault="002E1FE1" w:rsidP="00894E8C">
            <w:pPr>
              <w:spacing w:after="120" w:line="240" w:lineRule="auto"/>
              <w:jc w:val="both"/>
              <w:rPr>
                <w:rFonts w:ascii="Cambria" w:hAnsi="Cambria"/>
                <w:sz w:val="20"/>
                <w:szCs w:val="20"/>
              </w:rPr>
            </w:pPr>
            <w:r w:rsidRPr="00D4638C">
              <w:rPr>
                <w:rFonts w:ascii="Cambria" w:hAnsi="Cambria"/>
                <w:b/>
                <w:sz w:val="20"/>
                <w:szCs w:val="20"/>
              </w:rPr>
              <w:t>Facts</w:t>
            </w:r>
            <w:r w:rsidR="00ED7DF8" w:rsidRPr="00D4638C">
              <w:rPr>
                <w:rFonts w:ascii="Cambria" w:hAnsi="Cambria"/>
                <w:b/>
                <w:sz w:val="20"/>
                <w:szCs w:val="20"/>
              </w:rPr>
              <w:t>:</w:t>
            </w:r>
            <w:r w:rsidR="00CA6576" w:rsidRPr="00D4638C">
              <w:rPr>
                <w:rFonts w:ascii="Cambria" w:hAnsi="Cambria"/>
                <w:b/>
                <w:sz w:val="20"/>
                <w:szCs w:val="20"/>
              </w:rPr>
              <w:t xml:space="preserve"> </w:t>
            </w:r>
            <w:r w:rsidR="00F87CAB" w:rsidRPr="00D4638C">
              <w:rPr>
                <w:rFonts w:ascii="Cambria" w:hAnsi="Cambria"/>
                <w:sz w:val="20"/>
                <w:szCs w:val="20"/>
              </w:rPr>
              <w:t>This</w:t>
            </w:r>
            <w:r w:rsidR="00F87CAB" w:rsidRPr="00D4638C">
              <w:rPr>
                <w:rFonts w:ascii="Cambria" w:hAnsi="Cambria"/>
                <w:b/>
                <w:sz w:val="20"/>
                <w:szCs w:val="20"/>
              </w:rPr>
              <w:t xml:space="preserve"> </w:t>
            </w:r>
            <w:r w:rsidR="00CC3876" w:rsidRPr="00D4638C">
              <w:rPr>
                <w:rFonts w:ascii="Cambria" w:hAnsi="Cambria"/>
                <w:sz w:val="20"/>
                <w:szCs w:val="20"/>
              </w:rPr>
              <w:t>c</w:t>
            </w:r>
            <w:r w:rsidR="00CA6576" w:rsidRPr="00D4638C">
              <w:rPr>
                <w:rFonts w:ascii="Cambria" w:hAnsi="Cambria"/>
                <w:sz w:val="20"/>
                <w:szCs w:val="20"/>
              </w:rPr>
              <w:t xml:space="preserve">ase refers to acts of violence perpetrated against Jessica </w:t>
            </w:r>
            <w:proofErr w:type="spellStart"/>
            <w:r w:rsidR="00CA6576" w:rsidRPr="00D4638C">
              <w:rPr>
                <w:rFonts w:ascii="Cambria" w:hAnsi="Cambria"/>
                <w:sz w:val="20"/>
                <w:szCs w:val="20"/>
              </w:rPr>
              <w:t>Lenahan</w:t>
            </w:r>
            <w:proofErr w:type="spellEnd"/>
            <w:r w:rsidR="00CA6576" w:rsidRPr="00D4638C">
              <w:rPr>
                <w:rFonts w:ascii="Cambria" w:hAnsi="Cambria"/>
                <w:sz w:val="20"/>
                <w:szCs w:val="20"/>
              </w:rPr>
              <w:t xml:space="preserve"> and her daughters by the ex-husband of the former and the father of the latter, even though Ms. </w:t>
            </w:r>
            <w:proofErr w:type="spellStart"/>
            <w:r w:rsidR="00CA6576" w:rsidRPr="00D4638C">
              <w:rPr>
                <w:rFonts w:ascii="Cambria" w:hAnsi="Cambria"/>
                <w:sz w:val="20"/>
                <w:szCs w:val="20"/>
              </w:rPr>
              <w:t>Lenahan</w:t>
            </w:r>
            <w:proofErr w:type="spellEnd"/>
            <w:r w:rsidR="00CA6576" w:rsidRPr="00D4638C">
              <w:rPr>
                <w:rFonts w:ascii="Cambria" w:hAnsi="Cambria"/>
                <w:sz w:val="20"/>
                <w:szCs w:val="20"/>
              </w:rPr>
              <w:t xml:space="preserve"> held a restraining order against him. The police failed </w:t>
            </w:r>
            <w:proofErr w:type="gramStart"/>
            <w:r w:rsidR="00CA6576" w:rsidRPr="00D4638C">
              <w:rPr>
                <w:rFonts w:ascii="Cambria" w:hAnsi="Cambria"/>
                <w:sz w:val="20"/>
                <w:szCs w:val="20"/>
              </w:rPr>
              <w:t>to adequately respond</w:t>
            </w:r>
            <w:proofErr w:type="gramEnd"/>
            <w:r w:rsidR="00CA6576" w:rsidRPr="00D4638C">
              <w:rPr>
                <w:rFonts w:ascii="Cambria" w:hAnsi="Cambria"/>
                <w:sz w:val="20"/>
                <w:szCs w:val="20"/>
              </w:rPr>
              <w:t xml:space="preserve"> to Jessica </w:t>
            </w:r>
            <w:proofErr w:type="spellStart"/>
            <w:r w:rsidR="00CA6576" w:rsidRPr="00D4638C">
              <w:rPr>
                <w:rFonts w:ascii="Cambria" w:hAnsi="Cambria"/>
                <w:sz w:val="20"/>
                <w:szCs w:val="20"/>
              </w:rPr>
              <w:t>Lenahan’s</w:t>
            </w:r>
            <w:proofErr w:type="spellEnd"/>
            <w:r w:rsidR="00CA6576" w:rsidRPr="00D4638C">
              <w:rPr>
                <w:rFonts w:ascii="Cambria" w:hAnsi="Cambria"/>
                <w:sz w:val="20"/>
                <w:szCs w:val="20"/>
              </w:rPr>
              <w:t xml:space="preserve"> repeated and urgent calls over several hours reporting that her estranged husband had taken their three minor daughters (ages 7, 8 and 10) in violation of the restraining order, and asking for help. The three girls </w:t>
            </w:r>
            <w:proofErr w:type="gramStart"/>
            <w:r w:rsidR="00CA6576" w:rsidRPr="00D4638C">
              <w:rPr>
                <w:rFonts w:ascii="Cambria" w:hAnsi="Cambria"/>
                <w:sz w:val="20"/>
                <w:szCs w:val="20"/>
              </w:rPr>
              <w:t>were found</w:t>
            </w:r>
            <w:proofErr w:type="gramEnd"/>
            <w:r w:rsidR="00CA6576" w:rsidRPr="00D4638C">
              <w:rPr>
                <w:rFonts w:ascii="Cambria" w:hAnsi="Cambria"/>
                <w:sz w:val="20"/>
                <w:szCs w:val="20"/>
              </w:rPr>
              <w:t xml:space="preserve"> shot to death in the back of their father’s truck after an exchange of gunfire between their father and the police which resulted in the father’s death. The State never duly investigated </w:t>
            </w:r>
            <w:r w:rsidR="00C6346C" w:rsidRPr="00D4638C">
              <w:rPr>
                <w:rFonts w:ascii="Cambria" w:hAnsi="Cambria"/>
                <w:sz w:val="20"/>
                <w:szCs w:val="20"/>
              </w:rPr>
              <w:t xml:space="preserve">or </w:t>
            </w:r>
            <w:r w:rsidR="00CA6576" w:rsidRPr="00D4638C">
              <w:rPr>
                <w:rFonts w:ascii="Cambria" w:hAnsi="Cambria"/>
                <w:sz w:val="20"/>
                <w:szCs w:val="20"/>
              </w:rPr>
              <w:t xml:space="preserve">clarified the circumstances of the death of Jessica </w:t>
            </w:r>
            <w:proofErr w:type="spellStart"/>
            <w:r w:rsidR="00CA6576" w:rsidRPr="00D4638C">
              <w:rPr>
                <w:rFonts w:ascii="Cambria" w:hAnsi="Cambria"/>
                <w:sz w:val="20"/>
                <w:szCs w:val="20"/>
              </w:rPr>
              <w:t>Lenahan’s</w:t>
            </w:r>
            <w:proofErr w:type="spellEnd"/>
            <w:r w:rsidR="00CA6576" w:rsidRPr="00D4638C">
              <w:rPr>
                <w:rFonts w:ascii="Cambria" w:hAnsi="Cambria"/>
                <w:sz w:val="20"/>
                <w:szCs w:val="20"/>
              </w:rPr>
              <w:t xml:space="preserve"> daughters, and never provided her with an adequate remedy for the failures of the police. </w:t>
            </w:r>
            <w:r w:rsidR="00FB599B" w:rsidRPr="00D4638C">
              <w:rPr>
                <w:rFonts w:ascii="Cambria" w:hAnsi="Cambria"/>
                <w:sz w:val="20"/>
                <w:szCs w:val="20"/>
              </w:rPr>
              <w:t xml:space="preserve"> </w:t>
            </w:r>
          </w:p>
          <w:p w14:paraId="74A54658" w14:textId="6C514F39" w:rsidR="002E1FE1" w:rsidRPr="00D4638C" w:rsidRDefault="009935E3" w:rsidP="00C6346C">
            <w:pPr>
              <w:spacing w:after="120" w:line="240" w:lineRule="auto"/>
              <w:jc w:val="both"/>
              <w:rPr>
                <w:rFonts w:ascii="Cambria" w:hAnsi="Cambria"/>
                <w:sz w:val="20"/>
                <w:szCs w:val="20"/>
              </w:rPr>
            </w:pPr>
            <w:r w:rsidRPr="00D4638C">
              <w:rPr>
                <w:rFonts w:ascii="Cambria" w:hAnsi="Cambria"/>
                <w:b/>
                <w:sz w:val="20"/>
                <w:szCs w:val="20"/>
              </w:rPr>
              <w:t xml:space="preserve">Rights violated: </w:t>
            </w:r>
            <w:r w:rsidR="00EE5099" w:rsidRPr="00D4638C">
              <w:rPr>
                <w:rFonts w:ascii="Cambria" w:hAnsi="Cambria"/>
                <w:sz w:val="20"/>
                <w:szCs w:val="20"/>
              </w:rPr>
              <w:t>The Commission</w:t>
            </w:r>
            <w:r w:rsidRPr="00D4638C">
              <w:rPr>
                <w:rFonts w:ascii="Cambria" w:hAnsi="Cambria"/>
                <w:sz w:val="20"/>
                <w:szCs w:val="20"/>
              </w:rPr>
              <w:t xml:space="preserve"> concluded that the State failed to act with due diligence to protect Jessica </w:t>
            </w:r>
            <w:proofErr w:type="spellStart"/>
            <w:r w:rsidRPr="00D4638C">
              <w:rPr>
                <w:rFonts w:ascii="Cambria" w:hAnsi="Cambria"/>
                <w:sz w:val="20"/>
                <w:szCs w:val="20"/>
              </w:rPr>
              <w:t>Lenahan</w:t>
            </w:r>
            <w:proofErr w:type="spellEnd"/>
            <w:r w:rsidRPr="00D4638C">
              <w:rPr>
                <w:rFonts w:ascii="Cambria" w:hAnsi="Cambria"/>
                <w:sz w:val="20"/>
                <w:szCs w:val="20"/>
              </w:rPr>
              <w:t xml:space="preserve"> and Leslie, Katheryn and Rebecca Gonzales from domestic violence, which violated the State’s obligation</w:t>
            </w:r>
            <w:r w:rsidR="00C6346C" w:rsidRPr="00D4638C">
              <w:rPr>
                <w:rFonts w:ascii="Cambria" w:hAnsi="Cambria"/>
                <w:sz w:val="20"/>
                <w:szCs w:val="20"/>
              </w:rPr>
              <w:t>s</w:t>
            </w:r>
            <w:r w:rsidRPr="00D4638C">
              <w:rPr>
                <w:rFonts w:ascii="Cambria" w:hAnsi="Cambria"/>
                <w:sz w:val="20"/>
                <w:szCs w:val="20"/>
              </w:rPr>
              <w:t xml:space="preserve"> not to discriminate and to provide for equal protection before the law under Article </w:t>
            </w:r>
            <w:r w:rsidR="008D7AD0" w:rsidRPr="00D4638C">
              <w:rPr>
                <w:rFonts w:ascii="Cambria" w:hAnsi="Cambria"/>
                <w:sz w:val="20"/>
                <w:szCs w:val="20"/>
              </w:rPr>
              <w:t>II of the American Declaration.</w:t>
            </w:r>
            <w:r w:rsidRPr="00D4638C">
              <w:rPr>
                <w:rFonts w:ascii="Cambria" w:hAnsi="Cambria"/>
                <w:sz w:val="20"/>
                <w:szCs w:val="20"/>
              </w:rPr>
              <w:t xml:space="preserve"> The State also failed to undertake reasonable measures to protect the life of Leslie, Katheryn and Rebecca Gonzales in violation of their right to life under Article I of the American Declaration, in conjunction with their right to special protection as </w:t>
            </w:r>
            <w:r w:rsidR="00C6346C" w:rsidRPr="00D4638C">
              <w:rPr>
                <w:rFonts w:ascii="Cambria" w:hAnsi="Cambria"/>
                <w:sz w:val="20"/>
                <w:szCs w:val="20"/>
              </w:rPr>
              <w:t>children</w:t>
            </w:r>
            <w:r w:rsidRPr="00D4638C">
              <w:rPr>
                <w:rFonts w:ascii="Cambria" w:hAnsi="Cambria"/>
                <w:sz w:val="20"/>
                <w:szCs w:val="20"/>
              </w:rPr>
              <w:t xml:space="preserve"> under Article V</w:t>
            </w:r>
            <w:r w:rsidR="008D7AD0" w:rsidRPr="00D4638C">
              <w:rPr>
                <w:rFonts w:ascii="Cambria" w:hAnsi="Cambria"/>
                <w:sz w:val="20"/>
                <w:szCs w:val="20"/>
              </w:rPr>
              <w:t>II of the American Declaration.</w:t>
            </w:r>
            <w:r w:rsidRPr="00D4638C">
              <w:rPr>
                <w:rFonts w:ascii="Cambria" w:hAnsi="Cambria"/>
                <w:sz w:val="20"/>
                <w:szCs w:val="20"/>
              </w:rPr>
              <w:t xml:space="preserve"> Finally, the Commission finds that the State violated the right to judicial protection of Jessica </w:t>
            </w:r>
            <w:proofErr w:type="spellStart"/>
            <w:r w:rsidRPr="00D4638C">
              <w:rPr>
                <w:rFonts w:ascii="Cambria" w:hAnsi="Cambria"/>
                <w:sz w:val="20"/>
                <w:szCs w:val="20"/>
              </w:rPr>
              <w:t>Lenahan</w:t>
            </w:r>
            <w:proofErr w:type="spellEnd"/>
            <w:r w:rsidRPr="00D4638C">
              <w:rPr>
                <w:rFonts w:ascii="Cambria" w:hAnsi="Cambria"/>
                <w:sz w:val="20"/>
                <w:szCs w:val="20"/>
              </w:rPr>
              <w:t xml:space="preserve"> and her next-of kin, under Article XVIII of the American Declaration.</w:t>
            </w:r>
            <w:r w:rsidR="00FB599B" w:rsidRPr="00D4638C">
              <w:rPr>
                <w:rFonts w:ascii="Cambria" w:hAnsi="Cambria"/>
                <w:sz w:val="20"/>
                <w:szCs w:val="20"/>
              </w:rPr>
              <w:t xml:space="preserve"> </w:t>
            </w:r>
          </w:p>
        </w:tc>
      </w:tr>
    </w:tbl>
    <w:p w14:paraId="291DA745" w14:textId="77777777" w:rsidR="002E1FE1" w:rsidRPr="00D4638C" w:rsidRDefault="002E1FE1" w:rsidP="002E1FE1">
      <w:pPr>
        <w:spacing w:after="0" w:line="240" w:lineRule="auto"/>
        <w:ind w:left="180"/>
        <w:rPr>
          <w:rFonts w:ascii="Cambria" w:hAnsi="Cambria"/>
          <w:sz w:val="20"/>
          <w:szCs w:val="20"/>
        </w:rPr>
      </w:pPr>
    </w:p>
    <w:p w14:paraId="71A6D130" w14:textId="34A36384" w:rsidR="002E1FE1" w:rsidRPr="00D4638C" w:rsidRDefault="002E1FE1" w:rsidP="00B97AAC">
      <w:pPr>
        <w:pStyle w:val="ListParagraph"/>
        <w:numPr>
          <w:ilvl w:val="0"/>
          <w:numId w:val="37"/>
        </w:numPr>
        <w:spacing w:after="0" w:line="240" w:lineRule="auto"/>
        <w:ind w:left="1440"/>
        <w:jc w:val="both"/>
        <w:rPr>
          <w:rFonts w:ascii="Cambria" w:hAnsi="Cambria" w:cs="Calibri Light"/>
          <w:b/>
          <w:sz w:val="20"/>
          <w:szCs w:val="20"/>
        </w:rPr>
      </w:pPr>
      <w:r w:rsidRPr="00D4638C">
        <w:rPr>
          <w:rFonts w:ascii="Cambria" w:hAnsi="Cambria" w:cs="Calibri Light"/>
          <w:b/>
          <w:sz w:val="20"/>
          <w:szCs w:val="20"/>
        </w:rPr>
        <w:t>Recommendations</w:t>
      </w:r>
    </w:p>
    <w:p w14:paraId="27B41773" w14:textId="77777777" w:rsidR="002E1FE1" w:rsidRPr="00D4638C" w:rsidRDefault="002E1FE1" w:rsidP="002E1FE1">
      <w:pPr>
        <w:spacing w:after="0" w:line="240" w:lineRule="auto"/>
        <w:ind w:left="1080"/>
        <w:jc w:val="both"/>
        <w:rPr>
          <w:rFonts w:ascii="Cambria" w:hAnsi="Cambria" w:cs="Calibri Light"/>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32"/>
        <w:gridCol w:w="1872"/>
      </w:tblGrid>
      <w:tr w:rsidR="000B27AB" w:rsidRPr="00D4638C" w14:paraId="77764B3A" w14:textId="77777777" w:rsidTr="00FB76A3">
        <w:trPr>
          <w:jc w:val="center"/>
        </w:trPr>
        <w:tc>
          <w:tcPr>
            <w:tcW w:w="7632" w:type="dxa"/>
            <w:shd w:val="clear" w:color="auto" w:fill="auto"/>
            <w:vAlign w:val="center"/>
          </w:tcPr>
          <w:p w14:paraId="42F457BE" w14:textId="77777777" w:rsidR="002E1FE1" w:rsidRPr="00D4638C" w:rsidRDefault="002E1FE1" w:rsidP="00FB76A3">
            <w:pPr>
              <w:spacing w:after="0" w:line="240" w:lineRule="auto"/>
              <w:jc w:val="center"/>
              <w:rPr>
                <w:rFonts w:ascii="Cambria" w:hAnsi="Cambria" w:cs="Calibri Light"/>
                <w:b/>
                <w:sz w:val="18"/>
                <w:szCs w:val="18"/>
              </w:rPr>
            </w:pPr>
            <w:r w:rsidRPr="00D4638C">
              <w:rPr>
                <w:rFonts w:ascii="Cambria" w:hAnsi="Cambria" w:cs="Calibri Light"/>
                <w:b/>
                <w:sz w:val="18"/>
                <w:szCs w:val="18"/>
              </w:rPr>
              <w:t>Recommendations</w:t>
            </w:r>
          </w:p>
        </w:tc>
        <w:tc>
          <w:tcPr>
            <w:tcW w:w="1872" w:type="dxa"/>
            <w:shd w:val="clear" w:color="auto" w:fill="auto"/>
            <w:vAlign w:val="center"/>
          </w:tcPr>
          <w:p w14:paraId="32D6DA02" w14:textId="203D7ECF" w:rsidR="002E1FE1" w:rsidRPr="00D4638C" w:rsidRDefault="007C4683" w:rsidP="00E13E7E">
            <w:pPr>
              <w:spacing w:after="0" w:line="240" w:lineRule="auto"/>
              <w:jc w:val="center"/>
              <w:rPr>
                <w:rFonts w:ascii="Cambria" w:hAnsi="Cambria" w:cs="Calibri Light"/>
                <w:b/>
                <w:color w:val="000000" w:themeColor="text1"/>
                <w:sz w:val="18"/>
                <w:szCs w:val="18"/>
              </w:rPr>
            </w:pPr>
            <w:r w:rsidRPr="00D4638C">
              <w:rPr>
                <w:rFonts w:ascii="Cambria" w:hAnsi="Cambria" w:cs="Calibri Light"/>
                <w:b/>
                <w:color w:val="000000" w:themeColor="text1"/>
                <w:sz w:val="18"/>
                <w:szCs w:val="18"/>
              </w:rPr>
              <w:t xml:space="preserve">State of compliance in </w:t>
            </w:r>
            <w:r w:rsidR="00E13E7E" w:rsidRPr="00D4638C">
              <w:rPr>
                <w:rFonts w:ascii="Cambria" w:hAnsi="Cambria" w:cs="Calibri Light"/>
                <w:b/>
                <w:color w:val="000000" w:themeColor="text1"/>
                <w:sz w:val="18"/>
                <w:szCs w:val="18"/>
              </w:rPr>
              <w:t>2020</w:t>
            </w:r>
          </w:p>
        </w:tc>
      </w:tr>
      <w:tr w:rsidR="000B27AB" w:rsidRPr="00D4638C" w14:paraId="0B69E9E6" w14:textId="77777777" w:rsidTr="00CC3876">
        <w:trPr>
          <w:jc w:val="center"/>
        </w:trPr>
        <w:tc>
          <w:tcPr>
            <w:tcW w:w="7632" w:type="dxa"/>
            <w:shd w:val="clear" w:color="auto" w:fill="auto"/>
          </w:tcPr>
          <w:p w14:paraId="1030DB5F" w14:textId="7F7CF1FE" w:rsidR="002E1FE1" w:rsidRPr="00D4638C" w:rsidRDefault="002B4008" w:rsidP="00CC3876">
            <w:pPr>
              <w:spacing w:after="0" w:line="240" w:lineRule="auto"/>
              <w:jc w:val="both"/>
              <w:rPr>
                <w:rFonts w:ascii="Cambria" w:hAnsi="Cambria"/>
                <w:sz w:val="18"/>
                <w:szCs w:val="18"/>
              </w:rPr>
            </w:pPr>
            <w:r w:rsidRPr="00D4638C">
              <w:rPr>
                <w:rFonts w:ascii="Cambria" w:hAnsi="Cambria"/>
                <w:sz w:val="18"/>
                <w:szCs w:val="18"/>
              </w:rPr>
              <w:t xml:space="preserve">1. </w:t>
            </w:r>
            <w:r w:rsidR="003D612A" w:rsidRPr="00D4638C">
              <w:rPr>
                <w:rFonts w:ascii="Cambria" w:hAnsi="Cambria"/>
                <w:sz w:val="18"/>
                <w:szCs w:val="18"/>
              </w:rPr>
              <w:t>Undertake a serious, impartial and exhaustive investigation with the objective of ascertaining the cause, time and place of</w:t>
            </w:r>
            <w:r w:rsidRPr="00D4638C">
              <w:rPr>
                <w:rFonts w:ascii="Cambria" w:hAnsi="Cambria"/>
                <w:sz w:val="18"/>
                <w:szCs w:val="18"/>
              </w:rPr>
              <w:t xml:space="preserve"> the deaths of Leslie, Katheryn </w:t>
            </w:r>
            <w:r w:rsidR="003D612A" w:rsidRPr="00D4638C">
              <w:rPr>
                <w:rFonts w:ascii="Cambria" w:hAnsi="Cambria"/>
                <w:sz w:val="18"/>
                <w:szCs w:val="18"/>
              </w:rPr>
              <w:t xml:space="preserve">and Rebecca Gonzales, and </w:t>
            </w:r>
            <w:proofErr w:type="gramStart"/>
            <w:r w:rsidR="003D612A" w:rsidRPr="00D4638C">
              <w:rPr>
                <w:rFonts w:ascii="Cambria" w:hAnsi="Cambria"/>
                <w:sz w:val="18"/>
                <w:szCs w:val="18"/>
              </w:rPr>
              <w:t>to duly inform</w:t>
            </w:r>
            <w:proofErr w:type="gramEnd"/>
            <w:r w:rsidR="003D612A" w:rsidRPr="00D4638C">
              <w:rPr>
                <w:rFonts w:ascii="Cambria" w:hAnsi="Cambria"/>
                <w:sz w:val="18"/>
                <w:szCs w:val="18"/>
              </w:rPr>
              <w:t xml:space="preserve"> their next-of-kin of </w:t>
            </w:r>
            <w:r w:rsidR="00CC3876" w:rsidRPr="00D4638C">
              <w:rPr>
                <w:rFonts w:ascii="Cambria" w:hAnsi="Cambria"/>
                <w:sz w:val="18"/>
                <w:szCs w:val="18"/>
              </w:rPr>
              <w:t>the course of the investigation.</w:t>
            </w:r>
          </w:p>
        </w:tc>
        <w:tc>
          <w:tcPr>
            <w:tcW w:w="1872" w:type="dxa"/>
            <w:shd w:val="clear" w:color="auto" w:fill="auto"/>
            <w:vAlign w:val="center"/>
          </w:tcPr>
          <w:p w14:paraId="1C5F3466" w14:textId="4D2D41A6" w:rsidR="002E1FE1" w:rsidRPr="00D4638C" w:rsidRDefault="00C70AE2" w:rsidP="00CC3876">
            <w:pPr>
              <w:spacing w:after="0" w:line="240" w:lineRule="auto"/>
              <w:jc w:val="center"/>
              <w:rPr>
                <w:rFonts w:ascii="Cambria" w:hAnsi="Cambria" w:cs="Calibri Light"/>
                <w:b/>
                <w:color w:val="000000" w:themeColor="text1"/>
                <w:sz w:val="18"/>
                <w:szCs w:val="18"/>
              </w:rPr>
            </w:pPr>
            <w:r w:rsidRPr="00D4638C">
              <w:rPr>
                <w:rFonts w:ascii="Cambria" w:hAnsi="Cambria"/>
                <w:color w:val="000000" w:themeColor="text1"/>
                <w:sz w:val="18"/>
                <w:szCs w:val="18"/>
              </w:rPr>
              <w:t>Pending compliance</w:t>
            </w:r>
          </w:p>
        </w:tc>
      </w:tr>
      <w:tr w:rsidR="000B27AB" w:rsidRPr="00D4638C" w14:paraId="64415321" w14:textId="77777777" w:rsidTr="00CC3876">
        <w:trPr>
          <w:jc w:val="center"/>
        </w:trPr>
        <w:tc>
          <w:tcPr>
            <w:tcW w:w="7632" w:type="dxa"/>
            <w:shd w:val="clear" w:color="auto" w:fill="auto"/>
          </w:tcPr>
          <w:p w14:paraId="793EE2E9" w14:textId="77777777" w:rsidR="002E1FE1" w:rsidRPr="00D4638C" w:rsidRDefault="002B4008" w:rsidP="00CC3876">
            <w:pPr>
              <w:spacing w:after="0" w:line="240" w:lineRule="auto"/>
              <w:jc w:val="both"/>
              <w:rPr>
                <w:rFonts w:ascii="Cambria" w:hAnsi="Cambria"/>
                <w:sz w:val="18"/>
                <w:szCs w:val="18"/>
              </w:rPr>
            </w:pPr>
            <w:r w:rsidRPr="00D4638C">
              <w:rPr>
                <w:rFonts w:ascii="Cambria" w:hAnsi="Cambria"/>
                <w:sz w:val="18"/>
                <w:szCs w:val="18"/>
              </w:rPr>
              <w:t xml:space="preserve">2. </w:t>
            </w:r>
            <w:r w:rsidR="003D612A" w:rsidRPr="00D4638C">
              <w:rPr>
                <w:rFonts w:ascii="Cambria" w:hAnsi="Cambria"/>
                <w:sz w:val="18"/>
                <w:szCs w:val="18"/>
              </w:rPr>
              <w:t xml:space="preserve">Conduct a serious, impartial and exhaustive investigation into systemic failures that took place related to the enforcement of Jessica </w:t>
            </w:r>
            <w:proofErr w:type="spellStart"/>
            <w:r w:rsidR="003D612A" w:rsidRPr="00D4638C">
              <w:rPr>
                <w:rFonts w:ascii="Cambria" w:hAnsi="Cambria"/>
                <w:sz w:val="18"/>
                <w:szCs w:val="18"/>
              </w:rPr>
              <w:t>Lenahan’s</w:t>
            </w:r>
            <w:proofErr w:type="spellEnd"/>
            <w:r w:rsidR="003D612A" w:rsidRPr="00D4638C">
              <w:rPr>
                <w:rFonts w:ascii="Cambria" w:hAnsi="Cambria"/>
                <w:sz w:val="18"/>
                <w:szCs w:val="18"/>
              </w:rPr>
              <w:t xml:space="preserve"> protection order as a guarantee of their non-repetition, including performing an inquiry to determine the responsibilities of public officials for violating state and/or federal laws, and holdin</w:t>
            </w:r>
            <w:r w:rsidRPr="00D4638C">
              <w:rPr>
                <w:rFonts w:ascii="Cambria" w:hAnsi="Cambria"/>
                <w:sz w:val="18"/>
                <w:szCs w:val="18"/>
              </w:rPr>
              <w:t>g those responsible accountable.</w:t>
            </w:r>
          </w:p>
        </w:tc>
        <w:tc>
          <w:tcPr>
            <w:tcW w:w="1872" w:type="dxa"/>
            <w:shd w:val="clear" w:color="auto" w:fill="auto"/>
            <w:vAlign w:val="center"/>
          </w:tcPr>
          <w:p w14:paraId="0A3311DF" w14:textId="26771483" w:rsidR="002E1FE1" w:rsidRPr="00D4638C" w:rsidRDefault="00C70AE2" w:rsidP="00CC3876">
            <w:pPr>
              <w:spacing w:after="0" w:line="240" w:lineRule="auto"/>
              <w:jc w:val="center"/>
              <w:rPr>
                <w:rFonts w:ascii="Cambria" w:hAnsi="Cambria" w:cs="Calibri Light"/>
                <w:b/>
                <w:color w:val="000000" w:themeColor="text1"/>
                <w:sz w:val="18"/>
                <w:szCs w:val="18"/>
              </w:rPr>
            </w:pPr>
            <w:r w:rsidRPr="00D4638C">
              <w:rPr>
                <w:rFonts w:ascii="Cambria" w:hAnsi="Cambria"/>
                <w:color w:val="000000" w:themeColor="text1"/>
                <w:sz w:val="18"/>
                <w:szCs w:val="18"/>
              </w:rPr>
              <w:t>Pending compliance</w:t>
            </w:r>
          </w:p>
        </w:tc>
      </w:tr>
      <w:tr w:rsidR="000B27AB" w:rsidRPr="00D4638C" w14:paraId="49380A89" w14:textId="77777777" w:rsidTr="00CC3876">
        <w:trPr>
          <w:jc w:val="center"/>
        </w:trPr>
        <w:tc>
          <w:tcPr>
            <w:tcW w:w="7632" w:type="dxa"/>
            <w:shd w:val="clear" w:color="auto" w:fill="auto"/>
          </w:tcPr>
          <w:p w14:paraId="391EFEE4" w14:textId="2D71FE22" w:rsidR="002E1FE1" w:rsidRPr="00D4638C" w:rsidRDefault="00CC3876" w:rsidP="00CC3876">
            <w:pPr>
              <w:spacing w:after="0" w:line="240" w:lineRule="auto"/>
              <w:jc w:val="both"/>
              <w:rPr>
                <w:rFonts w:ascii="Cambria" w:hAnsi="Cambria"/>
                <w:sz w:val="18"/>
                <w:szCs w:val="18"/>
              </w:rPr>
            </w:pPr>
            <w:r w:rsidRPr="00D4638C">
              <w:rPr>
                <w:rFonts w:ascii="Cambria" w:hAnsi="Cambria"/>
                <w:sz w:val="18"/>
                <w:szCs w:val="18"/>
              </w:rPr>
              <w:t>3.</w:t>
            </w:r>
            <w:r w:rsidR="002B4008" w:rsidRPr="00D4638C">
              <w:rPr>
                <w:rFonts w:ascii="Cambria" w:hAnsi="Cambria"/>
                <w:sz w:val="18"/>
                <w:szCs w:val="18"/>
              </w:rPr>
              <w:t xml:space="preserve"> </w:t>
            </w:r>
            <w:r w:rsidR="003D612A" w:rsidRPr="00D4638C">
              <w:rPr>
                <w:rFonts w:ascii="Cambria" w:hAnsi="Cambria"/>
                <w:sz w:val="18"/>
                <w:szCs w:val="18"/>
              </w:rPr>
              <w:t xml:space="preserve">Offer full reparations to Jessica </w:t>
            </w:r>
            <w:proofErr w:type="spellStart"/>
            <w:r w:rsidR="003D612A" w:rsidRPr="00D4638C">
              <w:rPr>
                <w:rFonts w:ascii="Cambria" w:hAnsi="Cambria"/>
                <w:sz w:val="18"/>
                <w:szCs w:val="18"/>
              </w:rPr>
              <w:t>Lenahan</w:t>
            </w:r>
            <w:proofErr w:type="spellEnd"/>
            <w:r w:rsidR="003D612A" w:rsidRPr="00D4638C">
              <w:rPr>
                <w:rFonts w:ascii="Cambria" w:hAnsi="Cambria"/>
                <w:sz w:val="18"/>
                <w:szCs w:val="18"/>
              </w:rPr>
              <w:t xml:space="preserve"> and her next-of-kin considering their perspective </w:t>
            </w:r>
            <w:r w:rsidRPr="00D4638C">
              <w:rPr>
                <w:rFonts w:ascii="Cambria" w:hAnsi="Cambria"/>
                <w:sz w:val="18"/>
                <w:szCs w:val="18"/>
              </w:rPr>
              <w:t>and specific needs.</w:t>
            </w:r>
          </w:p>
        </w:tc>
        <w:tc>
          <w:tcPr>
            <w:tcW w:w="1872" w:type="dxa"/>
            <w:shd w:val="clear" w:color="auto" w:fill="auto"/>
            <w:vAlign w:val="center"/>
          </w:tcPr>
          <w:p w14:paraId="32DC51BA" w14:textId="4F3A89B1" w:rsidR="002E1FE1" w:rsidRPr="00D4638C" w:rsidRDefault="00C70AE2" w:rsidP="00CC3876">
            <w:pPr>
              <w:spacing w:after="0" w:line="240" w:lineRule="auto"/>
              <w:jc w:val="center"/>
              <w:rPr>
                <w:rFonts w:ascii="Cambria" w:hAnsi="Cambria" w:cs="Calibri Light"/>
                <w:b/>
                <w:sz w:val="18"/>
                <w:szCs w:val="18"/>
              </w:rPr>
            </w:pPr>
            <w:r w:rsidRPr="00D4638C">
              <w:rPr>
                <w:rFonts w:ascii="Cambria" w:hAnsi="Cambria"/>
                <w:sz w:val="18"/>
                <w:szCs w:val="18"/>
              </w:rPr>
              <w:t>Pending compliance</w:t>
            </w:r>
          </w:p>
        </w:tc>
      </w:tr>
      <w:tr w:rsidR="000B27AB" w:rsidRPr="00D4638C" w14:paraId="6362F83E" w14:textId="77777777" w:rsidTr="00CC3876">
        <w:trPr>
          <w:jc w:val="center"/>
        </w:trPr>
        <w:tc>
          <w:tcPr>
            <w:tcW w:w="7632" w:type="dxa"/>
            <w:shd w:val="clear" w:color="auto" w:fill="auto"/>
          </w:tcPr>
          <w:p w14:paraId="05F90BEE" w14:textId="4B282A13" w:rsidR="003D612A" w:rsidRPr="00D4638C" w:rsidRDefault="002B4008" w:rsidP="00C6346C">
            <w:pPr>
              <w:spacing w:after="0" w:line="240" w:lineRule="auto"/>
              <w:jc w:val="both"/>
              <w:rPr>
                <w:rFonts w:ascii="Cambria" w:hAnsi="Cambria"/>
                <w:sz w:val="18"/>
                <w:szCs w:val="18"/>
              </w:rPr>
            </w:pPr>
            <w:r w:rsidRPr="00D4638C">
              <w:rPr>
                <w:rFonts w:ascii="Cambria" w:hAnsi="Cambria"/>
                <w:sz w:val="18"/>
                <w:szCs w:val="18"/>
              </w:rPr>
              <w:t xml:space="preserve">4. </w:t>
            </w:r>
            <w:r w:rsidR="003D612A" w:rsidRPr="00D4638C">
              <w:rPr>
                <w:rFonts w:ascii="Cambria" w:hAnsi="Cambria"/>
                <w:sz w:val="18"/>
                <w:szCs w:val="18"/>
              </w:rPr>
              <w:t xml:space="preserve">Adopt multifaceted legislation at the federal and state levels, or reform existing legislation, making mandatory the enforcement of protection orders and other precautionary measures to protect women from imminent acts of violence, and create effective implementation mechanisms.  These measures </w:t>
            </w:r>
            <w:proofErr w:type="gramStart"/>
            <w:r w:rsidR="003D612A" w:rsidRPr="00D4638C">
              <w:rPr>
                <w:rFonts w:ascii="Cambria" w:hAnsi="Cambria"/>
                <w:sz w:val="18"/>
                <w:szCs w:val="18"/>
              </w:rPr>
              <w:t>should be accompanied</w:t>
            </w:r>
            <w:proofErr w:type="gramEnd"/>
            <w:r w:rsidR="003D612A" w:rsidRPr="00D4638C">
              <w:rPr>
                <w:rFonts w:ascii="Cambria" w:hAnsi="Cambria"/>
                <w:sz w:val="18"/>
                <w:szCs w:val="18"/>
              </w:rPr>
              <w:t xml:space="preserve"> by adequate resources destined to foster </w:t>
            </w:r>
            <w:r w:rsidR="003D612A" w:rsidRPr="00D4638C">
              <w:rPr>
                <w:rFonts w:ascii="Cambria" w:hAnsi="Cambria"/>
                <w:sz w:val="18"/>
                <w:szCs w:val="18"/>
              </w:rPr>
              <w:lastRenderedPageBreak/>
              <w:t>their implementation; regulations to ensure their enforcement; training programs for the law enforcement and justice system officials who will participate in their execution; and the design of model protocols and directives that can be followed by police dep</w:t>
            </w:r>
            <w:r w:rsidR="00CC3876" w:rsidRPr="00D4638C">
              <w:rPr>
                <w:rFonts w:ascii="Cambria" w:hAnsi="Cambria"/>
                <w:sz w:val="18"/>
                <w:szCs w:val="18"/>
              </w:rPr>
              <w:t>artments throughout the country.</w:t>
            </w:r>
          </w:p>
        </w:tc>
        <w:tc>
          <w:tcPr>
            <w:tcW w:w="1872" w:type="dxa"/>
            <w:shd w:val="clear" w:color="auto" w:fill="auto"/>
            <w:vAlign w:val="center"/>
          </w:tcPr>
          <w:p w14:paraId="0898A79D" w14:textId="2F29CC54" w:rsidR="003D612A" w:rsidRPr="00D4638C" w:rsidRDefault="00C70AE2" w:rsidP="00CC3876">
            <w:pPr>
              <w:spacing w:after="0" w:line="240" w:lineRule="auto"/>
              <w:jc w:val="center"/>
              <w:rPr>
                <w:rFonts w:ascii="Cambria" w:hAnsi="Cambria" w:cs="Calibri Light"/>
                <w:b/>
                <w:sz w:val="18"/>
                <w:szCs w:val="18"/>
              </w:rPr>
            </w:pPr>
            <w:r w:rsidRPr="00D4638C">
              <w:rPr>
                <w:rFonts w:ascii="Cambria" w:hAnsi="Cambria"/>
                <w:sz w:val="18"/>
                <w:szCs w:val="18"/>
              </w:rPr>
              <w:lastRenderedPageBreak/>
              <w:t>Partial compliance</w:t>
            </w:r>
          </w:p>
        </w:tc>
      </w:tr>
      <w:tr w:rsidR="000B27AB" w:rsidRPr="00D4638C" w14:paraId="5329ED23" w14:textId="77777777" w:rsidTr="00CC3876">
        <w:trPr>
          <w:jc w:val="center"/>
        </w:trPr>
        <w:tc>
          <w:tcPr>
            <w:tcW w:w="7632" w:type="dxa"/>
            <w:shd w:val="clear" w:color="auto" w:fill="auto"/>
          </w:tcPr>
          <w:p w14:paraId="66DA43EE" w14:textId="517C8BDF" w:rsidR="003D612A" w:rsidRPr="00D4638C" w:rsidRDefault="00CC3876" w:rsidP="00CC3876">
            <w:pPr>
              <w:spacing w:after="0" w:line="240" w:lineRule="auto"/>
              <w:jc w:val="both"/>
              <w:rPr>
                <w:rFonts w:ascii="Cambria" w:hAnsi="Cambria"/>
                <w:sz w:val="18"/>
                <w:szCs w:val="18"/>
              </w:rPr>
            </w:pPr>
            <w:r w:rsidRPr="00D4638C">
              <w:rPr>
                <w:rFonts w:ascii="Cambria" w:hAnsi="Cambria"/>
                <w:sz w:val="18"/>
                <w:szCs w:val="18"/>
              </w:rPr>
              <w:t>5.</w:t>
            </w:r>
            <w:r w:rsidR="002B4008" w:rsidRPr="00D4638C">
              <w:rPr>
                <w:rFonts w:ascii="Cambria" w:hAnsi="Cambria"/>
                <w:sz w:val="18"/>
                <w:szCs w:val="18"/>
              </w:rPr>
              <w:t xml:space="preserve"> </w:t>
            </w:r>
            <w:r w:rsidR="003D612A" w:rsidRPr="00D4638C">
              <w:rPr>
                <w:rFonts w:ascii="Cambria" w:hAnsi="Cambria"/>
                <w:sz w:val="18"/>
                <w:szCs w:val="18"/>
              </w:rPr>
              <w:t>Adopt multifaceted legislation at the federal and state levels, or reform existing legislation, including protection measures for children in th</w:t>
            </w:r>
            <w:r w:rsidR="008A77BE" w:rsidRPr="00D4638C">
              <w:rPr>
                <w:rFonts w:ascii="Cambria" w:hAnsi="Cambria"/>
                <w:sz w:val="18"/>
                <w:szCs w:val="18"/>
              </w:rPr>
              <w:t>e context of domestic violence.</w:t>
            </w:r>
            <w:r w:rsidR="003D612A" w:rsidRPr="00D4638C">
              <w:rPr>
                <w:rFonts w:ascii="Cambria" w:hAnsi="Cambria"/>
                <w:sz w:val="18"/>
                <w:szCs w:val="18"/>
              </w:rPr>
              <w:t xml:space="preserve"> Such measures </w:t>
            </w:r>
            <w:proofErr w:type="gramStart"/>
            <w:r w:rsidR="003D612A" w:rsidRPr="00D4638C">
              <w:rPr>
                <w:rFonts w:ascii="Cambria" w:hAnsi="Cambria"/>
                <w:sz w:val="18"/>
                <w:szCs w:val="18"/>
              </w:rPr>
              <w:t>should be accompanied</w:t>
            </w:r>
            <w:proofErr w:type="gramEnd"/>
            <w:r w:rsidR="003D612A" w:rsidRPr="00D4638C">
              <w:rPr>
                <w:rFonts w:ascii="Cambria" w:hAnsi="Cambria"/>
                <w:sz w:val="18"/>
                <w:szCs w:val="18"/>
              </w:rPr>
              <w:t xml:space="preserve"> by adequate resources destined to foster their implementation; regulations to ensure their enforcement; training programs for the law enforcement and justice system officials who will participate in their execution; and the design of model protocols and directives that can be followed by police depa</w:t>
            </w:r>
            <w:r w:rsidRPr="00D4638C">
              <w:rPr>
                <w:rFonts w:ascii="Cambria" w:hAnsi="Cambria"/>
                <w:sz w:val="18"/>
                <w:szCs w:val="18"/>
              </w:rPr>
              <w:t>rtments throughout the country.</w:t>
            </w:r>
          </w:p>
        </w:tc>
        <w:tc>
          <w:tcPr>
            <w:tcW w:w="1872" w:type="dxa"/>
            <w:shd w:val="clear" w:color="auto" w:fill="auto"/>
            <w:vAlign w:val="center"/>
          </w:tcPr>
          <w:p w14:paraId="0FAF4D02" w14:textId="237EFFB1" w:rsidR="003D612A" w:rsidRPr="00D4638C" w:rsidRDefault="00C70AE2" w:rsidP="00CC3876">
            <w:pPr>
              <w:spacing w:after="0" w:line="240" w:lineRule="auto"/>
              <w:jc w:val="center"/>
              <w:rPr>
                <w:rFonts w:ascii="Cambria" w:hAnsi="Cambria" w:cs="Calibri Light"/>
                <w:b/>
                <w:sz w:val="18"/>
                <w:szCs w:val="18"/>
              </w:rPr>
            </w:pPr>
            <w:r w:rsidRPr="00D4638C">
              <w:rPr>
                <w:rFonts w:ascii="Cambria" w:hAnsi="Cambria"/>
                <w:sz w:val="18"/>
                <w:szCs w:val="18"/>
              </w:rPr>
              <w:t>Partial compliance</w:t>
            </w:r>
          </w:p>
        </w:tc>
      </w:tr>
      <w:tr w:rsidR="000B27AB" w:rsidRPr="00D4638C" w14:paraId="596CEA0D" w14:textId="77777777" w:rsidTr="00CC3876">
        <w:trPr>
          <w:jc w:val="center"/>
        </w:trPr>
        <w:tc>
          <w:tcPr>
            <w:tcW w:w="7632" w:type="dxa"/>
            <w:shd w:val="clear" w:color="auto" w:fill="auto"/>
          </w:tcPr>
          <w:p w14:paraId="0A7B4663" w14:textId="3399F257" w:rsidR="003D612A" w:rsidRPr="00D4638C" w:rsidRDefault="002B4008" w:rsidP="00CC3876">
            <w:pPr>
              <w:spacing w:after="0" w:line="240" w:lineRule="auto"/>
              <w:jc w:val="both"/>
              <w:rPr>
                <w:rFonts w:ascii="Cambria" w:hAnsi="Cambria"/>
                <w:sz w:val="18"/>
                <w:szCs w:val="18"/>
              </w:rPr>
            </w:pPr>
            <w:r w:rsidRPr="00D4638C">
              <w:rPr>
                <w:rFonts w:ascii="Cambria" w:hAnsi="Cambria"/>
                <w:sz w:val="18"/>
                <w:szCs w:val="18"/>
              </w:rPr>
              <w:t>6.</w:t>
            </w:r>
            <w:r w:rsidR="00CC3876" w:rsidRPr="00D4638C">
              <w:rPr>
                <w:rFonts w:ascii="Cambria" w:hAnsi="Cambria"/>
                <w:sz w:val="18"/>
                <w:szCs w:val="18"/>
              </w:rPr>
              <w:t xml:space="preserve"> </w:t>
            </w:r>
            <w:r w:rsidR="003D612A" w:rsidRPr="00D4638C">
              <w:rPr>
                <w:rFonts w:ascii="Cambria" w:hAnsi="Cambria"/>
                <w:sz w:val="18"/>
                <w:szCs w:val="18"/>
              </w:rPr>
              <w:t>Continue adopting public policies and institutional programs aimed at restructuring the stereotypes of domestic violence victims, and to promote the eradication of discriminatory socio-cultural patterns that impede women and children’s full protection from domestic violence acts, including programs to train public officials in all branches of the administration of justice and police, and compre</w:t>
            </w:r>
            <w:r w:rsidR="00CC3876" w:rsidRPr="00D4638C">
              <w:rPr>
                <w:rFonts w:ascii="Cambria" w:hAnsi="Cambria"/>
                <w:sz w:val="18"/>
                <w:szCs w:val="18"/>
              </w:rPr>
              <w:t>hensive prevention programs.</w:t>
            </w:r>
          </w:p>
        </w:tc>
        <w:tc>
          <w:tcPr>
            <w:tcW w:w="1872" w:type="dxa"/>
            <w:shd w:val="clear" w:color="auto" w:fill="auto"/>
            <w:vAlign w:val="center"/>
          </w:tcPr>
          <w:p w14:paraId="655DC574" w14:textId="14EA800C" w:rsidR="003D612A" w:rsidRPr="00D4638C" w:rsidRDefault="00C70AE2" w:rsidP="00CC3876">
            <w:pPr>
              <w:spacing w:after="0" w:line="240" w:lineRule="auto"/>
              <w:jc w:val="center"/>
              <w:rPr>
                <w:rFonts w:ascii="Cambria" w:hAnsi="Cambria" w:cs="Calibri Light"/>
                <w:b/>
                <w:sz w:val="18"/>
                <w:szCs w:val="18"/>
              </w:rPr>
            </w:pPr>
            <w:r w:rsidRPr="00D4638C">
              <w:rPr>
                <w:rFonts w:ascii="Cambria" w:hAnsi="Cambria"/>
                <w:sz w:val="18"/>
                <w:szCs w:val="18"/>
              </w:rPr>
              <w:t>Partial compliance</w:t>
            </w:r>
          </w:p>
        </w:tc>
      </w:tr>
      <w:tr w:rsidR="003D612A" w:rsidRPr="00D4638C" w14:paraId="56357513" w14:textId="77777777" w:rsidTr="00CC3876">
        <w:trPr>
          <w:trHeight w:val="638"/>
          <w:jc w:val="center"/>
        </w:trPr>
        <w:tc>
          <w:tcPr>
            <w:tcW w:w="7632" w:type="dxa"/>
            <w:shd w:val="clear" w:color="auto" w:fill="auto"/>
          </w:tcPr>
          <w:p w14:paraId="425BD8AD" w14:textId="72ABBD44" w:rsidR="003D612A" w:rsidRPr="00D4638C" w:rsidRDefault="002B4008" w:rsidP="00CC3876">
            <w:pPr>
              <w:spacing w:after="0" w:line="240" w:lineRule="auto"/>
              <w:jc w:val="both"/>
              <w:rPr>
                <w:rFonts w:ascii="Cambria" w:hAnsi="Cambria"/>
                <w:sz w:val="18"/>
                <w:szCs w:val="18"/>
              </w:rPr>
            </w:pPr>
            <w:r w:rsidRPr="00D4638C">
              <w:rPr>
                <w:rFonts w:ascii="Cambria" w:hAnsi="Cambria"/>
                <w:sz w:val="18"/>
                <w:szCs w:val="18"/>
              </w:rPr>
              <w:t xml:space="preserve">7. </w:t>
            </w:r>
            <w:r w:rsidR="003D612A" w:rsidRPr="00D4638C">
              <w:rPr>
                <w:rFonts w:ascii="Cambria" w:hAnsi="Cambria"/>
                <w:sz w:val="18"/>
                <w:szCs w:val="18"/>
              </w:rPr>
              <w:t>Design protocols at the federal and state levels specifying the proper components of the investigation by law enforcement officials of a report of missing children in the context of a report of</w:t>
            </w:r>
            <w:r w:rsidR="004C0D46" w:rsidRPr="00D4638C">
              <w:rPr>
                <w:rFonts w:ascii="Cambria" w:hAnsi="Cambria"/>
                <w:sz w:val="18"/>
                <w:szCs w:val="18"/>
              </w:rPr>
              <w:t xml:space="preserve"> a restraining order violation.</w:t>
            </w:r>
          </w:p>
        </w:tc>
        <w:tc>
          <w:tcPr>
            <w:tcW w:w="1872" w:type="dxa"/>
            <w:shd w:val="clear" w:color="auto" w:fill="auto"/>
            <w:vAlign w:val="center"/>
          </w:tcPr>
          <w:p w14:paraId="19470FCA" w14:textId="2FBCD9E2" w:rsidR="003D612A" w:rsidRPr="00D4638C" w:rsidRDefault="00C70AE2" w:rsidP="00CC3876">
            <w:pPr>
              <w:spacing w:after="0" w:line="240" w:lineRule="auto"/>
              <w:jc w:val="center"/>
              <w:rPr>
                <w:rFonts w:ascii="Cambria" w:hAnsi="Cambria" w:cs="Calibri Light"/>
                <w:b/>
                <w:sz w:val="18"/>
                <w:szCs w:val="18"/>
              </w:rPr>
            </w:pPr>
            <w:r w:rsidRPr="00D4638C">
              <w:rPr>
                <w:rFonts w:ascii="Cambria" w:hAnsi="Cambria"/>
                <w:sz w:val="18"/>
                <w:szCs w:val="18"/>
              </w:rPr>
              <w:t>Partial compliance</w:t>
            </w:r>
          </w:p>
        </w:tc>
      </w:tr>
    </w:tbl>
    <w:p w14:paraId="5BD938AF" w14:textId="77777777" w:rsidR="002E1FE1" w:rsidRPr="00D4638C" w:rsidRDefault="002E1FE1" w:rsidP="002E1FE1">
      <w:pPr>
        <w:spacing w:after="0" w:line="240" w:lineRule="auto"/>
        <w:jc w:val="both"/>
        <w:rPr>
          <w:rFonts w:ascii="Cambria" w:hAnsi="Cambria" w:cs="Calibri Light"/>
          <w:sz w:val="20"/>
          <w:szCs w:val="20"/>
        </w:rPr>
      </w:pPr>
    </w:p>
    <w:p w14:paraId="37608929" w14:textId="77777777" w:rsidR="002E1FE1" w:rsidRPr="00D4638C" w:rsidRDefault="002E1FE1" w:rsidP="00FD4835">
      <w:pPr>
        <w:pStyle w:val="ListParagraph"/>
        <w:numPr>
          <w:ilvl w:val="0"/>
          <w:numId w:val="37"/>
        </w:numPr>
        <w:spacing w:after="0" w:line="240" w:lineRule="auto"/>
        <w:ind w:left="1440"/>
        <w:jc w:val="both"/>
        <w:rPr>
          <w:rFonts w:ascii="Cambria" w:hAnsi="Cambria" w:cs="Calibri Light"/>
          <w:b/>
          <w:sz w:val="20"/>
          <w:szCs w:val="20"/>
        </w:rPr>
      </w:pPr>
      <w:r w:rsidRPr="00D4638C">
        <w:rPr>
          <w:rFonts w:ascii="Cambria" w:hAnsi="Cambria"/>
          <w:b/>
          <w:sz w:val="20"/>
          <w:szCs w:val="20"/>
        </w:rPr>
        <w:t xml:space="preserve">Procedural Activity </w:t>
      </w:r>
    </w:p>
    <w:p w14:paraId="0D7ABFD7" w14:textId="77777777" w:rsidR="004C0D46" w:rsidRPr="00D4638C" w:rsidRDefault="004C0D46" w:rsidP="004C0D46">
      <w:pPr>
        <w:spacing w:after="0" w:line="240" w:lineRule="auto"/>
        <w:jc w:val="both"/>
        <w:rPr>
          <w:rFonts w:ascii="Cambria" w:hAnsi="Cambria" w:cs="Calibri Light"/>
          <w:sz w:val="20"/>
          <w:szCs w:val="20"/>
        </w:rPr>
      </w:pPr>
    </w:p>
    <w:p w14:paraId="12CBBBA5" w14:textId="06B4927A" w:rsidR="00230162" w:rsidRPr="00D4638C" w:rsidRDefault="00474986" w:rsidP="00FC690A">
      <w:pPr>
        <w:pStyle w:val="ListParagraph"/>
        <w:numPr>
          <w:ilvl w:val="0"/>
          <w:numId w:val="30"/>
        </w:numPr>
        <w:spacing w:after="0" w:line="240" w:lineRule="auto"/>
        <w:jc w:val="both"/>
        <w:rPr>
          <w:rFonts w:ascii="Cambria" w:hAnsi="Cambria" w:cs="Calibri Light"/>
          <w:sz w:val="20"/>
          <w:szCs w:val="20"/>
        </w:rPr>
      </w:pPr>
      <w:r w:rsidRPr="00D4638C">
        <w:rPr>
          <w:rFonts w:ascii="Cambria" w:hAnsi="Cambria" w:cs="Calibri Light"/>
          <w:sz w:val="20"/>
          <w:szCs w:val="20"/>
        </w:rPr>
        <w:t xml:space="preserve">The IACHR </w:t>
      </w:r>
      <w:r w:rsidR="007526EC" w:rsidRPr="00D4638C">
        <w:rPr>
          <w:rFonts w:ascii="Cambria" w:hAnsi="Cambria" w:cs="Calibri Light"/>
          <w:sz w:val="20"/>
          <w:szCs w:val="20"/>
        </w:rPr>
        <w:t xml:space="preserve">issued </w:t>
      </w:r>
      <w:r w:rsidRPr="00D4638C">
        <w:rPr>
          <w:rFonts w:ascii="Cambria" w:hAnsi="Cambria" w:cs="Calibri Light"/>
          <w:sz w:val="20"/>
          <w:szCs w:val="20"/>
        </w:rPr>
        <w:t xml:space="preserve">a press release on August 17, 2011 </w:t>
      </w:r>
      <w:r w:rsidR="00230162" w:rsidRPr="00D4638C">
        <w:rPr>
          <w:rFonts w:ascii="Cambria" w:hAnsi="Cambria" w:cs="Calibri Light"/>
          <w:sz w:val="20"/>
          <w:szCs w:val="20"/>
        </w:rPr>
        <w:t xml:space="preserve">informing that the Merits Report in Case 12.626 Jessica </w:t>
      </w:r>
      <w:proofErr w:type="spellStart"/>
      <w:r w:rsidR="00230162" w:rsidRPr="00D4638C">
        <w:rPr>
          <w:rFonts w:ascii="Cambria" w:hAnsi="Cambria" w:cs="Calibri Light"/>
          <w:sz w:val="20"/>
          <w:szCs w:val="20"/>
        </w:rPr>
        <w:t>Lenahan</w:t>
      </w:r>
      <w:proofErr w:type="spellEnd"/>
      <w:r w:rsidR="00230162" w:rsidRPr="00D4638C">
        <w:rPr>
          <w:rFonts w:ascii="Cambria" w:hAnsi="Cambria" w:cs="Calibri Light"/>
          <w:sz w:val="20"/>
          <w:szCs w:val="20"/>
        </w:rPr>
        <w:t xml:space="preserve"> (Gonzales) </w:t>
      </w:r>
      <w:proofErr w:type="gramStart"/>
      <w:r w:rsidR="00230162" w:rsidRPr="00D4638C">
        <w:rPr>
          <w:rFonts w:ascii="Cambria" w:hAnsi="Cambria" w:cs="Calibri Light"/>
          <w:sz w:val="20"/>
          <w:szCs w:val="20"/>
        </w:rPr>
        <w:t>had been published</w:t>
      </w:r>
      <w:proofErr w:type="gramEnd"/>
      <w:r w:rsidR="00230162" w:rsidRPr="00D4638C">
        <w:rPr>
          <w:rFonts w:ascii="Cambria" w:hAnsi="Cambria" w:cs="Calibri Light"/>
          <w:sz w:val="20"/>
          <w:szCs w:val="20"/>
        </w:rPr>
        <w:t>.</w:t>
      </w:r>
      <w:r w:rsidR="00230162" w:rsidRPr="00D4638C">
        <w:rPr>
          <w:rStyle w:val="FootnoteReference"/>
          <w:rFonts w:ascii="Cambria" w:hAnsi="Cambria" w:cs="Calibri Light"/>
          <w:sz w:val="20"/>
          <w:szCs w:val="20"/>
        </w:rPr>
        <w:footnoteReference w:id="1"/>
      </w:r>
      <w:r w:rsidR="00230162" w:rsidRPr="00D4638C">
        <w:rPr>
          <w:rFonts w:ascii="Cambria" w:hAnsi="Cambria" w:cs="Calibri Light"/>
          <w:sz w:val="20"/>
          <w:szCs w:val="20"/>
        </w:rPr>
        <w:t xml:space="preserve"> </w:t>
      </w:r>
    </w:p>
    <w:p w14:paraId="3502D298" w14:textId="2CEA64D0" w:rsidR="00474986" w:rsidRPr="00D4638C" w:rsidRDefault="00230162" w:rsidP="00230162">
      <w:pPr>
        <w:pStyle w:val="ListParagraph"/>
        <w:spacing w:after="0" w:line="240" w:lineRule="auto"/>
        <w:jc w:val="both"/>
        <w:rPr>
          <w:rFonts w:ascii="Cambria" w:hAnsi="Cambria" w:cs="Calibri Light"/>
          <w:sz w:val="20"/>
          <w:szCs w:val="20"/>
        </w:rPr>
      </w:pPr>
      <w:r w:rsidRPr="00D4638C">
        <w:rPr>
          <w:rFonts w:ascii="Cambria" w:hAnsi="Cambria" w:cs="Calibri Light"/>
          <w:sz w:val="20"/>
          <w:szCs w:val="20"/>
        </w:rPr>
        <w:t xml:space="preserve"> </w:t>
      </w:r>
    </w:p>
    <w:p w14:paraId="5077F089" w14:textId="316B7B40" w:rsidR="00FD4835" w:rsidRPr="00D4638C" w:rsidRDefault="00FC690A" w:rsidP="00FC690A">
      <w:pPr>
        <w:pStyle w:val="ListParagraph"/>
        <w:numPr>
          <w:ilvl w:val="0"/>
          <w:numId w:val="30"/>
        </w:numPr>
        <w:spacing w:after="0" w:line="240" w:lineRule="auto"/>
        <w:jc w:val="both"/>
        <w:rPr>
          <w:rFonts w:ascii="Cambria" w:hAnsi="Cambria" w:cs="Calibri Light"/>
          <w:sz w:val="20"/>
          <w:szCs w:val="20"/>
        </w:rPr>
      </w:pPr>
      <w:r w:rsidRPr="00D4638C">
        <w:rPr>
          <w:rFonts w:ascii="Cambria" w:hAnsi="Cambria" w:cs="Calibri Light"/>
          <w:sz w:val="20"/>
          <w:szCs w:val="20"/>
        </w:rPr>
        <w:t>The IACHR held working meetings with the parties on March 24, 2012 (144</w:t>
      </w:r>
      <w:r w:rsidRPr="00D4638C">
        <w:rPr>
          <w:rFonts w:ascii="Cambria" w:hAnsi="Cambria" w:cs="Calibri Light"/>
          <w:sz w:val="20"/>
          <w:szCs w:val="20"/>
          <w:vertAlign w:val="superscript"/>
        </w:rPr>
        <w:t xml:space="preserve">th </w:t>
      </w:r>
      <w:r w:rsidRPr="00D4638C">
        <w:rPr>
          <w:rFonts w:ascii="Cambria" w:hAnsi="Cambria" w:cs="Calibri Light"/>
          <w:sz w:val="20"/>
          <w:szCs w:val="20"/>
        </w:rPr>
        <w:t>Period of Sessions), July 18, 2012, November 3, 2012 (146</w:t>
      </w:r>
      <w:r w:rsidRPr="00D4638C">
        <w:rPr>
          <w:rFonts w:ascii="Cambria" w:hAnsi="Cambria" w:cs="Calibri Light"/>
          <w:sz w:val="20"/>
          <w:szCs w:val="20"/>
          <w:vertAlign w:val="superscript"/>
        </w:rPr>
        <w:t xml:space="preserve">th </w:t>
      </w:r>
      <w:r w:rsidRPr="00D4638C">
        <w:rPr>
          <w:rFonts w:ascii="Cambria" w:hAnsi="Cambria" w:cs="Calibri Light"/>
          <w:sz w:val="20"/>
          <w:szCs w:val="20"/>
        </w:rPr>
        <w:t>Period of Sessions), October 30, 2013 (149</w:t>
      </w:r>
      <w:r w:rsidRPr="00D4638C">
        <w:rPr>
          <w:rFonts w:ascii="Cambria" w:hAnsi="Cambria" w:cs="Calibri Light"/>
          <w:sz w:val="20"/>
          <w:szCs w:val="20"/>
          <w:vertAlign w:val="superscript"/>
        </w:rPr>
        <w:t>th</w:t>
      </w:r>
      <w:r w:rsidRPr="00D4638C">
        <w:rPr>
          <w:rFonts w:ascii="Cambria" w:hAnsi="Cambria" w:cs="Calibri Light"/>
          <w:sz w:val="20"/>
          <w:szCs w:val="20"/>
        </w:rPr>
        <w:t xml:space="preserve"> Period of Sessions) and January 30, 2014 regarding </w:t>
      </w:r>
      <w:r w:rsidR="00FD4835" w:rsidRPr="00D4638C">
        <w:rPr>
          <w:rFonts w:ascii="Cambria" w:hAnsi="Cambria" w:cs="Calibri Light"/>
          <w:sz w:val="20"/>
          <w:szCs w:val="20"/>
        </w:rPr>
        <w:t>the follow-up of the recommendations issued in Merits Report No. 80/11.</w:t>
      </w:r>
    </w:p>
    <w:p w14:paraId="24539B0E" w14:textId="77777777" w:rsidR="00FD4835" w:rsidRPr="00D4638C" w:rsidRDefault="00FD4835" w:rsidP="00FD4835">
      <w:pPr>
        <w:pStyle w:val="ListParagraph"/>
        <w:ind w:left="0" w:firstLine="720"/>
        <w:rPr>
          <w:rFonts w:ascii="Cambria" w:hAnsi="Cambria" w:cs="Calibri Light"/>
          <w:sz w:val="20"/>
          <w:szCs w:val="20"/>
        </w:rPr>
      </w:pPr>
    </w:p>
    <w:p w14:paraId="3670260D" w14:textId="2E496394" w:rsidR="00FD4835" w:rsidRPr="00D4638C" w:rsidRDefault="00FD4835" w:rsidP="00FD4835">
      <w:pPr>
        <w:pStyle w:val="ListParagraph"/>
        <w:numPr>
          <w:ilvl w:val="0"/>
          <w:numId w:val="30"/>
        </w:numPr>
        <w:spacing w:after="0" w:line="240" w:lineRule="auto"/>
        <w:jc w:val="both"/>
        <w:rPr>
          <w:rFonts w:ascii="Cambria" w:hAnsi="Cambria" w:cs="Calibri Light"/>
          <w:sz w:val="20"/>
          <w:szCs w:val="20"/>
        </w:rPr>
      </w:pPr>
      <w:r w:rsidRPr="00D4638C">
        <w:rPr>
          <w:rFonts w:ascii="Cambria" w:hAnsi="Cambria" w:cs="Calibri Light"/>
          <w:sz w:val="20"/>
          <w:szCs w:val="20"/>
        </w:rPr>
        <w:t xml:space="preserve">On October 27, 2014, the IACHR held a </w:t>
      </w:r>
      <w:r w:rsidR="00FC690A" w:rsidRPr="00D4638C">
        <w:rPr>
          <w:rFonts w:ascii="Cambria" w:hAnsi="Cambria" w:cs="Calibri Light"/>
          <w:sz w:val="20"/>
          <w:szCs w:val="20"/>
        </w:rPr>
        <w:t xml:space="preserve">public </w:t>
      </w:r>
      <w:r w:rsidRPr="00D4638C">
        <w:rPr>
          <w:rFonts w:ascii="Cambria" w:hAnsi="Cambria" w:cs="Calibri Light"/>
          <w:sz w:val="20"/>
          <w:szCs w:val="20"/>
        </w:rPr>
        <w:t>hearing during its 153</w:t>
      </w:r>
      <w:r w:rsidR="00AC433A" w:rsidRPr="00D4638C">
        <w:rPr>
          <w:rFonts w:ascii="Cambria" w:hAnsi="Cambria" w:cs="Calibri Light"/>
          <w:sz w:val="20"/>
          <w:szCs w:val="20"/>
          <w:vertAlign w:val="superscript"/>
        </w:rPr>
        <w:t>rd</w:t>
      </w:r>
      <w:r w:rsidR="00AC433A" w:rsidRPr="00D4638C">
        <w:rPr>
          <w:rFonts w:ascii="Cambria" w:hAnsi="Cambria" w:cs="Calibri Light"/>
          <w:sz w:val="20"/>
          <w:szCs w:val="20"/>
        </w:rPr>
        <w:t xml:space="preserve"> </w:t>
      </w:r>
      <w:r w:rsidRPr="00D4638C">
        <w:rPr>
          <w:rFonts w:ascii="Cambria" w:hAnsi="Cambria" w:cs="Calibri Light"/>
          <w:sz w:val="20"/>
          <w:szCs w:val="20"/>
        </w:rPr>
        <w:t>Period of Sessions</w:t>
      </w:r>
      <w:r w:rsidR="00FA05D1" w:rsidRPr="00D4638C">
        <w:rPr>
          <w:rFonts w:ascii="Cambria" w:hAnsi="Cambria" w:cs="Calibri Light"/>
          <w:sz w:val="20"/>
          <w:szCs w:val="20"/>
        </w:rPr>
        <w:t xml:space="preserve">, with the participation of the parties and the </w:t>
      </w:r>
      <w:r w:rsidR="005F70D6" w:rsidRPr="00D4638C">
        <w:rPr>
          <w:rFonts w:ascii="Cambria" w:hAnsi="Cambria" w:cs="Calibri Light"/>
          <w:sz w:val="20"/>
          <w:szCs w:val="20"/>
        </w:rPr>
        <w:t xml:space="preserve">then </w:t>
      </w:r>
      <w:r w:rsidR="00FA05D1" w:rsidRPr="00D4638C">
        <w:rPr>
          <w:rFonts w:ascii="Cambria" w:hAnsi="Cambria" w:cs="Calibri Light"/>
          <w:sz w:val="20"/>
          <w:szCs w:val="20"/>
        </w:rPr>
        <w:t>United Nations Special Rapporteur on Violence against Women</w:t>
      </w:r>
      <w:r w:rsidR="00624051" w:rsidRPr="00D4638C">
        <w:rPr>
          <w:rFonts w:ascii="Cambria" w:hAnsi="Cambria" w:cs="Calibri Light"/>
          <w:sz w:val="20"/>
          <w:szCs w:val="20"/>
        </w:rPr>
        <w:t>,</w:t>
      </w:r>
      <w:r w:rsidR="00FA05D1" w:rsidRPr="00D4638C">
        <w:rPr>
          <w:rFonts w:ascii="Cambria" w:hAnsi="Cambria" w:cs="Calibri Light"/>
          <w:sz w:val="20"/>
          <w:szCs w:val="20"/>
        </w:rPr>
        <w:t xml:space="preserve"> </w:t>
      </w:r>
      <w:r w:rsidRPr="00D4638C">
        <w:rPr>
          <w:rFonts w:ascii="Cambria" w:hAnsi="Cambria" w:cs="Calibri Light"/>
          <w:sz w:val="20"/>
          <w:szCs w:val="20"/>
        </w:rPr>
        <w:t>regarding the follow-up of the recommendations issued in Merits Report No. 80/11.</w:t>
      </w:r>
      <w:r w:rsidR="00AC433A" w:rsidRPr="00D4638C">
        <w:rPr>
          <w:rStyle w:val="FootnoteReference"/>
          <w:rFonts w:ascii="Cambria" w:hAnsi="Cambria" w:cs="Calibri Light"/>
          <w:sz w:val="20"/>
          <w:szCs w:val="20"/>
        </w:rPr>
        <w:footnoteReference w:id="2"/>
      </w:r>
    </w:p>
    <w:p w14:paraId="4B37B07B" w14:textId="77777777" w:rsidR="00D95407" w:rsidRPr="00D4638C" w:rsidRDefault="00D95407" w:rsidP="00D95407">
      <w:pPr>
        <w:pStyle w:val="ListParagraph"/>
        <w:rPr>
          <w:rFonts w:ascii="Cambria" w:hAnsi="Cambria" w:cs="Calibri Light"/>
          <w:sz w:val="20"/>
          <w:szCs w:val="20"/>
        </w:rPr>
      </w:pPr>
    </w:p>
    <w:p w14:paraId="6A798D19" w14:textId="7A01E95B" w:rsidR="00106835" w:rsidRPr="00D4638C" w:rsidRDefault="00106835" w:rsidP="00FD4835">
      <w:pPr>
        <w:pStyle w:val="ListParagraph"/>
        <w:numPr>
          <w:ilvl w:val="0"/>
          <w:numId w:val="30"/>
        </w:numPr>
        <w:spacing w:after="0" w:line="240" w:lineRule="auto"/>
        <w:jc w:val="both"/>
        <w:rPr>
          <w:rFonts w:ascii="Cambria" w:hAnsi="Cambria" w:cs="Calibri Light"/>
          <w:sz w:val="20"/>
          <w:szCs w:val="20"/>
        </w:rPr>
      </w:pPr>
      <w:r w:rsidRPr="00D4638C">
        <w:rPr>
          <w:rFonts w:ascii="Cambria" w:hAnsi="Cambria" w:cs="Calibri Light"/>
          <w:sz w:val="20"/>
          <w:szCs w:val="20"/>
        </w:rPr>
        <w:t xml:space="preserve">On April 7, 2015, the Human Rights Clinic and Human Rights Institute of Columbia Law School withdrew as </w:t>
      </w:r>
      <w:r w:rsidR="00B97AAC" w:rsidRPr="00D4638C">
        <w:rPr>
          <w:rFonts w:ascii="Cambria" w:hAnsi="Cambria" w:cs="Calibri Light"/>
          <w:sz w:val="20"/>
          <w:szCs w:val="20"/>
        </w:rPr>
        <w:t>representative</w:t>
      </w:r>
      <w:r w:rsidR="00C6346C" w:rsidRPr="00D4638C">
        <w:rPr>
          <w:rFonts w:ascii="Cambria" w:hAnsi="Cambria" w:cs="Calibri Light"/>
          <w:sz w:val="20"/>
          <w:szCs w:val="20"/>
        </w:rPr>
        <w:t>s</w:t>
      </w:r>
      <w:r w:rsidRPr="00D4638C">
        <w:rPr>
          <w:rFonts w:ascii="Cambria" w:hAnsi="Cambria" w:cs="Calibri Light"/>
          <w:sz w:val="20"/>
          <w:szCs w:val="20"/>
        </w:rPr>
        <w:t xml:space="preserve"> from the present case. </w:t>
      </w:r>
    </w:p>
    <w:p w14:paraId="5426E613" w14:textId="77777777" w:rsidR="00106835" w:rsidRPr="00D4638C" w:rsidRDefault="00106835" w:rsidP="00106835">
      <w:pPr>
        <w:pStyle w:val="ListParagraph"/>
        <w:rPr>
          <w:rFonts w:ascii="Cambria" w:hAnsi="Cambria" w:cs="Calibri Light"/>
          <w:sz w:val="20"/>
          <w:szCs w:val="20"/>
        </w:rPr>
      </w:pPr>
    </w:p>
    <w:p w14:paraId="391E5BB2" w14:textId="4C24D47C" w:rsidR="008D5185" w:rsidRPr="00D4638C" w:rsidRDefault="004C0D46" w:rsidP="00FD4835">
      <w:pPr>
        <w:pStyle w:val="ListParagraph"/>
        <w:numPr>
          <w:ilvl w:val="0"/>
          <w:numId w:val="30"/>
        </w:numPr>
        <w:spacing w:after="0" w:line="240" w:lineRule="auto"/>
        <w:jc w:val="both"/>
        <w:rPr>
          <w:rFonts w:ascii="Cambria" w:hAnsi="Cambria" w:cs="Calibri Light"/>
          <w:color w:val="000000" w:themeColor="text1"/>
          <w:sz w:val="20"/>
          <w:szCs w:val="20"/>
        </w:rPr>
      </w:pPr>
      <w:r w:rsidRPr="00D4638C">
        <w:rPr>
          <w:rFonts w:ascii="Cambria" w:hAnsi="Cambria" w:cs="Calibri Light"/>
          <w:color w:val="000000" w:themeColor="text1"/>
          <w:sz w:val="20"/>
          <w:szCs w:val="20"/>
        </w:rPr>
        <w:t xml:space="preserve">In </w:t>
      </w:r>
      <w:r w:rsidR="004C604E" w:rsidRPr="00D4638C">
        <w:rPr>
          <w:rFonts w:ascii="Cambria" w:hAnsi="Cambria" w:cs="Calibri Light"/>
          <w:color w:val="000000" w:themeColor="text1"/>
          <w:sz w:val="20"/>
          <w:szCs w:val="20"/>
        </w:rPr>
        <w:t>2020</w:t>
      </w:r>
      <w:r w:rsidRPr="00D4638C">
        <w:rPr>
          <w:rFonts w:ascii="Cambria" w:hAnsi="Cambria" w:cs="Calibri Light"/>
          <w:color w:val="000000" w:themeColor="text1"/>
          <w:sz w:val="20"/>
          <w:szCs w:val="20"/>
        </w:rPr>
        <w:t xml:space="preserve">, the IACHR requested updated information on compliance from the State on </w:t>
      </w:r>
      <w:r w:rsidR="004C604E" w:rsidRPr="00D4638C">
        <w:rPr>
          <w:rFonts w:ascii="Cambria" w:hAnsi="Cambria" w:cs="Calibri Light"/>
          <w:color w:val="000000" w:themeColor="text1"/>
          <w:sz w:val="20"/>
          <w:szCs w:val="20"/>
        </w:rPr>
        <w:t>August 18</w:t>
      </w:r>
      <w:r w:rsidR="00305E45" w:rsidRPr="00D4638C">
        <w:rPr>
          <w:rFonts w:ascii="Cambria" w:hAnsi="Cambria" w:cs="Calibri Light"/>
          <w:color w:val="000000" w:themeColor="text1"/>
          <w:sz w:val="20"/>
          <w:szCs w:val="20"/>
        </w:rPr>
        <w:t>. T</w:t>
      </w:r>
      <w:r w:rsidRPr="00D4638C">
        <w:rPr>
          <w:rFonts w:ascii="Cambria" w:hAnsi="Cambria" w:cs="Calibri Light"/>
          <w:color w:val="000000" w:themeColor="text1"/>
          <w:sz w:val="20"/>
          <w:szCs w:val="20"/>
        </w:rPr>
        <w:t xml:space="preserve">he State </w:t>
      </w:r>
      <w:r w:rsidR="00305E45" w:rsidRPr="00D4638C">
        <w:rPr>
          <w:rFonts w:ascii="Cambria" w:hAnsi="Cambria" w:cs="Calibri Light"/>
          <w:color w:val="000000" w:themeColor="text1"/>
          <w:sz w:val="20"/>
          <w:szCs w:val="20"/>
        </w:rPr>
        <w:t>presented said information</w:t>
      </w:r>
      <w:r w:rsidR="00C6346C" w:rsidRPr="00D4638C">
        <w:rPr>
          <w:rFonts w:ascii="Cambria" w:hAnsi="Cambria" w:cs="Calibri Light"/>
          <w:color w:val="000000" w:themeColor="text1"/>
          <w:sz w:val="20"/>
          <w:szCs w:val="20"/>
        </w:rPr>
        <w:t xml:space="preserve"> on September </w:t>
      </w:r>
      <w:r w:rsidR="004C604E" w:rsidRPr="00D4638C">
        <w:rPr>
          <w:rFonts w:ascii="Cambria" w:hAnsi="Cambria" w:cs="Calibri Light"/>
          <w:color w:val="000000" w:themeColor="text1"/>
          <w:sz w:val="20"/>
          <w:szCs w:val="20"/>
        </w:rPr>
        <w:t>16</w:t>
      </w:r>
      <w:r w:rsidRPr="00D4638C">
        <w:rPr>
          <w:rFonts w:ascii="Cambria" w:hAnsi="Cambria" w:cs="Calibri Light"/>
          <w:color w:val="000000" w:themeColor="text1"/>
          <w:sz w:val="20"/>
          <w:szCs w:val="20"/>
        </w:rPr>
        <w:t xml:space="preserve">. </w:t>
      </w:r>
    </w:p>
    <w:p w14:paraId="5CB0852B" w14:textId="77777777" w:rsidR="00B13E78" w:rsidRPr="00D4638C" w:rsidRDefault="00B13E78" w:rsidP="00FD4835">
      <w:pPr>
        <w:pStyle w:val="ListParagraph"/>
        <w:spacing w:after="0" w:line="240" w:lineRule="auto"/>
        <w:ind w:left="0" w:firstLine="720"/>
        <w:jc w:val="both"/>
        <w:rPr>
          <w:rFonts w:ascii="Cambria" w:hAnsi="Cambria" w:cs="Calibri Light"/>
          <w:color w:val="000000" w:themeColor="text1"/>
          <w:sz w:val="20"/>
          <w:szCs w:val="20"/>
        </w:rPr>
      </w:pPr>
    </w:p>
    <w:p w14:paraId="7AF1A3BA" w14:textId="0116F337" w:rsidR="00154E54" w:rsidRPr="00D4638C" w:rsidRDefault="00154E54" w:rsidP="00FD4835">
      <w:pPr>
        <w:pStyle w:val="ListParagraph"/>
        <w:numPr>
          <w:ilvl w:val="0"/>
          <w:numId w:val="30"/>
        </w:numPr>
        <w:spacing w:after="0" w:line="240" w:lineRule="auto"/>
        <w:jc w:val="both"/>
        <w:rPr>
          <w:rFonts w:ascii="Cambria" w:hAnsi="Cambria" w:cs="Calibri Light"/>
          <w:color w:val="000000" w:themeColor="text1"/>
          <w:sz w:val="20"/>
          <w:szCs w:val="20"/>
        </w:rPr>
      </w:pPr>
      <w:r w:rsidRPr="00D4638C">
        <w:rPr>
          <w:rFonts w:ascii="Cambria" w:hAnsi="Cambria" w:cs="Calibri Light"/>
          <w:color w:val="000000" w:themeColor="text1"/>
          <w:sz w:val="20"/>
          <w:szCs w:val="20"/>
        </w:rPr>
        <w:t xml:space="preserve">The IACHR requested updated information on compliance from the petitioners on </w:t>
      </w:r>
      <w:r w:rsidR="004C604E" w:rsidRPr="00D4638C">
        <w:rPr>
          <w:rFonts w:ascii="Cambria" w:hAnsi="Cambria" w:cs="Calibri Light"/>
          <w:color w:val="000000" w:themeColor="text1"/>
          <w:sz w:val="20"/>
          <w:szCs w:val="20"/>
        </w:rPr>
        <w:t>August 18, 2020</w:t>
      </w:r>
      <w:r w:rsidR="00491243" w:rsidRPr="00D4638C">
        <w:rPr>
          <w:rFonts w:ascii="Cambria" w:hAnsi="Cambria" w:cs="Calibri Light"/>
          <w:color w:val="000000" w:themeColor="text1"/>
          <w:sz w:val="20"/>
          <w:szCs w:val="20"/>
        </w:rPr>
        <w:t xml:space="preserve">, and the </w:t>
      </w:r>
      <w:r w:rsidR="00810FF8" w:rsidRPr="00D4638C">
        <w:rPr>
          <w:rFonts w:ascii="Cambria" w:hAnsi="Cambria" w:cs="Calibri Light"/>
          <w:color w:val="000000" w:themeColor="text1"/>
          <w:sz w:val="20"/>
          <w:szCs w:val="20"/>
        </w:rPr>
        <w:t xml:space="preserve">petitioners presented said information </w:t>
      </w:r>
      <w:r w:rsidR="0007164B" w:rsidRPr="00D4638C">
        <w:rPr>
          <w:rFonts w:ascii="Cambria" w:hAnsi="Cambria" w:cs="Calibri Light"/>
          <w:color w:val="000000" w:themeColor="text1"/>
          <w:sz w:val="20"/>
          <w:szCs w:val="20"/>
        </w:rPr>
        <w:t>on</w:t>
      </w:r>
      <w:r w:rsidR="00810FF8" w:rsidRPr="00D4638C">
        <w:rPr>
          <w:rFonts w:ascii="Cambria" w:hAnsi="Cambria" w:cs="Calibri Light"/>
          <w:color w:val="000000" w:themeColor="text1"/>
          <w:sz w:val="20"/>
          <w:szCs w:val="20"/>
        </w:rPr>
        <w:t xml:space="preserve"> October 22.</w:t>
      </w:r>
    </w:p>
    <w:p w14:paraId="449AC278" w14:textId="7621F918" w:rsidR="002B5098" w:rsidRPr="00D4638C" w:rsidRDefault="0007164B" w:rsidP="0007164B">
      <w:pPr>
        <w:pStyle w:val="ListParagraph"/>
        <w:tabs>
          <w:tab w:val="left" w:pos="4260"/>
        </w:tabs>
        <w:spacing w:after="0" w:line="240" w:lineRule="auto"/>
        <w:jc w:val="both"/>
        <w:rPr>
          <w:rFonts w:ascii="Cambria" w:hAnsi="Cambria" w:cs="Calibri Light"/>
          <w:color w:val="000000" w:themeColor="text1"/>
          <w:sz w:val="20"/>
          <w:szCs w:val="20"/>
        </w:rPr>
      </w:pPr>
      <w:r w:rsidRPr="00D4638C">
        <w:rPr>
          <w:rFonts w:ascii="Cambria" w:hAnsi="Cambria" w:cs="Calibri Light"/>
          <w:color w:val="000000" w:themeColor="text1"/>
          <w:sz w:val="20"/>
          <w:szCs w:val="20"/>
        </w:rPr>
        <w:tab/>
      </w:r>
    </w:p>
    <w:p w14:paraId="0023452C" w14:textId="77777777" w:rsidR="002B5098" w:rsidRPr="00D4638C" w:rsidRDefault="002B5098" w:rsidP="00FD4835">
      <w:pPr>
        <w:pStyle w:val="ListParagraph"/>
        <w:numPr>
          <w:ilvl w:val="0"/>
          <w:numId w:val="37"/>
        </w:numPr>
        <w:spacing w:after="0" w:line="240" w:lineRule="auto"/>
        <w:ind w:left="1440"/>
        <w:jc w:val="both"/>
        <w:rPr>
          <w:rFonts w:ascii="Cambria" w:hAnsi="Cambria" w:cs="Calibri Light"/>
          <w:b/>
          <w:sz w:val="20"/>
          <w:szCs w:val="20"/>
        </w:rPr>
      </w:pPr>
      <w:r w:rsidRPr="00D4638C">
        <w:rPr>
          <w:rFonts w:ascii="Cambria" w:hAnsi="Cambria" w:cs="Calibri Light"/>
          <w:b/>
          <w:sz w:val="20"/>
          <w:szCs w:val="20"/>
        </w:rPr>
        <w:t xml:space="preserve">Analysis of the information presented </w:t>
      </w:r>
    </w:p>
    <w:p w14:paraId="642158B6" w14:textId="77777777" w:rsidR="002B5098" w:rsidRPr="00D4638C" w:rsidRDefault="002B5098" w:rsidP="002B5098">
      <w:pPr>
        <w:spacing w:after="0" w:line="240" w:lineRule="auto"/>
        <w:jc w:val="both"/>
        <w:rPr>
          <w:rFonts w:ascii="Cambria" w:hAnsi="Cambria" w:cs="Calibri Light"/>
          <w:sz w:val="20"/>
          <w:szCs w:val="20"/>
        </w:rPr>
      </w:pPr>
    </w:p>
    <w:p w14:paraId="28A1C288" w14:textId="7FEA30FC" w:rsidR="00D74A97" w:rsidRPr="00D4638C" w:rsidRDefault="0026430A" w:rsidP="00D74A97">
      <w:pPr>
        <w:pStyle w:val="ListParagraph"/>
        <w:numPr>
          <w:ilvl w:val="0"/>
          <w:numId w:val="30"/>
        </w:numPr>
        <w:spacing w:after="0" w:line="240" w:lineRule="auto"/>
        <w:jc w:val="both"/>
        <w:rPr>
          <w:rFonts w:ascii="Cambria" w:hAnsi="Cambria" w:cs="Calibri Light"/>
          <w:color w:val="000000" w:themeColor="text1"/>
          <w:sz w:val="20"/>
          <w:szCs w:val="20"/>
        </w:rPr>
      </w:pPr>
      <w:proofErr w:type="gramStart"/>
      <w:r w:rsidRPr="00D4638C">
        <w:rPr>
          <w:rFonts w:ascii="Cambria" w:hAnsi="Cambria" w:cs="Calibri Light"/>
          <w:color w:val="000000" w:themeColor="text1"/>
          <w:sz w:val="20"/>
          <w:szCs w:val="20"/>
        </w:rPr>
        <w:t xml:space="preserve">The Commission considers that the information submitted by the State </w:t>
      </w:r>
      <w:r w:rsidR="002D5EDB" w:rsidRPr="00D4638C">
        <w:rPr>
          <w:rFonts w:ascii="Cambria" w:hAnsi="Cambria" w:cs="Calibri Light"/>
          <w:color w:val="000000" w:themeColor="text1"/>
          <w:sz w:val="20"/>
          <w:szCs w:val="20"/>
        </w:rPr>
        <w:t xml:space="preserve">and the petitioners </w:t>
      </w:r>
      <w:r w:rsidRPr="00D4638C">
        <w:rPr>
          <w:rFonts w:ascii="Cambria" w:hAnsi="Cambria" w:cs="Calibri Light"/>
          <w:color w:val="000000" w:themeColor="text1"/>
          <w:sz w:val="20"/>
          <w:szCs w:val="20"/>
        </w:rPr>
        <w:t xml:space="preserve">in </w:t>
      </w:r>
      <w:r w:rsidR="00141D71" w:rsidRPr="00D4638C">
        <w:rPr>
          <w:rFonts w:ascii="Cambria" w:hAnsi="Cambria" w:cs="Calibri Light"/>
          <w:color w:val="000000" w:themeColor="text1"/>
          <w:sz w:val="20"/>
          <w:szCs w:val="20"/>
        </w:rPr>
        <w:t>2020</w:t>
      </w:r>
      <w:r w:rsidR="00C50849" w:rsidRPr="00D4638C">
        <w:rPr>
          <w:rFonts w:ascii="Cambria" w:hAnsi="Cambria" w:cs="Calibri Light"/>
          <w:color w:val="000000" w:themeColor="text1"/>
          <w:sz w:val="20"/>
          <w:szCs w:val="20"/>
        </w:rPr>
        <w:t xml:space="preserve"> is irrelevant </w:t>
      </w:r>
      <w:r w:rsidR="00141D71" w:rsidRPr="00D4638C">
        <w:rPr>
          <w:rFonts w:ascii="Cambria" w:hAnsi="Cambria" w:cs="Calibri Light"/>
          <w:color w:val="000000" w:themeColor="text1"/>
          <w:sz w:val="20"/>
          <w:szCs w:val="20"/>
        </w:rPr>
        <w:t xml:space="preserve">to update on the follow-up of the case given that it is repetitive of the information presented in previous years, without presenting new information on measures taken recently to comply with </w:t>
      </w:r>
      <w:r w:rsidRPr="00D4638C">
        <w:rPr>
          <w:rFonts w:ascii="Cambria" w:hAnsi="Cambria" w:cs="Calibri Light"/>
          <w:color w:val="000000" w:themeColor="text1"/>
          <w:sz w:val="20"/>
          <w:szCs w:val="20"/>
        </w:rPr>
        <w:t>at least one of the recommendations issued in Merits Report No. 80/11.</w:t>
      </w:r>
      <w:proofErr w:type="gramEnd"/>
      <w:r w:rsidRPr="00D4638C">
        <w:rPr>
          <w:rFonts w:ascii="Cambria" w:hAnsi="Cambria" w:cs="Calibri Light"/>
          <w:color w:val="000000" w:themeColor="text1"/>
          <w:sz w:val="20"/>
          <w:szCs w:val="20"/>
        </w:rPr>
        <w:t xml:space="preserve"> </w:t>
      </w:r>
    </w:p>
    <w:p w14:paraId="4D98AE8B" w14:textId="77777777" w:rsidR="007B1B2D" w:rsidRPr="00D4638C" w:rsidRDefault="007B1B2D" w:rsidP="007B1B2D">
      <w:pPr>
        <w:pStyle w:val="ListParagraph"/>
        <w:numPr>
          <w:ilvl w:val="0"/>
          <w:numId w:val="30"/>
        </w:numPr>
        <w:spacing w:after="0" w:line="240" w:lineRule="auto"/>
        <w:jc w:val="both"/>
        <w:rPr>
          <w:rFonts w:ascii="Cambria" w:hAnsi="Cambria" w:cs="Calibri Light"/>
          <w:color w:val="000000" w:themeColor="text1"/>
          <w:sz w:val="20"/>
          <w:szCs w:val="20"/>
        </w:rPr>
      </w:pPr>
      <w:r w:rsidRPr="00D4638C">
        <w:rPr>
          <w:rFonts w:ascii="Cambria" w:hAnsi="Cambria" w:cs="Calibri Light"/>
          <w:color w:val="000000" w:themeColor="text1"/>
          <w:sz w:val="20"/>
          <w:szCs w:val="20"/>
        </w:rPr>
        <w:lastRenderedPageBreak/>
        <w:t xml:space="preserve">In this sense, because of the lack of updated </w:t>
      </w:r>
      <w:r w:rsidRPr="00D4638C">
        <w:rPr>
          <w:rFonts w:ascii="Cambria" w:hAnsi="Cambria"/>
          <w:color w:val="000000" w:themeColor="text1"/>
          <w:sz w:val="20"/>
          <w:szCs w:val="20"/>
          <w:lang w:val="en"/>
        </w:rPr>
        <w:t>information on the level of compliance with the recommendations, the IACHR reiterates below the analysis of compliance and conclusions made in its 2019 Annual Report.</w:t>
      </w:r>
    </w:p>
    <w:p w14:paraId="4D0E2CCB" w14:textId="77777777" w:rsidR="00EB4C48" w:rsidRPr="00D4638C" w:rsidRDefault="00EB4C48" w:rsidP="00D74A97">
      <w:pPr>
        <w:spacing w:after="0" w:line="240" w:lineRule="auto"/>
        <w:jc w:val="both"/>
        <w:rPr>
          <w:rFonts w:ascii="Cambria" w:hAnsi="Cambria" w:cs="Calibri Light"/>
          <w:sz w:val="20"/>
          <w:szCs w:val="20"/>
        </w:rPr>
      </w:pPr>
    </w:p>
    <w:p w14:paraId="21E2B5E6" w14:textId="77777777" w:rsidR="002B5098" w:rsidRPr="00D4638C" w:rsidRDefault="002B5098" w:rsidP="00BF2A31">
      <w:pPr>
        <w:pStyle w:val="ListParagraph"/>
        <w:numPr>
          <w:ilvl w:val="0"/>
          <w:numId w:val="37"/>
        </w:numPr>
        <w:spacing w:after="0" w:line="240" w:lineRule="auto"/>
        <w:ind w:left="1440"/>
        <w:jc w:val="both"/>
        <w:rPr>
          <w:rFonts w:ascii="Cambria" w:hAnsi="Cambria" w:cs="Calibri Light"/>
          <w:b/>
          <w:sz w:val="20"/>
          <w:szCs w:val="20"/>
        </w:rPr>
      </w:pPr>
      <w:r w:rsidRPr="00D4638C">
        <w:rPr>
          <w:rFonts w:ascii="Cambria" w:hAnsi="Cambria" w:cs="Calibri Light"/>
          <w:b/>
          <w:sz w:val="20"/>
          <w:szCs w:val="20"/>
        </w:rPr>
        <w:t xml:space="preserve">Analysis of compliance with the recommendations </w:t>
      </w:r>
    </w:p>
    <w:p w14:paraId="52A762D9" w14:textId="77777777" w:rsidR="00955520" w:rsidRPr="00D4638C" w:rsidRDefault="00955520" w:rsidP="000773A9">
      <w:pPr>
        <w:spacing w:after="0" w:line="240" w:lineRule="auto"/>
        <w:jc w:val="both"/>
        <w:rPr>
          <w:rFonts w:ascii="Cambria" w:hAnsi="Cambria"/>
          <w:sz w:val="20"/>
          <w:szCs w:val="20"/>
        </w:rPr>
      </w:pPr>
    </w:p>
    <w:p w14:paraId="46E8A904" w14:textId="5DF11828" w:rsidR="00E963A7" w:rsidRPr="00D4638C" w:rsidRDefault="00955520" w:rsidP="002E69D1">
      <w:pPr>
        <w:pStyle w:val="ListParagraph"/>
        <w:numPr>
          <w:ilvl w:val="0"/>
          <w:numId w:val="30"/>
        </w:numPr>
        <w:spacing w:after="0" w:line="240" w:lineRule="auto"/>
        <w:jc w:val="both"/>
        <w:rPr>
          <w:rFonts w:ascii="Cambria" w:hAnsi="Cambria" w:cs="Calibri Light"/>
          <w:b/>
          <w:sz w:val="20"/>
          <w:szCs w:val="20"/>
        </w:rPr>
      </w:pPr>
      <w:r w:rsidRPr="00D4638C">
        <w:rPr>
          <w:rFonts w:ascii="Cambria" w:hAnsi="Cambria"/>
          <w:b/>
          <w:sz w:val="20"/>
          <w:szCs w:val="20"/>
        </w:rPr>
        <w:t xml:space="preserve">With regard to the first </w:t>
      </w:r>
      <w:r w:rsidR="000773A9" w:rsidRPr="00D4638C">
        <w:rPr>
          <w:rFonts w:ascii="Cambria" w:hAnsi="Cambria"/>
          <w:b/>
          <w:sz w:val="20"/>
          <w:szCs w:val="20"/>
        </w:rPr>
        <w:t>recommendation</w:t>
      </w:r>
      <w:r w:rsidRPr="00D4638C">
        <w:rPr>
          <w:rFonts w:ascii="Cambria" w:hAnsi="Cambria"/>
          <w:sz w:val="20"/>
          <w:szCs w:val="20"/>
        </w:rPr>
        <w:t>,</w:t>
      </w:r>
      <w:r w:rsidRPr="00D4638C">
        <w:rPr>
          <w:rFonts w:ascii="Cambria" w:hAnsi="Cambria"/>
          <w:b/>
          <w:sz w:val="20"/>
          <w:szCs w:val="20"/>
        </w:rPr>
        <w:t xml:space="preserve"> </w:t>
      </w:r>
      <w:r w:rsidR="00265B9C" w:rsidRPr="00D4638C">
        <w:rPr>
          <w:rFonts w:ascii="Cambria" w:hAnsi="Cambria"/>
          <w:sz w:val="20"/>
          <w:szCs w:val="20"/>
        </w:rPr>
        <w:t>in 2012,</w:t>
      </w:r>
      <w:r w:rsidR="00A8502D" w:rsidRPr="00D4638C">
        <w:rPr>
          <w:rFonts w:ascii="Cambria" w:hAnsi="Cambria"/>
          <w:sz w:val="20"/>
          <w:szCs w:val="20"/>
        </w:rPr>
        <w:t xml:space="preserve"> </w:t>
      </w:r>
      <w:r w:rsidR="00A8502D" w:rsidRPr="00D4638C">
        <w:rPr>
          <w:rFonts w:ascii="Cambria" w:hAnsi="Cambria" w:cstheme="majorHAnsi"/>
          <w:sz w:val="20"/>
          <w:szCs w:val="20"/>
        </w:rPr>
        <w:t xml:space="preserve">the State </w:t>
      </w:r>
      <w:r w:rsidR="006B7784" w:rsidRPr="00D4638C">
        <w:rPr>
          <w:rFonts w:ascii="Cambria" w:hAnsi="Cambria" w:cstheme="majorHAnsi"/>
          <w:sz w:val="20"/>
          <w:szCs w:val="20"/>
        </w:rPr>
        <w:t xml:space="preserve">informed that </w:t>
      </w:r>
      <w:r w:rsidR="00A8502D" w:rsidRPr="00D4638C">
        <w:rPr>
          <w:rFonts w:ascii="Cambria" w:hAnsi="Cambria" w:cstheme="majorHAnsi"/>
          <w:sz w:val="20"/>
          <w:szCs w:val="20"/>
        </w:rPr>
        <w:t>it ha</w:t>
      </w:r>
      <w:r w:rsidR="00265B9C" w:rsidRPr="00D4638C">
        <w:rPr>
          <w:rFonts w:ascii="Cambria" w:hAnsi="Cambria" w:cstheme="majorHAnsi"/>
          <w:sz w:val="20"/>
          <w:szCs w:val="20"/>
        </w:rPr>
        <w:t>d</w:t>
      </w:r>
      <w:r w:rsidR="00A8502D" w:rsidRPr="00D4638C">
        <w:rPr>
          <w:rFonts w:ascii="Cambria" w:hAnsi="Cambria" w:cstheme="majorHAnsi"/>
          <w:sz w:val="20"/>
          <w:szCs w:val="20"/>
        </w:rPr>
        <w:t xml:space="preserve"> sent three letters to state and local authorities in Colorado about the Commission’s </w:t>
      </w:r>
      <w:r w:rsidR="00265B9C" w:rsidRPr="00D4638C">
        <w:rPr>
          <w:rFonts w:ascii="Cambria" w:hAnsi="Cambria" w:cstheme="majorHAnsi"/>
          <w:sz w:val="20"/>
          <w:szCs w:val="20"/>
        </w:rPr>
        <w:t xml:space="preserve">Merits </w:t>
      </w:r>
      <w:r w:rsidR="00A8502D" w:rsidRPr="00D4638C">
        <w:rPr>
          <w:rFonts w:ascii="Cambria" w:hAnsi="Cambria" w:cstheme="majorHAnsi"/>
          <w:sz w:val="20"/>
          <w:szCs w:val="20"/>
        </w:rPr>
        <w:t>Report, but it ha</w:t>
      </w:r>
      <w:r w:rsidR="00265B9C" w:rsidRPr="00D4638C">
        <w:rPr>
          <w:rFonts w:ascii="Cambria" w:hAnsi="Cambria" w:cstheme="majorHAnsi"/>
          <w:sz w:val="20"/>
          <w:szCs w:val="20"/>
        </w:rPr>
        <w:t>d</w:t>
      </w:r>
      <w:r w:rsidR="00A8502D" w:rsidRPr="00D4638C">
        <w:rPr>
          <w:rFonts w:ascii="Cambria" w:hAnsi="Cambria" w:cstheme="majorHAnsi"/>
          <w:sz w:val="20"/>
          <w:szCs w:val="20"/>
        </w:rPr>
        <w:t xml:space="preserve"> not received any response from these authorities.</w:t>
      </w:r>
      <w:r w:rsidR="0074453E" w:rsidRPr="00D4638C">
        <w:rPr>
          <w:rStyle w:val="FootnoteReference"/>
          <w:rFonts w:ascii="Cambria" w:hAnsi="Cambria" w:cstheme="majorHAnsi"/>
          <w:sz w:val="20"/>
          <w:szCs w:val="20"/>
        </w:rPr>
        <w:footnoteReference w:id="3"/>
      </w:r>
      <w:r w:rsidR="00A8502D" w:rsidRPr="00D4638C">
        <w:rPr>
          <w:rFonts w:ascii="Cambria" w:hAnsi="Cambria" w:cstheme="majorHAnsi"/>
          <w:sz w:val="20"/>
          <w:szCs w:val="20"/>
        </w:rPr>
        <w:t xml:space="preserve"> </w:t>
      </w:r>
      <w:r w:rsidR="006B7784" w:rsidRPr="00D4638C">
        <w:rPr>
          <w:rFonts w:ascii="Cambria" w:hAnsi="Cambria" w:cstheme="majorHAnsi"/>
          <w:sz w:val="20"/>
          <w:szCs w:val="20"/>
        </w:rPr>
        <w:t>At</w:t>
      </w:r>
      <w:r w:rsidR="00FB04F3" w:rsidRPr="00D4638C">
        <w:rPr>
          <w:rFonts w:ascii="Cambria" w:hAnsi="Cambria" w:cstheme="majorHAnsi"/>
          <w:sz w:val="20"/>
          <w:szCs w:val="20"/>
        </w:rPr>
        <w:t xml:space="preserve"> the hearing held during the IACHR’s 153</w:t>
      </w:r>
      <w:r w:rsidR="00FB04F3" w:rsidRPr="00D4638C">
        <w:rPr>
          <w:rFonts w:ascii="Cambria" w:hAnsi="Cambria" w:cstheme="majorHAnsi"/>
          <w:sz w:val="20"/>
          <w:szCs w:val="20"/>
          <w:vertAlign w:val="superscript"/>
        </w:rPr>
        <w:t>rd</w:t>
      </w:r>
      <w:r w:rsidR="00FB04F3" w:rsidRPr="00D4638C">
        <w:rPr>
          <w:rFonts w:ascii="Cambria" w:hAnsi="Cambria" w:cstheme="majorHAnsi"/>
          <w:sz w:val="20"/>
          <w:szCs w:val="20"/>
        </w:rPr>
        <w:t xml:space="preserve"> Period of Sessions, the State reiterated the limitations </w:t>
      </w:r>
      <w:r w:rsidR="006B7784" w:rsidRPr="00D4638C">
        <w:rPr>
          <w:rFonts w:ascii="Cambria" w:hAnsi="Cambria" w:cstheme="majorHAnsi"/>
          <w:sz w:val="20"/>
          <w:szCs w:val="20"/>
        </w:rPr>
        <w:t>of</w:t>
      </w:r>
      <w:r w:rsidR="00FB04F3" w:rsidRPr="00D4638C">
        <w:rPr>
          <w:rFonts w:ascii="Cambria" w:hAnsi="Cambria" w:cstheme="majorHAnsi"/>
          <w:sz w:val="20"/>
          <w:szCs w:val="20"/>
        </w:rPr>
        <w:t xml:space="preserve"> the U.S. federal system in relation to investigating the death</w:t>
      </w:r>
      <w:r w:rsidR="006B7784" w:rsidRPr="00D4638C">
        <w:rPr>
          <w:rFonts w:ascii="Cambria" w:hAnsi="Cambria" w:cstheme="majorHAnsi"/>
          <w:sz w:val="20"/>
          <w:szCs w:val="20"/>
        </w:rPr>
        <w:t>s</w:t>
      </w:r>
      <w:r w:rsidR="00FB04F3" w:rsidRPr="00D4638C">
        <w:rPr>
          <w:rFonts w:ascii="Cambria" w:hAnsi="Cambria" w:cstheme="majorHAnsi"/>
          <w:sz w:val="20"/>
          <w:szCs w:val="20"/>
        </w:rPr>
        <w:t xml:space="preserve"> of Jessica </w:t>
      </w:r>
      <w:proofErr w:type="spellStart"/>
      <w:r w:rsidR="00FB04F3" w:rsidRPr="00D4638C">
        <w:rPr>
          <w:rFonts w:ascii="Cambria" w:hAnsi="Cambria" w:cstheme="majorHAnsi"/>
          <w:sz w:val="20"/>
          <w:szCs w:val="20"/>
        </w:rPr>
        <w:t>Lenahan’s</w:t>
      </w:r>
      <w:proofErr w:type="spellEnd"/>
      <w:r w:rsidR="00FB04F3" w:rsidRPr="00D4638C">
        <w:rPr>
          <w:rFonts w:ascii="Cambria" w:hAnsi="Cambria" w:cstheme="majorHAnsi"/>
          <w:sz w:val="20"/>
          <w:szCs w:val="20"/>
        </w:rPr>
        <w:t xml:space="preserve"> daughters.</w:t>
      </w:r>
      <w:r w:rsidR="00971519" w:rsidRPr="00D4638C">
        <w:rPr>
          <w:rStyle w:val="FootnoteReference"/>
          <w:rFonts w:ascii="Cambria" w:hAnsi="Cambria" w:cstheme="majorHAnsi"/>
          <w:sz w:val="20"/>
          <w:szCs w:val="20"/>
        </w:rPr>
        <w:footnoteReference w:id="4"/>
      </w:r>
      <w:r w:rsidR="00FB04F3" w:rsidRPr="00D4638C">
        <w:rPr>
          <w:rFonts w:ascii="Cambria" w:hAnsi="Cambria" w:cstheme="majorHAnsi"/>
          <w:sz w:val="20"/>
          <w:szCs w:val="20"/>
        </w:rPr>
        <w:t xml:space="preserve"> </w:t>
      </w:r>
      <w:r w:rsidR="0026430A" w:rsidRPr="00D4638C">
        <w:rPr>
          <w:rFonts w:ascii="Cambria" w:hAnsi="Cambria" w:cs="Calibri Light"/>
          <w:color w:val="000000" w:themeColor="text1"/>
          <w:sz w:val="20"/>
          <w:szCs w:val="20"/>
        </w:rPr>
        <w:t xml:space="preserve">In </w:t>
      </w:r>
      <w:r w:rsidR="00B37839" w:rsidRPr="00D4638C">
        <w:rPr>
          <w:rFonts w:ascii="Cambria" w:hAnsi="Cambria" w:cs="Calibri Light"/>
          <w:color w:val="000000" w:themeColor="text1"/>
          <w:sz w:val="20"/>
          <w:szCs w:val="20"/>
        </w:rPr>
        <w:t>2020</w:t>
      </w:r>
      <w:r w:rsidR="0026430A" w:rsidRPr="00D4638C">
        <w:rPr>
          <w:rFonts w:ascii="Cambria" w:hAnsi="Cambria" w:cs="Calibri Light"/>
          <w:color w:val="000000" w:themeColor="text1"/>
          <w:sz w:val="20"/>
          <w:szCs w:val="20"/>
        </w:rPr>
        <w:t xml:space="preserve">, the State </w:t>
      </w:r>
      <w:r w:rsidR="00D74A97" w:rsidRPr="00D4638C">
        <w:rPr>
          <w:rFonts w:ascii="Cambria" w:hAnsi="Cambria" w:cs="Calibri Light"/>
          <w:color w:val="000000" w:themeColor="text1"/>
          <w:sz w:val="20"/>
          <w:szCs w:val="20"/>
        </w:rPr>
        <w:t>reiterated</w:t>
      </w:r>
      <w:r w:rsidR="0026430A" w:rsidRPr="00D4638C">
        <w:rPr>
          <w:rFonts w:ascii="Cambria" w:hAnsi="Cambria" w:cs="Calibri Light"/>
          <w:color w:val="000000" w:themeColor="text1"/>
          <w:sz w:val="20"/>
          <w:szCs w:val="20"/>
        </w:rPr>
        <w:t xml:space="preserve"> </w:t>
      </w:r>
      <w:r w:rsidR="00E963A7" w:rsidRPr="00D4638C">
        <w:rPr>
          <w:rFonts w:ascii="Cambria" w:hAnsi="Cambria" w:cs="Calibri Light"/>
          <w:color w:val="000000" w:themeColor="text1"/>
          <w:sz w:val="20"/>
          <w:szCs w:val="20"/>
        </w:rPr>
        <w:t xml:space="preserve">its earlier responses, without </w:t>
      </w:r>
      <w:r w:rsidR="0019608D" w:rsidRPr="00D4638C">
        <w:rPr>
          <w:rFonts w:ascii="Cambria" w:hAnsi="Cambria" w:cs="Calibri Light"/>
          <w:color w:val="000000" w:themeColor="text1"/>
          <w:sz w:val="20"/>
          <w:szCs w:val="20"/>
        </w:rPr>
        <w:t>presenting new information on actions adopted to comply with this recommendation.</w:t>
      </w:r>
    </w:p>
    <w:p w14:paraId="520B44B6" w14:textId="77777777" w:rsidR="00FF1BBF" w:rsidRPr="00D4638C" w:rsidRDefault="00FF1BBF" w:rsidP="000773A9">
      <w:pPr>
        <w:spacing w:after="0" w:line="240" w:lineRule="auto"/>
        <w:jc w:val="both"/>
        <w:rPr>
          <w:rFonts w:ascii="Cambria" w:hAnsi="Cambria"/>
          <w:sz w:val="20"/>
          <w:szCs w:val="20"/>
        </w:rPr>
      </w:pPr>
    </w:p>
    <w:p w14:paraId="1EA6AA25" w14:textId="5088B73C" w:rsidR="0084192E" w:rsidRPr="00D4638C" w:rsidRDefault="00BB47D4" w:rsidP="0084192E">
      <w:pPr>
        <w:pStyle w:val="ListParagraph"/>
        <w:numPr>
          <w:ilvl w:val="0"/>
          <w:numId w:val="30"/>
        </w:numPr>
        <w:spacing w:after="0" w:line="240" w:lineRule="auto"/>
        <w:jc w:val="both"/>
        <w:rPr>
          <w:rFonts w:ascii="Cambria" w:hAnsi="Cambria"/>
          <w:color w:val="FF0000"/>
          <w:sz w:val="20"/>
          <w:szCs w:val="20"/>
        </w:rPr>
      </w:pPr>
      <w:r w:rsidRPr="00D4638C">
        <w:rPr>
          <w:rFonts w:ascii="Cambria" w:hAnsi="Cambria"/>
          <w:sz w:val="20"/>
          <w:szCs w:val="20"/>
        </w:rPr>
        <w:t xml:space="preserve">In 2013, the petitioners </w:t>
      </w:r>
      <w:r w:rsidR="00601CDE" w:rsidRPr="00D4638C">
        <w:rPr>
          <w:rFonts w:ascii="Cambria" w:hAnsi="Cambria"/>
          <w:sz w:val="20"/>
          <w:szCs w:val="20"/>
        </w:rPr>
        <w:t xml:space="preserve">informed that the three letters sent by the Federal </w:t>
      </w:r>
      <w:r w:rsidR="008373E0" w:rsidRPr="00D4638C">
        <w:rPr>
          <w:rFonts w:ascii="Cambria" w:hAnsi="Cambria"/>
          <w:sz w:val="20"/>
          <w:szCs w:val="20"/>
        </w:rPr>
        <w:t>Government</w:t>
      </w:r>
      <w:r w:rsidR="00601CDE" w:rsidRPr="00D4638C">
        <w:rPr>
          <w:rFonts w:ascii="Cambria" w:hAnsi="Cambria"/>
          <w:sz w:val="20"/>
          <w:szCs w:val="20"/>
        </w:rPr>
        <w:t xml:space="preserve"> </w:t>
      </w:r>
      <w:r w:rsidR="006B7784" w:rsidRPr="00D4638C">
        <w:rPr>
          <w:rFonts w:ascii="Cambria" w:hAnsi="Cambria" w:cstheme="majorHAnsi"/>
          <w:sz w:val="20"/>
          <w:szCs w:val="20"/>
        </w:rPr>
        <w:t xml:space="preserve">to state and local authorities </w:t>
      </w:r>
      <w:r w:rsidR="00601CDE" w:rsidRPr="00D4638C">
        <w:rPr>
          <w:rFonts w:ascii="Cambria" w:hAnsi="Cambria"/>
          <w:sz w:val="20"/>
          <w:szCs w:val="20"/>
        </w:rPr>
        <w:t>did</w:t>
      </w:r>
      <w:r w:rsidR="008373E0" w:rsidRPr="00D4638C">
        <w:rPr>
          <w:rFonts w:ascii="Cambria" w:hAnsi="Cambria"/>
          <w:sz w:val="20"/>
          <w:szCs w:val="20"/>
        </w:rPr>
        <w:t xml:space="preserve"> not offer specific guidance or actionable recommendations </w:t>
      </w:r>
      <w:r w:rsidR="00E10371" w:rsidRPr="00D4638C">
        <w:rPr>
          <w:rFonts w:ascii="Cambria" w:hAnsi="Cambria"/>
          <w:sz w:val="20"/>
          <w:szCs w:val="20"/>
        </w:rPr>
        <w:t xml:space="preserve">to officials </w:t>
      </w:r>
      <w:proofErr w:type="gramStart"/>
      <w:r w:rsidR="008373E0" w:rsidRPr="00D4638C">
        <w:rPr>
          <w:rFonts w:ascii="Cambria" w:hAnsi="Cambria"/>
          <w:sz w:val="20"/>
          <w:szCs w:val="20"/>
        </w:rPr>
        <w:t>in regard to</w:t>
      </w:r>
      <w:proofErr w:type="gramEnd"/>
      <w:r w:rsidR="008373E0" w:rsidRPr="00D4638C">
        <w:rPr>
          <w:rFonts w:ascii="Cambria" w:hAnsi="Cambria"/>
          <w:sz w:val="20"/>
          <w:szCs w:val="20"/>
        </w:rPr>
        <w:t xml:space="preserve"> this or any </w:t>
      </w:r>
      <w:r w:rsidR="00C6346C" w:rsidRPr="00D4638C">
        <w:rPr>
          <w:rFonts w:ascii="Cambria" w:hAnsi="Cambria"/>
          <w:sz w:val="20"/>
          <w:szCs w:val="20"/>
        </w:rPr>
        <w:t xml:space="preserve">other </w:t>
      </w:r>
      <w:r w:rsidR="008373E0" w:rsidRPr="00D4638C">
        <w:rPr>
          <w:rFonts w:ascii="Cambria" w:hAnsi="Cambria"/>
          <w:sz w:val="20"/>
          <w:szCs w:val="20"/>
        </w:rPr>
        <w:t xml:space="preserve">recommendation. In 2014, the petitioners presented to the IACHR the forensic analysis </w:t>
      </w:r>
      <w:r w:rsidR="00601CDE" w:rsidRPr="00D4638C">
        <w:rPr>
          <w:rFonts w:ascii="Cambria" w:hAnsi="Cambria"/>
          <w:sz w:val="20"/>
          <w:szCs w:val="20"/>
        </w:rPr>
        <w:t xml:space="preserve">undertaken </w:t>
      </w:r>
      <w:r w:rsidR="0044194A" w:rsidRPr="00D4638C">
        <w:rPr>
          <w:rFonts w:ascii="Cambria" w:hAnsi="Cambria"/>
          <w:sz w:val="20"/>
          <w:szCs w:val="20"/>
        </w:rPr>
        <w:t>in 2009, the conclusions of</w:t>
      </w:r>
      <w:r w:rsidR="00A43128" w:rsidRPr="00D4638C">
        <w:rPr>
          <w:rFonts w:ascii="Cambria" w:hAnsi="Cambria"/>
          <w:sz w:val="20"/>
          <w:szCs w:val="20"/>
        </w:rPr>
        <w:t xml:space="preserve"> which state </w:t>
      </w:r>
      <w:r w:rsidR="008373E0" w:rsidRPr="00D4638C">
        <w:rPr>
          <w:rFonts w:ascii="Cambria" w:hAnsi="Cambria"/>
          <w:sz w:val="20"/>
          <w:szCs w:val="20"/>
        </w:rPr>
        <w:t>the lack of thoroughness in the authorities’ treatment of some part</w:t>
      </w:r>
      <w:r w:rsidR="0044194A" w:rsidRPr="00D4638C">
        <w:rPr>
          <w:rFonts w:ascii="Cambria" w:hAnsi="Cambria"/>
          <w:sz w:val="20"/>
          <w:szCs w:val="20"/>
        </w:rPr>
        <w:t>s</w:t>
      </w:r>
      <w:r w:rsidR="008373E0" w:rsidRPr="00D4638C">
        <w:rPr>
          <w:rFonts w:ascii="Cambria" w:hAnsi="Cambria"/>
          <w:sz w:val="20"/>
          <w:szCs w:val="20"/>
        </w:rPr>
        <w:t xml:space="preserve"> of the crime scene. </w:t>
      </w:r>
      <w:r w:rsidR="0044194A" w:rsidRPr="00D4638C">
        <w:rPr>
          <w:rFonts w:ascii="Cambria" w:hAnsi="Cambria"/>
          <w:sz w:val="20"/>
          <w:szCs w:val="20"/>
        </w:rPr>
        <w:t xml:space="preserve">The </w:t>
      </w:r>
      <w:r w:rsidR="00A43128" w:rsidRPr="00D4638C">
        <w:rPr>
          <w:rFonts w:ascii="Cambria" w:hAnsi="Cambria"/>
          <w:sz w:val="20"/>
          <w:szCs w:val="20"/>
        </w:rPr>
        <w:t>forensic report</w:t>
      </w:r>
      <w:r w:rsidR="0044194A" w:rsidRPr="00D4638C">
        <w:rPr>
          <w:rFonts w:ascii="Cambria" w:hAnsi="Cambria"/>
          <w:sz w:val="20"/>
          <w:szCs w:val="20"/>
        </w:rPr>
        <w:t xml:space="preserve"> state</w:t>
      </w:r>
      <w:r w:rsidR="00E10371" w:rsidRPr="00D4638C">
        <w:rPr>
          <w:rFonts w:ascii="Cambria" w:hAnsi="Cambria"/>
          <w:sz w:val="20"/>
          <w:szCs w:val="20"/>
        </w:rPr>
        <w:t>d</w:t>
      </w:r>
      <w:r w:rsidR="0044194A" w:rsidRPr="00D4638C">
        <w:rPr>
          <w:rFonts w:ascii="Cambria" w:hAnsi="Cambria"/>
          <w:sz w:val="20"/>
          <w:szCs w:val="20"/>
        </w:rPr>
        <w:t xml:space="preserve"> that, </w:t>
      </w:r>
      <w:proofErr w:type="gramStart"/>
      <w:r w:rsidR="0044194A" w:rsidRPr="00D4638C">
        <w:rPr>
          <w:rFonts w:ascii="Cambria" w:hAnsi="Cambria"/>
          <w:sz w:val="20"/>
          <w:szCs w:val="20"/>
        </w:rPr>
        <w:t>a</w:t>
      </w:r>
      <w:r w:rsidR="008373E0" w:rsidRPr="00D4638C">
        <w:rPr>
          <w:rFonts w:ascii="Cambria" w:hAnsi="Cambria"/>
          <w:sz w:val="20"/>
          <w:szCs w:val="20"/>
        </w:rPr>
        <w:t>s a result</w:t>
      </w:r>
      <w:proofErr w:type="gramEnd"/>
      <w:r w:rsidR="008373E0" w:rsidRPr="00D4638C">
        <w:rPr>
          <w:rFonts w:ascii="Cambria" w:hAnsi="Cambria"/>
          <w:sz w:val="20"/>
          <w:szCs w:val="20"/>
        </w:rPr>
        <w:t xml:space="preserve"> of these inadequacies, </w:t>
      </w:r>
      <w:r w:rsidR="00E10371" w:rsidRPr="00D4638C">
        <w:rPr>
          <w:rFonts w:ascii="Cambria" w:hAnsi="Cambria"/>
          <w:sz w:val="20"/>
          <w:szCs w:val="20"/>
        </w:rPr>
        <w:t>the time, location</w:t>
      </w:r>
      <w:r w:rsidR="008373E0" w:rsidRPr="00D4638C">
        <w:rPr>
          <w:rFonts w:ascii="Cambria" w:hAnsi="Cambria"/>
          <w:sz w:val="20"/>
          <w:szCs w:val="20"/>
        </w:rPr>
        <w:t xml:space="preserve"> and circumstances of the Gonzales children’s deaths </w:t>
      </w:r>
      <w:r w:rsidR="00E10371" w:rsidRPr="00D4638C">
        <w:rPr>
          <w:rFonts w:ascii="Cambria" w:hAnsi="Cambria"/>
          <w:sz w:val="20"/>
          <w:szCs w:val="20"/>
        </w:rPr>
        <w:t>remain</w:t>
      </w:r>
      <w:r w:rsidR="00C6346C" w:rsidRPr="00D4638C">
        <w:rPr>
          <w:rFonts w:ascii="Cambria" w:hAnsi="Cambria"/>
          <w:sz w:val="20"/>
          <w:szCs w:val="20"/>
        </w:rPr>
        <w:t>ed</w:t>
      </w:r>
      <w:r w:rsidR="00E10371" w:rsidRPr="00D4638C">
        <w:rPr>
          <w:rFonts w:ascii="Cambria" w:hAnsi="Cambria"/>
          <w:sz w:val="20"/>
          <w:szCs w:val="20"/>
        </w:rPr>
        <w:t xml:space="preserve"> uncertain</w:t>
      </w:r>
      <w:r w:rsidR="008373E0" w:rsidRPr="00D4638C">
        <w:rPr>
          <w:rFonts w:ascii="Cambria" w:hAnsi="Cambria"/>
          <w:sz w:val="20"/>
          <w:szCs w:val="20"/>
        </w:rPr>
        <w:t xml:space="preserve">. </w:t>
      </w:r>
      <w:r w:rsidR="00A43128" w:rsidRPr="00D4638C">
        <w:rPr>
          <w:rFonts w:ascii="Cambria" w:hAnsi="Cambria"/>
          <w:sz w:val="20"/>
          <w:szCs w:val="20"/>
        </w:rPr>
        <w:t xml:space="preserve">The report further </w:t>
      </w:r>
      <w:r w:rsidR="00E10371" w:rsidRPr="00D4638C">
        <w:rPr>
          <w:rFonts w:ascii="Cambria" w:hAnsi="Cambria"/>
          <w:sz w:val="20"/>
          <w:szCs w:val="20"/>
        </w:rPr>
        <w:t>indicated</w:t>
      </w:r>
      <w:r w:rsidR="00A43128" w:rsidRPr="00D4638C">
        <w:rPr>
          <w:rFonts w:ascii="Cambria" w:hAnsi="Cambria"/>
          <w:sz w:val="20"/>
          <w:szCs w:val="20"/>
        </w:rPr>
        <w:t xml:space="preserve"> that </w:t>
      </w:r>
      <w:r w:rsidR="008373E0" w:rsidRPr="00D4638C">
        <w:rPr>
          <w:rFonts w:ascii="Cambria" w:hAnsi="Cambria"/>
          <w:sz w:val="20"/>
          <w:szCs w:val="20"/>
        </w:rPr>
        <w:t>there appear</w:t>
      </w:r>
      <w:r w:rsidR="00C6346C" w:rsidRPr="00D4638C">
        <w:rPr>
          <w:rFonts w:ascii="Cambria" w:hAnsi="Cambria"/>
          <w:sz w:val="20"/>
          <w:szCs w:val="20"/>
        </w:rPr>
        <w:t>ed</w:t>
      </w:r>
      <w:r w:rsidR="008373E0" w:rsidRPr="00D4638C">
        <w:rPr>
          <w:rFonts w:ascii="Cambria" w:hAnsi="Cambria"/>
          <w:sz w:val="20"/>
          <w:szCs w:val="20"/>
        </w:rPr>
        <w:t xml:space="preserve"> to have been an underlying assumption that Simon Gonzales killed Katherine, Rebecca and Leslie Gonzales with the handgun that he purchase</w:t>
      </w:r>
      <w:r w:rsidR="00A43128" w:rsidRPr="00D4638C">
        <w:rPr>
          <w:rFonts w:ascii="Cambria" w:hAnsi="Cambria"/>
          <w:sz w:val="20"/>
          <w:szCs w:val="20"/>
        </w:rPr>
        <w:t>d and consequently, t</w:t>
      </w:r>
      <w:r w:rsidR="008373E0" w:rsidRPr="00D4638C">
        <w:rPr>
          <w:rFonts w:ascii="Cambria" w:hAnsi="Cambria"/>
          <w:sz w:val="20"/>
          <w:szCs w:val="20"/>
        </w:rPr>
        <w:t>he investigation into the children’s death</w:t>
      </w:r>
      <w:r w:rsidR="00A43128" w:rsidRPr="00D4638C">
        <w:rPr>
          <w:rFonts w:ascii="Cambria" w:hAnsi="Cambria"/>
          <w:sz w:val="20"/>
          <w:szCs w:val="20"/>
        </w:rPr>
        <w:t>s</w:t>
      </w:r>
      <w:r w:rsidR="008373E0" w:rsidRPr="00D4638C">
        <w:rPr>
          <w:rFonts w:ascii="Cambria" w:hAnsi="Cambria"/>
          <w:sz w:val="20"/>
          <w:szCs w:val="20"/>
        </w:rPr>
        <w:t xml:space="preserve"> appear</w:t>
      </w:r>
      <w:r w:rsidR="00C6346C" w:rsidRPr="00D4638C">
        <w:rPr>
          <w:rFonts w:ascii="Cambria" w:hAnsi="Cambria"/>
          <w:sz w:val="20"/>
          <w:szCs w:val="20"/>
        </w:rPr>
        <w:t>ed</w:t>
      </w:r>
      <w:r w:rsidR="008373E0" w:rsidRPr="00D4638C">
        <w:rPr>
          <w:rFonts w:ascii="Cambria" w:hAnsi="Cambria"/>
          <w:sz w:val="20"/>
          <w:szCs w:val="20"/>
        </w:rPr>
        <w:t xml:space="preserve"> to </w:t>
      </w:r>
      <w:proofErr w:type="gramStart"/>
      <w:r w:rsidR="008373E0" w:rsidRPr="00D4638C">
        <w:rPr>
          <w:rFonts w:ascii="Cambria" w:hAnsi="Cambria"/>
          <w:sz w:val="20"/>
          <w:szCs w:val="20"/>
        </w:rPr>
        <w:t>have been conducted</w:t>
      </w:r>
      <w:proofErr w:type="gramEnd"/>
      <w:r w:rsidR="008373E0" w:rsidRPr="00D4638C">
        <w:rPr>
          <w:rFonts w:ascii="Cambria" w:hAnsi="Cambria"/>
          <w:sz w:val="20"/>
          <w:szCs w:val="20"/>
        </w:rPr>
        <w:t xml:space="preserve"> </w:t>
      </w:r>
      <w:r w:rsidR="00E10371" w:rsidRPr="00D4638C">
        <w:rPr>
          <w:rFonts w:ascii="Cambria" w:hAnsi="Cambria"/>
          <w:sz w:val="20"/>
          <w:szCs w:val="20"/>
        </w:rPr>
        <w:t xml:space="preserve">solely with the aim of confirming </w:t>
      </w:r>
      <w:r w:rsidR="008373E0" w:rsidRPr="00D4638C">
        <w:rPr>
          <w:rFonts w:ascii="Cambria" w:hAnsi="Cambria"/>
          <w:sz w:val="20"/>
          <w:szCs w:val="20"/>
        </w:rPr>
        <w:t xml:space="preserve">this hypothesis. </w:t>
      </w:r>
      <w:r w:rsidR="00E10371" w:rsidRPr="00D4638C">
        <w:rPr>
          <w:rFonts w:ascii="Cambria" w:hAnsi="Cambria"/>
          <w:sz w:val="20"/>
          <w:szCs w:val="20"/>
        </w:rPr>
        <w:t>Based on this, t</w:t>
      </w:r>
      <w:r w:rsidR="00A43128" w:rsidRPr="00D4638C">
        <w:rPr>
          <w:rFonts w:ascii="Cambria" w:hAnsi="Cambria"/>
          <w:sz w:val="20"/>
          <w:szCs w:val="20"/>
        </w:rPr>
        <w:t xml:space="preserve">he report concluded that the </w:t>
      </w:r>
      <w:r w:rsidR="008373E0" w:rsidRPr="00D4638C">
        <w:rPr>
          <w:rFonts w:ascii="Cambria" w:hAnsi="Cambria"/>
          <w:sz w:val="20"/>
          <w:szCs w:val="20"/>
        </w:rPr>
        <w:t>authorities appear</w:t>
      </w:r>
      <w:r w:rsidR="00361D8D" w:rsidRPr="00D4638C">
        <w:rPr>
          <w:rFonts w:ascii="Cambria" w:hAnsi="Cambria"/>
          <w:sz w:val="20"/>
          <w:szCs w:val="20"/>
        </w:rPr>
        <w:t>ed</w:t>
      </w:r>
      <w:r w:rsidR="008373E0" w:rsidRPr="00D4638C">
        <w:rPr>
          <w:rFonts w:ascii="Cambria" w:hAnsi="Cambria"/>
          <w:sz w:val="20"/>
          <w:szCs w:val="20"/>
        </w:rPr>
        <w:t xml:space="preserve"> to have approached the homicide investigations of the Gonzales children with preconceived notions that biased the entire process. </w:t>
      </w:r>
      <w:r w:rsidR="005C3939" w:rsidRPr="00D4638C">
        <w:rPr>
          <w:rFonts w:ascii="Cambria" w:hAnsi="Cambria"/>
          <w:sz w:val="20"/>
          <w:szCs w:val="20"/>
        </w:rPr>
        <w:t xml:space="preserve">On August 28, 2014, </w:t>
      </w:r>
      <w:r w:rsidR="00B11279" w:rsidRPr="00D4638C">
        <w:rPr>
          <w:rFonts w:ascii="Cambria" w:hAnsi="Cambria"/>
          <w:sz w:val="20"/>
          <w:szCs w:val="20"/>
        </w:rPr>
        <w:t xml:space="preserve">a </w:t>
      </w:r>
      <w:r w:rsidR="005C3939" w:rsidRPr="00D4638C">
        <w:rPr>
          <w:rFonts w:ascii="Cambria" w:hAnsi="Cambria"/>
          <w:sz w:val="20"/>
          <w:szCs w:val="20"/>
        </w:rPr>
        <w:t xml:space="preserve">Colorado Senator sent a letter to Douglas County District Attorney General requesting an investigation into </w:t>
      </w:r>
      <w:r w:rsidR="00A43128" w:rsidRPr="00D4638C">
        <w:rPr>
          <w:rFonts w:ascii="Cambria" w:hAnsi="Cambria"/>
          <w:sz w:val="20"/>
          <w:szCs w:val="20"/>
        </w:rPr>
        <w:t>the children’s deaths</w:t>
      </w:r>
      <w:r w:rsidR="005C3939" w:rsidRPr="00D4638C">
        <w:rPr>
          <w:rFonts w:ascii="Cambria" w:hAnsi="Cambria"/>
          <w:sz w:val="20"/>
          <w:szCs w:val="20"/>
        </w:rPr>
        <w:t>.</w:t>
      </w:r>
      <w:r w:rsidR="00A43128" w:rsidRPr="00D4638C">
        <w:rPr>
          <w:rFonts w:ascii="Cambria" w:hAnsi="Cambria"/>
          <w:sz w:val="20"/>
          <w:szCs w:val="20"/>
        </w:rPr>
        <w:t xml:space="preserve"> </w:t>
      </w:r>
      <w:r w:rsidR="00E10371" w:rsidRPr="00D4638C">
        <w:rPr>
          <w:rFonts w:ascii="Cambria" w:hAnsi="Cambria"/>
          <w:sz w:val="20"/>
          <w:szCs w:val="20"/>
        </w:rPr>
        <w:t>In 2018, the petitioners informed that</w:t>
      </w:r>
      <w:r w:rsidR="00D345E1" w:rsidRPr="00D4638C">
        <w:rPr>
          <w:rFonts w:ascii="Cambria" w:hAnsi="Cambria"/>
          <w:sz w:val="20"/>
          <w:szCs w:val="20"/>
        </w:rPr>
        <w:t xml:space="preserve"> </w:t>
      </w:r>
      <w:r w:rsidR="00A43128" w:rsidRPr="00D4638C">
        <w:rPr>
          <w:rFonts w:ascii="Cambria" w:hAnsi="Cambria"/>
          <w:sz w:val="20"/>
          <w:szCs w:val="20"/>
        </w:rPr>
        <w:t xml:space="preserve">the U.S. </w:t>
      </w:r>
      <w:r w:rsidR="00DD1BDA" w:rsidRPr="00D4638C">
        <w:rPr>
          <w:rFonts w:ascii="Cambria" w:hAnsi="Cambria"/>
          <w:sz w:val="20"/>
          <w:szCs w:val="20"/>
        </w:rPr>
        <w:t>Department of Justice, the State of Colorado and the Town of Castle Rock ha</w:t>
      </w:r>
      <w:r w:rsidR="00D345E1" w:rsidRPr="00D4638C">
        <w:rPr>
          <w:rFonts w:ascii="Cambria" w:hAnsi="Cambria"/>
          <w:sz w:val="20"/>
          <w:szCs w:val="20"/>
        </w:rPr>
        <w:t>d</w:t>
      </w:r>
      <w:r w:rsidR="00DD1BDA" w:rsidRPr="00D4638C">
        <w:rPr>
          <w:rFonts w:ascii="Cambria" w:hAnsi="Cambria"/>
          <w:sz w:val="20"/>
          <w:szCs w:val="20"/>
        </w:rPr>
        <w:t xml:space="preserve"> made no tangible progress </w:t>
      </w:r>
      <w:r w:rsidR="00D37C67" w:rsidRPr="00D4638C">
        <w:rPr>
          <w:rFonts w:ascii="Cambria" w:hAnsi="Cambria"/>
          <w:sz w:val="20"/>
          <w:szCs w:val="20"/>
        </w:rPr>
        <w:t xml:space="preserve">regarding this recommendation. </w:t>
      </w:r>
      <w:r w:rsidR="00D30DED" w:rsidRPr="00D4638C">
        <w:rPr>
          <w:rFonts w:ascii="Cambria" w:hAnsi="Cambria"/>
          <w:sz w:val="20"/>
          <w:szCs w:val="20"/>
        </w:rPr>
        <w:t>The petitioners informed that they traveled to Colorado with their forensic expert</w:t>
      </w:r>
      <w:r w:rsidR="002075E3" w:rsidRPr="00D4638C">
        <w:rPr>
          <w:rFonts w:ascii="Cambria" w:hAnsi="Cambria"/>
          <w:sz w:val="20"/>
          <w:szCs w:val="20"/>
        </w:rPr>
        <w:t xml:space="preserve"> </w:t>
      </w:r>
      <w:r w:rsidR="00D30DED" w:rsidRPr="00D4638C">
        <w:rPr>
          <w:rFonts w:ascii="Cambria" w:hAnsi="Cambria"/>
          <w:sz w:val="20"/>
          <w:szCs w:val="20"/>
        </w:rPr>
        <w:t xml:space="preserve">in October 2018 </w:t>
      </w:r>
      <w:r w:rsidR="00C13341" w:rsidRPr="00D4638C">
        <w:rPr>
          <w:rFonts w:ascii="Cambria" w:hAnsi="Cambria"/>
          <w:sz w:val="20"/>
          <w:szCs w:val="20"/>
        </w:rPr>
        <w:t xml:space="preserve">in an attempt to </w:t>
      </w:r>
      <w:r w:rsidR="006802DF" w:rsidRPr="00D4638C">
        <w:rPr>
          <w:rFonts w:ascii="Cambria" w:hAnsi="Cambria"/>
          <w:sz w:val="20"/>
          <w:szCs w:val="20"/>
        </w:rPr>
        <w:t>reinitiate</w:t>
      </w:r>
      <w:r w:rsidR="00C13341" w:rsidRPr="00D4638C">
        <w:rPr>
          <w:rFonts w:ascii="Cambria" w:hAnsi="Cambria"/>
          <w:sz w:val="20"/>
          <w:szCs w:val="20"/>
        </w:rPr>
        <w:t xml:space="preserve"> the investigations into the girls’ deaths. During th</w:t>
      </w:r>
      <w:r w:rsidR="00E10371" w:rsidRPr="00D4638C">
        <w:rPr>
          <w:rFonts w:ascii="Cambria" w:hAnsi="Cambria"/>
          <w:sz w:val="20"/>
          <w:szCs w:val="20"/>
        </w:rPr>
        <w:t>is</w:t>
      </w:r>
      <w:r w:rsidR="00C13341" w:rsidRPr="00D4638C">
        <w:rPr>
          <w:rFonts w:ascii="Cambria" w:hAnsi="Cambria"/>
          <w:sz w:val="20"/>
          <w:szCs w:val="20"/>
        </w:rPr>
        <w:t xml:space="preserve"> visit, they met with representatives from the Douglas County Sheriff’s Office, the 18</w:t>
      </w:r>
      <w:r w:rsidR="00C13341" w:rsidRPr="00D4638C">
        <w:rPr>
          <w:rFonts w:ascii="Cambria" w:hAnsi="Cambria"/>
          <w:sz w:val="20"/>
          <w:szCs w:val="20"/>
          <w:vertAlign w:val="superscript"/>
        </w:rPr>
        <w:t>th</w:t>
      </w:r>
      <w:r w:rsidR="00C13341" w:rsidRPr="00D4638C">
        <w:rPr>
          <w:rFonts w:ascii="Cambria" w:hAnsi="Cambria"/>
          <w:sz w:val="20"/>
          <w:szCs w:val="20"/>
        </w:rPr>
        <w:t xml:space="preserve"> Judicial District Attorney’s Office, the Colorado District Attorneys’ Council and the Denver District </w:t>
      </w:r>
      <w:proofErr w:type="gramStart"/>
      <w:r w:rsidR="00C13341" w:rsidRPr="00D4638C">
        <w:rPr>
          <w:rFonts w:ascii="Cambria" w:hAnsi="Cambria"/>
          <w:sz w:val="20"/>
          <w:szCs w:val="20"/>
        </w:rPr>
        <w:t>A</w:t>
      </w:r>
      <w:r w:rsidR="006802DF" w:rsidRPr="00D4638C">
        <w:rPr>
          <w:rFonts w:ascii="Cambria" w:hAnsi="Cambria"/>
          <w:sz w:val="20"/>
          <w:szCs w:val="20"/>
        </w:rPr>
        <w:t>ttorney’s</w:t>
      </w:r>
      <w:proofErr w:type="gramEnd"/>
      <w:r w:rsidR="006802DF" w:rsidRPr="00D4638C">
        <w:rPr>
          <w:rFonts w:ascii="Cambria" w:hAnsi="Cambria"/>
          <w:sz w:val="20"/>
          <w:szCs w:val="20"/>
        </w:rPr>
        <w:t xml:space="preserve"> Office, and spoke over the telephone with the Castle Rock Town Attorney’s office. </w:t>
      </w:r>
      <w:r w:rsidR="00E10371" w:rsidRPr="00D4638C">
        <w:rPr>
          <w:rFonts w:ascii="Cambria" w:hAnsi="Cambria"/>
          <w:sz w:val="20"/>
          <w:szCs w:val="20"/>
        </w:rPr>
        <w:t>The petitioners informed that, d</w:t>
      </w:r>
      <w:r w:rsidR="006802DF" w:rsidRPr="00D4638C">
        <w:rPr>
          <w:rFonts w:ascii="Cambria" w:hAnsi="Cambria"/>
          <w:sz w:val="20"/>
          <w:szCs w:val="20"/>
        </w:rPr>
        <w:t>uring the</w:t>
      </w:r>
      <w:r w:rsidR="00E10371" w:rsidRPr="00D4638C">
        <w:rPr>
          <w:rFonts w:ascii="Cambria" w:hAnsi="Cambria"/>
          <w:sz w:val="20"/>
          <w:szCs w:val="20"/>
        </w:rPr>
        <w:t>ir</w:t>
      </w:r>
      <w:r w:rsidR="006802DF" w:rsidRPr="00D4638C">
        <w:rPr>
          <w:rFonts w:ascii="Cambria" w:hAnsi="Cambria"/>
          <w:sz w:val="20"/>
          <w:szCs w:val="20"/>
        </w:rPr>
        <w:t xml:space="preserve"> meeting with the 18</w:t>
      </w:r>
      <w:r w:rsidR="006802DF" w:rsidRPr="00D4638C">
        <w:rPr>
          <w:rFonts w:ascii="Cambria" w:hAnsi="Cambria"/>
          <w:sz w:val="20"/>
          <w:szCs w:val="20"/>
          <w:vertAlign w:val="superscript"/>
        </w:rPr>
        <w:t>th</w:t>
      </w:r>
      <w:r w:rsidR="006802DF" w:rsidRPr="00D4638C">
        <w:rPr>
          <w:rFonts w:ascii="Cambria" w:hAnsi="Cambria"/>
          <w:sz w:val="20"/>
          <w:szCs w:val="20"/>
        </w:rPr>
        <w:t xml:space="preserve"> Judicial District Attorney’s Office, the</w:t>
      </w:r>
      <w:r w:rsidR="00E10371" w:rsidRPr="00D4638C">
        <w:rPr>
          <w:rFonts w:ascii="Cambria" w:hAnsi="Cambria"/>
          <w:sz w:val="20"/>
          <w:szCs w:val="20"/>
        </w:rPr>
        <w:t>y</w:t>
      </w:r>
      <w:r w:rsidR="006802DF" w:rsidRPr="00D4638C">
        <w:rPr>
          <w:rFonts w:ascii="Cambria" w:hAnsi="Cambria"/>
          <w:sz w:val="20"/>
          <w:szCs w:val="20"/>
        </w:rPr>
        <w:t xml:space="preserve"> </w:t>
      </w:r>
      <w:proofErr w:type="gramStart"/>
      <w:r w:rsidR="006802DF" w:rsidRPr="00D4638C">
        <w:rPr>
          <w:rFonts w:ascii="Cambria" w:hAnsi="Cambria"/>
          <w:sz w:val="20"/>
          <w:szCs w:val="20"/>
        </w:rPr>
        <w:t>were provided</w:t>
      </w:r>
      <w:proofErr w:type="gramEnd"/>
      <w:r w:rsidR="006802DF" w:rsidRPr="00D4638C">
        <w:rPr>
          <w:rFonts w:ascii="Cambria" w:hAnsi="Cambria"/>
          <w:sz w:val="20"/>
          <w:szCs w:val="20"/>
        </w:rPr>
        <w:t xml:space="preserve"> with </w:t>
      </w:r>
      <w:r w:rsidR="00DD1BDA" w:rsidRPr="00D4638C">
        <w:rPr>
          <w:rFonts w:ascii="Cambria" w:hAnsi="Cambria"/>
          <w:sz w:val="20"/>
          <w:szCs w:val="20"/>
        </w:rPr>
        <w:t>a list of 23 pieces of forensic evidence that ha</w:t>
      </w:r>
      <w:r w:rsidR="00361D8D" w:rsidRPr="00D4638C">
        <w:rPr>
          <w:rFonts w:ascii="Cambria" w:hAnsi="Cambria"/>
          <w:sz w:val="20"/>
          <w:szCs w:val="20"/>
        </w:rPr>
        <w:t>d</w:t>
      </w:r>
      <w:r w:rsidR="00DD1BDA" w:rsidRPr="00D4638C">
        <w:rPr>
          <w:rFonts w:ascii="Cambria" w:hAnsi="Cambria"/>
          <w:sz w:val="20"/>
          <w:szCs w:val="20"/>
        </w:rPr>
        <w:t xml:space="preserve"> been retained by the Town of Castle Rock</w:t>
      </w:r>
      <w:r w:rsidR="006802DF" w:rsidRPr="00D4638C">
        <w:rPr>
          <w:rFonts w:ascii="Cambria" w:hAnsi="Cambria"/>
          <w:sz w:val="20"/>
          <w:szCs w:val="20"/>
        </w:rPr>
        <w:t>. The petitioners indicated that they were previously unaware of these pieces of evidence</w:t>
      </w:r>
      <w:r w:rsidR="00DD1BDA" w:rsidRPr="00D4638C">
        <w:rPr>
          <w:rFonts w:ascii="Cambria" w:hAnsi="Cambria"/>
          <w:sz w:val="20"/>
          <w:szCs w:val="20"/>
        </w:rPr>
        <w:t xml:space="preserve"> despite </w:t>
      </w:r>
      <w:r w:rsidR="006802DF" w:rsidRPr="00D4638C">
        <w:rPr>
          <w:rFonts w:ascii="Cambria" w:hAnsi="Cambria"/>
          <w:sz w:val="20"/>
          <w:szCs w:val="20"/>
        </w:rPr>
        <w:t xml:space="preserve">having made an </w:t>
      </w:r>
      <w:r w:rsidR="00DD1BDA" w:rsidRPr="00D4638C">
        <w:rPr>
          <w:rFonts w:ascii="Cambria" w:hAnsi="Cambria"/>
          <w:sz w:val="20"/>
          <w:szCs w:val="20"/>
        </w:rPr>
        <w:t xml:space="preserve">open records request </w:t>
      </w:r>
      <w:r w:rsidR="00361D8D" w:rsidRPr="00D4638C">
        <w:rPr>
          <w:rFonts w:ascii="Cambria" w:hAnsi="Cambria"/>
          <w:sz w:val="20"/>
          <w:szCs w:val="20"/>
        </w:rPr>
        <w:t xml:space="preserve">requesting </w:t>
      </w:r>
      <w:r w:rsidR="00DD1BDA" w:rsidRPr="00D4638C">
        <w:rPr>
          <w:rFonts w:ascii="Cambria" w:hAnsi="Cambria"/>
          <w:sz w:val="20"/>
          <w:szCs w:val="20"/>
        </w:rPr>
        <w:t>such information</w:t>
      </w:r>
      <w:r w:rsidR="007A222B" w:rsidRPr="00D4638C">
        <w:rPr>
          <w:rFonts w:ascii="Cambria" w:hAnsi="Cambria"/>
          <w:sz w:val="20"/>
          <w:szCs w:val="20"/>
        </w:rPr>
        <w:t xml:space="preserve"> </w:t>
      </w:r>
      <w:r w:rsidR="00DD1BDA" w:rsidRPr="00D4638C">
        <w:rPr>
          <w:rFonts w:ascii="Cambria" w:hAnsi="Cambria"/>
          <w:sz w:val="20"/>
          <w:szCs w:val="20"/>
        </w:rPr>
        <w:t xml:space="preserve">from the Castle Rock </w:t>
      </w:r>
      <w:r w:rsidR="006802DF" w:rsidRPr="00D4638C">
        <w:rPr>
          <w:rFonts w:ascii="Cambria" w:hAnsi="Cambria"/>
          <w:sz w:val="20"/>
          <w:szCs w:val="20"/>
        </w:rPr>
        <w:t xml:space="preserve">Town </w:t>
      </w:r>
      <w:r w:rsidR="00446579" w:rsidRPr="00D4638C">
        <w:rPr>
          <w:rFonts w:ascii="Cambria" w:hAnsi="Cambria"/>
          <w:sz w:val="20"/>
          <w:szCs w:val="20"/>
        </w:rPr>
        <w:t>Attorney’s office</w:t>
      </w:r>
      <w:r w:rsidR="007A222B" w:rsidRPr="00D4638C">
        <w:rPr>
          <w:rFonts w:ascii="Cambria" w:hAnsi="Cambria"/>
          <w:sz w:val="20"/>
          <w:szCs w:val="20"/>
        </w:rPr>
        <w:t xml:space="preserve">. </w:t>
      </w:r>
      <w:r w:rsidR="00B56B94" w:rsidRPr="00D4638C">
        <w:rPr>
          <w:rFonts w:ascii="Cambria" w:hAnsi="Cambria"/>
          <w:sz w:val="20"/>
          <w:szCs w:val="20"/>
        </w:rPr>
        <w:t xml:space="preserve">Additionally, the petitioners </w:t>
      </w:r>
      <w:r w:rsidR="006802DF" w:rsidRPr="00D4638C">
        <w:rPr>
          <w:rFonts w:ascii="Cambria" w:hAnsi="Cambria"/>
          <w:sz w:val="20"/>
          <w:szCs w:val="20"/>
        </w:rPr>
        <w:t>informed that they ha</w:t>
      </w:r>
      <w:r w:rsidR="00361D8D" w:rsidRPr="00D4638C">
        <w:rPr>
          <w:rFonts w:ascii="Cambria" w:hAnsi="Cambria"/>
          <w:sz w:val="20"/>
          <w:szCs w:val="20"/>
        </w:rPr>
        <w:t>d</w:t>
      </w:r>
      <w:r w:rsidR="006802DF" w:rsidRPr="00D4638C">
        <w:rPr>
          <w:rFonts w:ascii="Cambria" w:hAnsi="Cambria"/>
          <w:sz w:val="20"/>
          <w:szCs w:val="20"/>
        </w:rPr>
        <w:t xml:space="preserve"> </w:t>
      </w:r>
      <w:r w:rsidR="00B56B94" w:rsidRPr="00D4638C">
        <w:rPr>
          <w:rFonts w:ascii="Cambria" w:hAnsi="Cambria"/>
          <w:sz w:val="20"/>
          <w:szCs w:val="20"/>
        </w:rPr>
        <w:t xml:space="preserve">determined that the Colorado Bureau of Investigations (CBI) </w:t>
      </w:r>
      <w:r w:rsidR="00361D8D" w:rsidRPr="00D4638C">
        <w:rPr>
          <w:rFonts w:ascii="Cambria" w:hAnsi="Cambria"/>
          <w:sz w:val="20"/>
          <w:szCs w:val="20"/>
        </w:rPr>
        <w:t>wa</w:t>
      </w:r>
      <w:r w:rsidR="00B56B94" w:rsidRPr="00D4638C">
        <w:rPr>
          <w:rFonts w:ascii="Cambria" w:hAnsi="Cambria"/>
          <w:sz w:val="20"/>
          <w:szCs w:val="20"/>
        </w:rPr>
        <w:t xml:space="preserve">s the proper agency to conduct </w:t>
      </w:r>
      <w:r w:rsidR="006802DF" w:rsidRPr="00D4638C">
        <w:rPr>
          <w:rFonts w:ascii="Cambria" w:hAnsi="Cambria"/>
          <w:sz w:val="20"/>
          <w:szCs w:val="20"/>
        </w:rPr>
        <w:t>an investigation into the girls’</w:t>
      </w:r>
      <w:r w:rsidR="00B56B94" w:rsidRPr="00D4638C">
        <w:rPr>
          <w:rFonts w:ascii="Cambria" w:hAnsi="Cambria"/>
          <w:sz w:val="20"/>
          <w:szCs w:val="20"/>
        </w:rPr>
        <w:t xml:space="preserve"> death</w:t>
      </w:r>
      <w:r w:rsidR="006802DF" w:rsidRPr="00D4638C">
        <w:rPr>
          <w:rFonts w:ascii="Cambria" w:hAnsi="Cambria"/>
          <w:sz w:val="20"/>
          <w:szCs w:val="20"/>
        </w:rPr>
        <w:t>s</w:t>
      </w:r>
      <w:r w:rsidR="00B56B94" w:rsidRPr="00D4638C">
        <w:rPr>
          <w:rFonts w:ascii="Cambria" w:hAnsi="Cambria"/>
          <w:sz w:val="20"/>
          <w:szCs w:val="20"/>
        </w:rPr>
        <w:t xml:space="preserve"> and that the Town of Castle Rock or another Colorado governmental actor </w:t>
      </w:r>
      <w:r w:rsidR="00361D8D" w:rsidRPr="00D4638C">
        <w:rPr>
          <w:rFonts w:ascii="Cambria" w:hAnsi="Cambria"/>
          <w:sz w:val="20"/>
          <w:szCs w:val="20"/>
        </w:rPr>
        <w:t xml:space="preserve">should </w:t>
      </w:r>
      <w:r w:rsidR="00B56B94" w:rsidRPr="00D4638C">
        <w:rPr>
          <w:rFonts w:ascii="Cambria" w:hAnsi="Cambria"/>
          <w:sz w:val="20"/>
          <w:szCs w:val="20"/>
        </w:rPr>
        <w:t xml:space="preserve">request that the CBI initiate such an investigation. </w:t>
      </w:r>
      <w:r w:rsidR="007B549E" w:rsidRPr="00D4638C">
        <w:rPr>
          <w:rFonts w:ascii="Cambria" w:hAnsi="Cambria"/>
          <w:sz w:val="20"/>
          <w:szCs w:val="20"/>
        </w:rPr>
        <w:t>The petitioners stated that they ha</w:t>
      </w:r>
      <w:r w:rsidR="00361D8D" w:rsidRPr="00D4638C">
        <w:rPr>
          <w:rFonts w:ascii="Cambria" w:hAnsi="Cambria"/>
          <w:sz w:val="20"/>
          <w:szCs w:val="20"/>
        </w:rPr>
        <w:t>d</w:t>
      </w:r>
      <w:r w:rsidR="007B549E" w:rsidRPr="00D4638C">
        <w:rPr>
          <w:rFonts w:ascii="Cambria" w:hAnsi="Cambria"/>
          <w:sz w:val="20"/>
          <w:szCs w:val="20"/>
        </w:rPr>
        <w:t xml:space="preserve"> asked the </w:t>
      </w:r>
      <w:r w:rsidR="00FF1BBF" w:rsidRPr="00D4638C">
        <w:rPr>
          <w:rFonts w:ascii="Cambria" w:hAnsi="Cambria"/>
          <w:sz w:val="20"/>
          <w:szCs w:val="20"/>
        </w:rPr>
        <w:t xml:space="preserve">Town of Castle Rock </w:t>
      </w:r>
      <w:r w:rsidR="007B549E" w:rsidRPr="00D4638C">
        <w:rPr>
          <w:rFonts w:ascii="Cambria" w:hAnsi="Cambria"/>
          <w:sz w:val="20"/>
          <w:szCs w:val="20"/>
        </w:rPr>
        <w:t>t</w:t>
      </w:r>
      <w:r w:rsidR="00FF1BBF" w:rsidRPr="00D4638C">
        <w:rPr>
          <w:rFonts w:ascii="Cambria" w:hAnsi="Cambria"/>
          <w:sz w:val="20"/>
          <w:szCs w:val="20"/>
        </w:rPr>
        <w:t>o request this investigation, but th</w:t>
      </w:r>
      <w:r w:rsidR="007B549E" w:rsidRPr="00D4638C">
        <w:rPr>
          <w:rFonts w:ascii="Cambria" w:hAnsi="Cambria"/>
          <w:sz w:val="20"/>
          <w:szCs w:val="20"/>
        </w:rPr>
        <w:t>at the Town ha</w:t>
      </w:r>
      <w:r w:rsidR="00361D8D" w:rsidRPr="00D4638C">
        <w:rPr>
          <w:rFonts w:ascii="Cambria" w:hAnsi="Cambria"/>
          <w:sz w:val="20"/>
          <w:szCs w:val="20"/>
        </w:rPr>
        <w:t>d</w:t>
      </w:r>
      <w:r w:rsidR="007B549E" w:rsidRPr="00D4638C">
        <w:rPr>
          <w:rFonts w:ascii="Cambria" w:hAnsi="Cambria"/>
          <w:sz w:val="20"/>
          <w:szCs w:val="20"/>
        </w:rPr>
        <w:t xml:space="preserve"> refused th</w:t>
      </w:r>
      <w:r w:rsidR="00E10371" w:rsidRPr="00D4638C">
        <w:rPr>
          <w:rFonts w:ascii="Cambria" w:hAnsi="Cambria"/>
          <w:sz w:val="20"/>
          <w:szCs w:val="20"/>
        </w:rPr>
        <w:t xml:space="preserve">eir </w:t>
      </w:r>
      <w:r w:rsidR="007B549E" w:rsidRPr="00D4638C">
        <w:rPr>
          <w:rFonts w:ascii="Cambria" w:hAnsi="Cambria"/>
          <w:sz w:val="20"/>
          <w:szCs w:val="20"/>
        </w:rPr>
        <w:t xml:space="preserve">request, reiterating its position that </w:t>
      </w:r>
      <w:proofErr w:type="gramStart"/>
      <w:r w:rsidR="00FF1BBF" w:rsidRPr="00D4638C">
        <w:rPr>
          <w:rFonts w:ascii="Cambria" w:hAnsi="Cambria"/>
          <w:sz w:val="20"/>
          <w:szCs w:val="20"/>
        </w:rPr>
        <w:t>the girls were killed by their father</w:t>
      </w:r>
      <w:proofErr w:type="gramEnd"/>
      <w:r w:rsidR="00FF1BBF" w:rsidRPr="00D4638C">
        <w:rPr>
          <w:rFonts w:ascii="Cambria" w:hAnsi="Cambria"/>
          <w:sz w:val="20"/>
          <w:szCs w:val="20"/>
        </w:rPr>
        <w:t>.</w:t>
      </w:r>
      <w:r w:rsidR="00D1394A" w:rsidRPr="00D4638C">
        <w:rPr>
          <w:rFonts w:ascii="Cambria" w:hAnsi="Cambria"/>
          <w:sz w:val="20"/>
          <w:szCs w:val="20"/>
        </w:rPr>
        <w:t xml:space="preserve"> </w:t>
      </w:r>
      <w:r w:rsidR="0084192E" w:rsidRPr="00D4638C">
        <w:rPr>
          <w:rFonts w:ascii="Cambria" w:hAnsi="Cambria"/>
          <w:color w:val="000000" w:themeColor="text1"/>
          <w:sz w:val="20"/>
          <w:szCs w:val="20"/>
        </w:rPr>
        <w:t xml:space="preserve">In 2020, the petitioners informed that there were no further developments to report regarding the compliance </w:t>
      </w:r>
      <w:r w:rsidR="004B48D8" w:rsidRPr="00D4638C">
        <w:rPr>
          <w:rFonts w:ascii="Cambria" w:hAnsi="Cambria"/>
          <w:color w:val="000000" w:themeColor="text1"/>
          <w:sz w:val="20"/>
          <w:szCs w:val="20"/>
        </w:rPr>
        <w:t xml:space="preserve">of </w:t>
      </w:r>
      <w:r w:rsidR="004B48D8" w:rsidRPr="00D4638C">
        <w:rPr>
          <w:rFonts w:ascii="Cambria" w:hAnsi="Cambria" w:cs="Calibri Light"/>
          <w:color w:val="000000" w:themeColor="text1"/>
          <w:sz w:val="20"/>
          <w:szCs w:val="20"/>
        </w:rPr>
        <w:t>the</w:t>
      </w:r>
      <w:r w:rsidR="00B37839" w:rsidRPr="00D4638C">
        <w:rPr>
          <w:rFonts w:ascii="Cambria" w:hAnsi="Cambria" w:cs="Calibri Light"/>
          <w:color w:val="000000" w:themeColor="text1"/>
          <w:sz w:val="20"/>
          <w:szCs w:val="20"/>
        </w:rPr>
        <w:t xml:space="preserve"> </w:t>
      </w:r>
      <w:r w:rsidR="0084192E" w:rsidRPr="00D4638C">
        <w:rPr>
          <w:rFonts w:ascii="Cambria" w:hAnsi="Cambria" w:cs="Calibri Light"/>
          <w:color w:val="000000" w:themeColor="text1"/>
          <w:sz w:val="20"/>
          <w:szCs w:val="20"/>
        </w:rPr>
        <w:t xml:space="preserve">IACHR </w:t>
      </w:r>
      <w:r w:rsidR="0084192E" w:rsidRPr="00D4638C">
        <w:rPr>
          <w:rFonts w:ascii="Cambria" w:hAnsi="Cambria"/>
          <w:color w:val="000000" w:themeColor="text1"/>
          <w:sz w:val="20"/>
          <w:szCs w:val="20"/>
        </w:rPr>
        <w:t>recommendations.</w:t>
      </w:r>
    </w:p>
    <w:p w14:paraId="5D81A046" w14:textId="77777777" w:rsidR="00FA5C1C" w:rsidRPr="00D4638C" w:rsidRDefault="00FA5C1C" w:rsidP="00FA5C1C">
      <w:pPr>
        <w:pStyle w:val="ListParagraph"/>
        <w:spacing w:after="0" w:line="240" w:lineRule="auto"/>
        <w:jc w:val="both"/>
        <w:rPr>
          <w:rFonts w:ascii="Cambria" w:hAnsi="Cambria"/>
          <w:sz w:val="20"/>
          <w:szCs w:val="20"/>
        </w:rPr>
      </w:pPr>
    </w:p>
    <w:p w14:paraId="65A97523" w14:textId="58EDA7D7" w:rsidR="002E69D1" w:rsidRPr="00D4638C" w:rsidRDefault="004C5F44" w:rsidP="00FA5C1C">
      <w:pPr>
        <w:pStyle w:val="ListParagraph"/>
        <w:numPr>
          <w:ilvl w:val="0"/>
          <w:numId w:val="30"/>
        </w:numPr>
        <w:spacing w:after="0" w:line="240" w:lineRule="auto"/>
        <w:jc w:val="both"/>
        <w:rPr>
          <w:rFonts w:ascii="Cambria" w:hAnsi="Cambria"/>
          <w:sz w:val="20"/>
          <w:szCs w:val="20"/>
        </w:rPr>
      </w:pPr>
      <w:proofErr w:type="gramStart"/>
      <w:r w:rsidRPr="00D4638C">
        <w:rPr>
          <w:rFonts w:ascii="Cambria" w:hAnsi="Cambria"/>
          <w:sz w:val="20"/>
          <w:szCs w:val="20"/>
        </w:rPr>
        <w:t>T</w:t>
      </w:r>
      <w:r w:rsidR="00842172" w:rsidRPr="00D4638C">
        <w:rPr>
          <w:rFonts w:ascii="Cambria" w:hAnsi="Cambria"/>
          <w:sz w:val="20"/>
          <w:szCs w:val="20"/>
        </w:rPr>
        <w:t xml:space="preserve">he IACHR recalls that </w:t>
      </w:r>
      <w:r w:rsidR="00A81133" w:rsidRPr="00D4638C">
        <w:rPr>
          <w:rFonts w:ascii="Cambria" w:hAnsi="Cambria"/>
          <w:sz w:val="20"/>
          <w:szCs w:val="20"/>
        </w:rPr>
        <w:t xml:space="preserve">the duty to investigate must be discharged </w:t>
      </w:r>
      <w:r w:rsidR="00FA5C1C" w:rsidRPr="00D4638C">
        <w:rPr>
          <w:rFonts w:ascii="Cambria" w:eastAsiaTheme="minorHAnsi" w:hAnsi="Cambria" w:cs="Verdana"/>
          <w:sz w:val="20"/>
          <w:szCs w:val="20"/>
        </w:rPr>
        <w:t>“in a serious manner, not as a mere formality that is doomed to fail from the very beginning and it must pursue a goal and be undertaken by the State as its own legal duty rather than a mere processing of private interests, dependent upon the procedural initiative of the victim or the victim’s next of kin or on the contribution of evidence by private parties, without an actual quest for truth on the part of the public authorities.”</w:t>
      </w:r>
      <w:r w:rsidR="00842172" w:rsidRPr="00D4638C">
        <w:rPr>
          <w:vertAlign w:val="superscript"/>
        </w:rPr>
        <w:footnoteReference w:id="5"/>
      </w:r>
      <w:proofErr w:type="gramEnd"/>
      <w:r w:rsidR="00842172" w:rsidRPr="00D4638C">
        <w:rPr>
          <w:rFonts w:ascii="Cambria" w:hAnsi="Cambria"/>
          <w:sz w:val="20"/>
          <w:szCs w:val="20"/>
        </w:rPr>
        <w:t xml:space="preserve"> </w:t>
      </w:r>
      <w:r w:rsidRPr="00D4638C">
        <w:rPr>
          <w:rFonts w:ascii="Cambria" w:hAnsi="Cambria"/>
          <w:sz w:val="20"/>
          <w:szCs w:val="20"/>
        </w:rPr>
        <w:t>The IACHR</w:t>
      </w:r>
      <w:r w:rsidRPr="00D4638C">
        <w:rPr>
          <w:rFonts w:ascii="Cambria" w:hAnsi="Cambria" w:cs="Verdana"/>
          <w:sz w:val="20"/>
        </w:rPr>
        <w:t xml:space="preserve"> further reminds the</w:t>
      </w:r>
      <w:r w:rsidRPr="00D4638C">
        <w:rPr>
          <w:rFonts w:ascii="Cambria" w:hAnsi="Cambria"/>
          <w:sz w:val="20"/>
          <w:szCs w:val="20"/>
        </w:rPr>
        <w:t xml:space="preserve"> </w:t>
      </w:r>
      <w:r w:rsidRPr="00D4638C">
        <w:rPr>
          <w:rFonts w:ascii="Cambria" w:hAnsi="Cambria"/>
          <w:sz w:val="20"/>
          <w:szCs w:val="20"/>
        </w:rPr>
        <w:lastRenderedPageBreak/>
        <w:t xml:space="preserve">State of Ms. </w:t>
      </w:r>
      <w:proofErr w:type="spellStart"/>
      <w:r w:rsidRPr="00D4638C">
        <w:rPr>
          <w:rFonts w:ascii="Cambria" w:hAnsi="Cambria"/>
          <w:sz w:val="20"/>
          <w:szCs w:val="20"/>
        </w:rPr>
        <w:t>Lenahan’s</w:t>
      </w:r>
      <w:proofErr w:type="spellEnd"/>
      <w:r w:rsidRPr="00D4638C">
        <w:rPr>
          <w:rFonts w:ascii="Cambria" w:hAnsi="Cambria"/>
          <w:sz w:val="20"/>
          <w:szCs w:val="20"/>
        </w:rPr>
        <w:t xml:space="preserve"> right to a clarification of what happened to her three daughters and who is responsible for their deaths.</w:t>
      </w:r>
      <w:r w:rsidR="009B14F4" w:rsidRPr="00D4638C">
        <w:rPr>
          <w:rStyle w:val="FootnoteReference"/>
          <w:rFonts w:ascii="Cambria" w:hAnsi="Cambria"/>
          <w:sz w:val="20"/>
          <w:szCs w:val="20"/>
        </w:rPr>
        <w:footnoteReference w:id="6"/>
      </w:r>
      <w:r w:rsidR="009B14F4" w:rsidRPr="00D4638C">
        <w:rPr>
          <w:rFonts w:ascii="Cambria" w:hAnsi="Cambria"/>
          <w:sz w:val="20"/>
          <w:szCs w:val="20"/>
        </w:rPr>
        <w:t xml:space="preserve"> </w:t>
      </w:r>
      <w:r w:rsidRPr="00D4638C">
        <w:rPr>
          <w:rFonts w:ascii="Cambria" w:hAnsi="Cambria"/>
          <w:sz w:val="20"/>
          <w:szCs w:val="20"/>
        </w:rPr>
        <w:t xml:space="preserve">Based on this, the Commission finds that Recommendation 1 is pending compliance. </w:t>
      </w:r>
    </w:p>
    <w:p w14:paraId="5A47FC06" w14:textId="77777777" w:rsidR="002E69D1" w:rsidRPr="00D4638C" w:rsidRDefault="002E69D1" w:rsidP="002E69D1">
      <w:pPr>
        <w:pStyle w:val="ListParagraph"/>
        <w:spacing w:after="0" w:line="240" w:lineRule="auto"/>
        <w:jc w:val="both"/>
        <w:rPr>
          <w:rFonts w:ascii="Cambria" w:hAnsi="Cambria"/>
          <w:b/>
          <w:sz w:val="20"/>
          <w:szCs w:val="20"/>
        </w:rPr>
      </w:pPr>
    </w:p>
    <w:p w14:paraId="7B8EBE25" w14:textId="7DA804AE" w:rsidR="0084192E" w:rsidRPr="00D4638C" w:rsidRDefault="000773A9" w:rsidP="0084192E">
      <w:pPr>
        <w:pStyle w:val="ListParagraph"/>
        <w:numPr>
          <w:ilvl w:val="0"/>
          <w:numId w:val="30"/>
        </w:numPr>
        <w:spacing w:after="0" w:line="240" w:lineRule="auto"/>
        <w:jc w:val="both"/>
        <w:rPr>
          <w:rFonts w:ascii="Cambria" w:hAnsi="Cambria" w:cs="Calibri Light"/>
          <w:sz w:val="20"/>
          <w:szCs w:val="20"/>
        </w:rPr>
      </w:pPr>
      <w:proofErr w:type="gramStart"/>
      <w:r w:rsidRPr="00D4638C">
        <w:rPr>
          <w:rFonts w:ascii="Cambria" w:hAnsi="Cambria"/>
          <w:b/>
          <w:sz w:val="20"/>
          <w:szCs w:val="20"/>
        </w:rPr>
        <w:t>Regarding the second recommendation</w:t>
      </w:r>
      <w:r w:rsidR="00E963A7" w:rsidRPr="00D4638C">
        <w:rPr>
          <w:rFonts w:ascii="Cambria" w:hAnsi="Cambria"/>
          <w:sz w:val="20"/>
          <w:szCs w:val="20"/>
        </w:rPr>
        <w:t xml:space="preserve">, in 2012, </w:t>
      </w:r>
      <w:r w:rsidR="00E963A7" w:rsidRPr="00D4638C">
        <w:rPr>
          <w:rFonts w:ascii="Cambria" w:hAnsi="Cambria" w:cstheme="majorHAnsi"/>
          <w:sz w:val="20"/>
          <w:szCs w:val="20"/>
        </w:rPr>
        <w:t>the State observed that, even if the Special Litigation Section (SPL) of the Department of Justice’s Civil Rights Division ha</w:t>
      </w:r>
      <w:r w:rsidR="00361D8D" w:rsidRPr="00D4638C">
        <w:rPr>
          <w:rFonts w:ascii="Cambria" w:hAnsi="Cambria" w:cstheme="majorHAnsi"/>
          <w:sz w:val="20"/>
          <w:szCs w:val="20"/>
        </w:rPr>
        <w:t>d</w:t>
      </w:r>
      <w:r w:rsidR="00E963A7" w:rsidRPr="00D4638C">
        <w:rPr>
          <w:rFonts w:ascii="Cambria" w:hAnsi="Cambria" w:cstheme="majorHAnsi"/>
          <w:sz w:val="20"/>
          <w:szCs w:val="20"/>
        </w:rPr>
        <w:t xml:space="preserve"> the authority to investigate a pattern or practice of conduct by a law enforcement agency that systematically violate</w:t>
      </w:r>
      <w:r w:rsidR="00361D8D" w:rsidRPr="00D4638C">
        <w:rPr>
          <w:rFonts w:ascii="Cambria" w:hAnsi="Cambria" w:cstheme="majorHAnsi"/>
          <w:sz w:val="20"/>
          <w:szCs w:val="20"/>
        </w:rPr>
        <w:t>d</w:t>
      </w:r>
      <w:r w:rsidR="00E963A7" w:rsidRPr="00D4638C">
        <w:rPr>
          <w:rFonts w:ascii="Cambria" w:hAnsi="Cambria" w:cstheme="majorHAnsi"/>
          <w:sz w:val="20"/>
          <w:szCs w:val="20"/>
        </w:rPr>
        <w:t xml:space="preserve"> peoples’ rights, it </w:t>
      </w:r>
      <w:r w:rsidR="00361D8D" w:rsidRPr="00D4638C">
        <w:rPr>
          <w:rFonts w:ascii="Cambria" w:hAnsi="Cambria" w:cstheme="majorHAnsi"/>
          <w:sz w:val="20"/>
          <w:szCs w:val="20"/>
        </w:rPr>
        <w:t xml:space="preserve">did </w:t>
      </w:r>
      <w:r w:rsidR="00E963A7" w:rsidRPr="00D4638C">
        <w:rPr>
          <w:rFonts w:ascii="Cambria" w:hAnsi="Cambria" w:cstheme="majorHAnsi"/>
          <w:sz w:val="20"/>
          <w:szCs w:val="20"/>
        </w:rPr>
        <w:t>not have authority to conduct an investigation into a single incident or into discriminatory conduct affecting an individual.</w:t>
      </w:r>
      <w:proofErr w:type="gramEnd"/>
      <w:r w:rsidR="00E963A7" w:rsidRPr="00D4638C">
        <w:rPr>
          <w:rFonts w:ascii="Cambria" w:hAnsi="Cambria" w:cstheme="majorHAnsi"/>
          <w:sz w:val="20"/>
          <w:szCs w:val="20"/>
        </w:rPr>
        <w:t xml:space="preserve"> The State added that it had sent three letters to state and local authorities in Colorado about the Commission’s Merits Report, but it had not received any response from these authorities. Moreover, </w:t>
      </w:r>
      <w:r w:rsidR="00D345E1" w:rsidRPr="00D4638C">
        <w:rPr>
          <w:rFonts w:ascii="Cambria" w:hAnsi="Cambria" w:cstheme="majorHAnsi"/>
          <w:sz w:val="20"/>
          <w:szCs w:val="20"/>
        </w:rPr>
        <w:t xml:space="preserve">the State informed that </w:t>
      </w:r>
      <w:r w:rsidR="00E963A7" w:rsidRPr="00D4638C">
        <w:rPr>
          <w:rFonts w:ascii="Cambria" w:hAnsi="Cambria" w:cstheme="majorHAnsi"/>
          <w:sz w:val="20"/>
          <w:szCs w:val="20"/>
        </w:rPr>
        <w:t xml:space="preserve">the Acting Director of the Office </w:t>
      </w:r>
      <w:r w:rsidR="00D345E1" w:rsidRPr="00D4638C">
        <w:rPr>
          <w:rFonts w:ascii="Cambria" w:hAnsi="Cambria" w:cstheme="majorHAnsi"/>
          <w:sz w:val="20"/>
          <w:szCs w:val="20"/>
        </w:rPr>
        <w:t>on</w:t>
      </w:r>
      <w:r w:rsidR="00E963A7" w:rsidRPr="00D4638C">
        <w:rPr>
          <w:rFonts w:ascii="Cambria" w:hAnsi="Cambria" w:cstheme="majorHAnsi"/>
          <w:sz w:val="20"/>
          <w:szCs w:val="20"/>
        </w:rPr>
        <w:t xml:space="preserve"> Violence against Women (OVW) had had several conversations with Castle Rock Chief of Police to explore options to ensure that the Police Department’s policies, protocols and procedures incorporate best practices for domestic violence response.</w:t>
      </w:r>
      <w:r w:rsidR="009B14F4" w:rsidRPr="00D4638C">
        <w:rPr>
          <w:rStyle w:val="FootnoteReference"/>
          <w:rFonts w:ascii="Cambria" w:hAnsi="Cambria" w:cstheme="majorHAnsi"/>
          <w:sz w:val="20"/>
          <w:szCs w:val="20"/>
        </w:rPr>
        <w:footnoteReference w:id="7"/>
      </w:r>
      <w:r w:rsidR="0084192E" w:rsidRPr="00D4638C">
        <w:rPr>
          <w:rFonts w:ascii="Cambria" w:hAnsi="Cambria" w:cs="Calibri Light"/>
          <w:sz w:val="20"/>
          <w:szCs w:val="20"/>
        </w:rPr>
        <w:t xml:space="preserve"> </w:t>
      </w:r>
      <w:r w:rsidR="003D494F" w:rsidRPr="00D4638C">
        <w:rPr>
          <w:rFonts w:ascii="Cambria" w:hAnsi="Cambria" w:cs="Calibri Light"/>
          <w:color w:val="000000" w:themeColor="text1"/>
          <w:sz w:val="20"/>
          <w:szCs w:val="20"/>
        </w:rPr>
        <w:t xml:space="preserve">In </w:t>
      </w:r>
      <w:r w:rsidR="003D494F" w:rsidRPr="00D4638C">
        <w:rPr>
          <w:rFonts w:ascii="Cambria" w:hAnsi="Cambria"/>
          <w:color w:val="000000" w:themeColor="text1"/>
          <w:sz w:val="20"/>
          <w:szCs w:val="20"/>
          <w:lang w:val="en"/>
        </w:rPr>
        <w:t>2020</w:t>
      </w:r>
      <w:r w:rsidR="003D494F" w:rsidRPr="00D4638C">
        <w:rPr>
          <w:rFonts w:ascii="Cambria" w:hAnsi="Cambria" w:cs="Calibri Light"/>
          <w:color w:val="000000" w:themeColor="text1"/>
          <w:sz w:val="20"/>
          <w:szCs w:val="20"/>
        </w:rPr>
        <w:t>, the State reiterated its earlier responses regarding this Merits Report, without mentioning any efforts undertaken this year in order to comply with the recommendations of the IACHR.</w:t>
      </w:r>
    </w:p>
    <w:p w14:paraId="60F89CDC" w14:textId="3B202CC4" w:rsidR="00F053D4" w:rsidRPr="00D4638C" w:rsidRDefault="00F053D4" w:rsidP="00F053D4">
      <w:pPr>
        <w:pStyle w:val="ListParagraph"/>
        <w:spacing w:after="0" w:line="240" w:lineRule="auto"/>
        <w:jc w:val="both"/>
        <w:rPr>
          <w:rFonts w:ascii="Cambria" w:hAnsi="Cambria"/>
          <w:b/>
          <w:sz w:val="20"/>
          <w:szCs w:val="20"/>
        </w:rPr>
      </w:pPr>
    </w:p>
    <w:p w14:paraId="1E17C1A1" w14:textId="7962B41D" w:rsidR="0084192E" w:rsidRPr="00D4638C" w:rsidRDefault="004A61EB" w:rsidP="0084192E">
      <w:pPr>
        <w:pStyle w:val="ListParagraph"/>
        <w:numPr>
          <w:ilvl w:val="0"/>
          <w:numId w:val="30"/>
        </w:numPr>
        <w:spacing w:after="0" w:line="240" w:lineRule="auto"/>
        <w:jc w:val="both"/>
        <w:rPr>
          <w:rFonts w:ascii="Cambria" w:hAnsi="Cambria"/>
          <w:color w:val="FF0000"/>
          <w:sz w:val="20"/>
          <w:szCs w:val="20"/>
        </w:rPr>
      </w:pPr>
      <w:r w:rsidRPr="00D4638C">
        <w:rPr>
          <w:rFonts w:ascii="Cambria" w:hAnsi="Cambria"/>
          <w:sz w:val="20"/>
          <w:szCs w:val="20"/>
        </w:rPr>
        <w:t xml:space="preserve">In 2013, the petitioners reported that the Office </w:t>
      </w:r>
      <w:r w:rsidR="00D345E1" w:rsidRPr="00D4638C">
        <w:rPr>
          <w:rFonts w:ascii="Cambria" w:hAnsi="Cambria"/>
          <w:sz w:val="20"/>
          <w:szCs w:val="20"/>
        </w:rPr>
        <w:t>on</w:t>
      </w:r>
      <w:r w:rsidRPr="00D4638C">
        <w:rPr>
          <w:rFonts w:ascii="Cambria" w:hAnsi="Cambria"/>
          <w:sz w:val="20"/>
          <w:szCs w:val="20"/>
        </w:rPr>
        <w:t xml:space="preserve"> Violence against Women </w:t>
      </w:r>
      <w:r w:rsidR="00243C0F" w:rsidRPr="00D4638C">
        <w:rPr>
          <w:rFonts w:ascii="Cambria" w:hAnsi="Cambria"/>
          <w:sz w:val="20"/>
          <w:szCs w:val="20"/>
        </w:rPr>
        <w:t>conducted a training session with law enforcement officials of t</w:t>
      </w:r>
      <w:r w:rsidRPr="00D4638C">
        <w:rPr>
          <w:rFonts w:ascii="Cambria" w:hAnsi="Cambria"/>
          <w:sz w:val="20"/>
          <w:szCs w:val="20"/>
        </w:rPr>
        <w:t>he Castle Rock Police Department</w:t>
      </w:r>
      <w:r w:rsidR="00243C0F" w:rsidRPr="00D4638C">
        <w:rPr>
          <w:rFonts w:ascii="Cambria" w:hAnsi="Cambria"/>
          <w:sz w:val="20"/>
          <w:szCs w:val="20"/>
        </w:rPr>
        <w:t>.</w:t>
      </w:r>
      <w:r w:rsidR="004A6BCA" w:rsidRPr="00D4638C">
        <w:rPr>
          <w:rStyle w:val="FootnoteReference"/>
          <w:rFonts w:ascii="Cambria" w:hAnsi="Cambria"/>
          <w:sz w:val="20"/>
          <w:szCs w:val="20"/>
        </w:rPr>
        <w:footnoteReference w:id="8"/>
      </w:r>
      <w:r w:rsidRPr="00D4638C">
        <w:rPr>
          <w:rFonts w:ascii="Cambria" w:hAnsi="Cambria"/>
          <w:sz w:val="20"/>
          <w:szCs w:val="20"/>
        </w:rPr>
        <w:t xml:space="preserve"> </w:t>
      </w:r>
      <w:r w:rsidR="00A43128" w:rsidRPr="00D4638C">
        <w:rPr>
          <w:rFonts w:ascii="Cambria" w:hAnsi="Cambria"/>
          <w:sz w:val="20"/>
          <w:szCs w:val="20"/>
        </w:rPr>
        <w:t xml:space="preserve">On August 28, 2014, </w:t>
      </w:r>
      <w:r w:rsidR="00DD6EE8" w:rsidRPr="00D4638C">
        <w:rPr>
          <w:rFonts w:ascii="Cambria" w:hAnsi="Cambria"/>
          <w:sz w:val="20"/>
          <w:szCs w:val="20"/>
        </w:rPr>
        <w:t>a C</w:t>
      </w:r>
      <w:r w:rsidR="00A43128" w:rsidRPr="00D4638C">
        <w:rPr>
          <w:rFonts w:ascii="Cambria" w:hAnsi="Cambria"/>
          <w:sz w:val="20"/>
          <w:szCs w:val="20"/>
        </w:rPr>
        <w:t xml:space="preserve">olorado Senator sent a letter to Douglas County District Attorney General requesting an investigation into the Castle Rock Police </w:t>
      </w:r>
      <w:proofErr w:type="gramStart"/>
      <w:r w:rsidR="00A43128" w:rsidRPr="00D4638C">
        <w:rPr>
          <w:rFonts w:ascii="Cambria" w:hAnsi="Cambria"/>
          <w:sz w:val="20"/>
          <w:szCs w:val="20"/>
        </w:rPr>
        <w:t>Department’s</w:t>
      </w:r>
      <w:proofErr w:type="gramEnd"/>
      <w:r w:rsidR="00A43128" w:rsidRPr="00D4638C">
        <w:rPr>
          <w:rFonts w:ascii="Cambria" w:hAnsi="Cambria"/>
          <w:sz w:val="20"/>
          <w:szCs w:val="20"/>
        </w:rPr>
        <w:t xml:space="preserve"> policing failures in Ms. </w:t>
      </w:r>
      <w:proofErr w:type="spellStart"/>
      <w:r w:rsidR="00A43128" w:rsidRPr="00D4638C">
        <w:rPr>
          <w:rFonts w:ascii="Cambria" w:hAnsi="Cambria"/>
          <w:sz w:val="20"/>
          <w:szCs w:val="20"/>
        </w:rPr>
        <w:t>Lenahan’s</w:t>
      </w:r>
      <w:proofErr w:type="spellEnd"/>
      <w:r w:rsidR="00A43128" w:rsidRPr="00D4638C">
        <w:rPr>
          <w:rFonts w:ascii="Cambria" w:hAnsi="Cambria"/>
          <w:sz w:val="20"/>
          <w:szCs w:val="20"/>
        </w:rPr>
        <w:t xml:space="preserve"> case. </w:t>
      </w:r>
      <w:r w:rsidR="00D345E1" w:rsidRPr="00D4638C">
        <w:rPr>
          <w:rFonts w:ascii="Cambria" w:hAnsi="Cambria"/>
          <w:sz w:val="20"/>
          <w:szCs w:val="20"/>
        </w:rPr>
        <w:t>In 2018, the petitioners informed</w:t>
      </w:r>
      <w:r w:rsidR="00243C0F" w:rsidRPr="00D4638C">
        <w:rPr>
          <w:rFonts w:ascii="Cambria" w:hAnsi="Cambria"/>
          <w:sz w:val="20"/>
          <w:szCs w:val="20"/>
        </w:rPr>
        <w:t xml:space="preserve"> that</w:t>
      </w:r>
      <w:r w:rsidR="00D345E1" w:rsidRPr="00D4638C">
        <w:rPr>
          <w:rFonts w:ascii="Cambria" w:hAnsi="Cambria"/>
          <w:sz w:val="20"/>
          <w:szCs w:val="20"/>
        </w:rPr>
        <w:t xml:space="preserve"> </w:t>
      </w:r>
      <w:r w:rsidR="00243C0F" w:rsidRPr="00D4638C">
        <w:rPr>
          <w:rFonts w:ascii="Cambria" w:hAnsi="Cambria"/>
          <w:sz w:val="20"/>
          <w:szCs w:val="20"/>
        </w:rPr>
        <w:t>the U.S. Department of Justice, the State of Colorado and the Town of Castle Rock ha</w:t>
      </w:r>
      <w:r w:rsidR="00D345E1" w:rsidRPr="00D4638C">
        <w:rPr>
          <w:rFonts w:ascii="Cambria" w:hAnsi="Cambria"/>
          <w:sz w:val="20"/>
          <w:szCs w:val="20"/>
        </w:rPr>
        <w:t>d</w:t>
      </w:r>
      <w:r w:rsidR="00243C0F" w:rsidRPr="00D4638C">
        <w:rPr>
          <w:rFonts w:ascii="Cambria" w:hAnsi="Cambria"/>
          <w:sz w:val="20"/>
          <w:szCs w:val="20"/>
        </w:rPr>
        <w:t xml:space="preserve"> made no tangible progress regarding this recommendation.</w:t>
      </w:r>
      <w:r w:rsidR="0084192E" w:rsidRPr="00D4638C">
        <w:rPr>
          <w:rFonts w:ascii="Cambria" w:hAnsi="Cambria"/>
          <w:sz w:val="20"/>
          <w:szCs w:val="20"/>
        </w:rPr>
        <w:t xml:space="preserve"> </w:t>
      </w:r>
      <w:r w:rsidR="0084192E" w:rsidRPr="00D4638C">
        <w:rPr>
          <w:rFonts w:ascii="Cambria" w:hAnsi="Cambria"/>
          <w:color w:val="000000" w:themeColor="text1"/>
          <w:sz w:val="20"/>
          <w:szCs w:val="20"/>
        </w:rPr>
        <w:t xml:space="preserve">In 2020, the petitioners informed that there were no further developments to report regarding the compliance </w:t>
      </w:r>
      <w:r w:rsidR="00371264" w:rsidRPr="00D4638C">
        <w:rPr>
          <w:rFonts w:ascii="Cambria" w:hAnsi="Cambria"/>
          <w:color w:val="000000" w:themeColor="text1"/>
          <w:sz w:val="20"/>
          <w:szCs w:val="20"/>
        </w:rPr>
        <w:t xml:space="preserve">of </w:t>
      </w:r>
      <w:r w:rsidR="00371264" w:rsidRPr="00D4638C">
        <w:rPr>
          <w:rFonts w:ascii="Cambria" w:hAnsi="Cambria" w:cs="Calibri Light"/>
          <w:color w:val="000000" w:themeColor="text1"/>
          <w:sz w:val="20"/>
          <w:szCs w:val="20"/>
        </w:rPr>
        <w:t>IACHR</w:t>
      </w:r>
      <w:r w:rsidR="0084192E" w:rsidRPr="00D4638C">
        <w:rPr>
          <w:rFonts w:ascii="Cambria" w:hAnsi="Cambria" w:cs="Calibri Light"/>
          <w:color w:val="000000" w:themeColor="text1"/>
          <w:sz w:val="20"/>
          <w:szCs w:val="20"/>
        </w:rPr>
        <w:t xml:space="preserve"> </w:t>
      </w:r>
      <w:r w:rsidR="0084192E" w:rsidRPr="00D4638C">
        <w:rPr>
          <w:rFonts w:ascii="Cambria" w:hAnsi="Cambria"/>
          <w:color w:val="000000" w:themeColor="text1"/>
          <w:sz w:val="20"/>
          <w:szCs w:val="20"/>
        </w:rPr>
        <w:t>recommendations.</w:t>
      </w:r>
    </w:p>
    <w:p w14:paraId="62B0558A" w14:textId="77777777" w:rsidR="00243C0F" w:rsidRPr="00D4638C" w:rsidRDefault="00243C0F" w:rsidP="00243C0F">
      <w:pPr>
        <w:pStyle w:val="ListParagraph"/>
        <w:spacing w:after="0" w:line="240" w:lineRule="auto"/>
        <w:jc w:val="both"/>
        <w:rPr>
          <w:rFonts w:ascii="Cambria" w:hAnsi="Cambria"/>
          <w:sz w:val="20"/>
          <w:szCs w:val="20"/>
        </w:rPr>
      </w:pPr>
    </w:p>
    <w:p w14:paraId="39431E7E" w14:textId="49B23F01" w:rsidR="001E3B97" w:rsidRPr="00D4638C" w:rsidRDefault="002E69D1" w:rsidP="00854124">
      <w:pPr>
        <w:pStyle w:val="ListParagraph"/>
        <w:numPr>
          <w:ilvl w:val="0"/>
          <w:numId w:val="30"/>
        </w:numPr>
        <w:spacing w:after="0" w:line="240" w:lineRule="auto"/>
        <w:jc w:val="both"/>
        <w:rPr>
          <w:rFonts w:ascii="Cambria" w:hAnsi="Cambria"/>
          <w:b/>
          <w:sz w:val="20"/>
          <w:szCs w:val="20"/>
        </w:rPr>
      </w:pPr>
      <w:r w:rsidRPr="00D4638C">
        <w:rPr>
          <w:rFonts w:ascii="Cambria" w:hAnsi="Cambria"/>
          <w:sz w:val="20"/>
          <w:szCs w:val="20"/>
        </w:rPr>
        <w:t xml:space="preserve">The IACHR reiterates the inter-American standards related to the duty to investigate set out above in regards to Recommendation 1. Based on this, the Commission finds that Recommendation 2 is pending compliance. </w:t>
      </w:r>
    </w:p>
    <w:p w14:paraId="0ECA66C8" w14:textId="77777777" w:rsidR="001E3B97" w:rsidRPr="00D4638C" w:rsidRDefault="001E3B97" w:rsidP="001E3B97">
      <w:pPr>
        <w:pStyle w:val="ListParagraph"/>
        <w:rPr>
          <w:rFonts w:ascii="Cambria" w:hAnsi="Cambria"/>
          <w:b/>
          <w:sz w:val="20"/>
          <w:szCs w:val="20"/>
        </w:rPr>
      </w:pPr>
    </w:p>
    <w:p w14:paraId="53290B96" w14:textId="28E1222F" w:rsidR="00E03152" w:rsidRPr="00D4638C" w:rsidRDefault="00F61C05" w:rsidP="00854124">
      <w:pPr>
        <w:pStyle w:val="ListParagraph"/>
        <w:numPr>
          <w:ilvl w:val="0"/>
          <w:numId w:val="30"/>
        </w:numPr>
        <w:spacing w:after="0" w:line="240" w:lineRule="auto"/>
        <w:jc w:val="both"/>
        <w:rPr>
          <w:rFonts w:ascii="Cambria" w:hAnsi="Cambria"/>
          <w:sz w:val="20"/>
          <w:szCs w:val="20"/>
        </w:rPr>
      </w:pPr>
      <w:r w:rsidRPr="00D4638C">
        <w:rPr>
          <w:rFonts w:ascii="Cambria" w:hAnsi="Cambria"/>
          <w:b/>
          <w:sz w:val="20"/>
          <w:szCs w:val="20"/>
        </w:rPr>
        <w:t>With regard to</w:t>
      </w:r>
      <w:r w:rsidR="006072C0" w:rsidRPr="00D4638C">
        <w:rPr>
          <w:rFonts w:ascii="Cambria" w:hAnsi="Cambria"/>
          <w:b/>
          <w:sz w:val="20"/>
          <w:szCs w:val="20"/>
        </w:rPr>
        <w:t xml:space="preserve"> the third recommendation</w:t>
      </w:r>
      <w:r w:rsidR="006072C0" w:rsidRPr="00D4638C">
        <w:rPr>
          <w:rFonts w:ascii="Cambria" w:hAnsi="Cambria"/>
          <w:sz w:val="20"/>
          <w:szCs w:val="20"/>
        </w:rPr>
        <w:t xml:space="preserve">, </w:t>
      </w:r>
      <w:r w:rsidR="00F053D4" w:rsidRPr="00D4638C">
        <w:rPr>
          <w:rFonts w:ascii="Cambria" w:hAnsi="Cambria"/>
          <w:sz w:val="20"/>
          <w:szCs w:val="20"/>
        </w:rPr>
        <w:t>i</w:t>
      </w:r>
      <w:r w:rsidR="006072C0" w:rsidRPr="00D4638C">
        <w:rPr>
          <w:rFonts w:ascii="Cambria" w:hAnsi="Cambria"/>
          <w:sz w:val="20"/>
          <w:szCs w:val="20"/>
        </w:rPr>
        <w:t>n 2012, the State indicated that it did not have a</w:t>
      </w:r>
      <w:r w:rsidR="00361D8D" w:rsidRPr="00D4638C">
        <w:rPr>
          <w:rFonts w:ascii="Cambria" w:hAnsi="Cambria"/>
          <w:sz w:val="20"/>
          <w:szCs w:val="20"/>
        </w:rPr>
        <w:t>ny</w:t>
      </w:r>
      <w:r w:rsidR="006072C0" w:rsidRPr="00D4638C">
        <w:rPr>
          <w:rFonts w:ascii="Cambria" w:hAnsi="Cambria"/>
          <w:sz w:val="20"/>
          <w:szCs w:val="20"/>
        </w:rPr>
        <w:t xml:space="preserve"> legal authority to provide funds to Ms. </w:t>
      </w:r>
      <w:proofErr w:type="spellStart"/>
      <w:r w:rsidR="006072C0" w:rsidRPr="00D4638C">
        <w:rPr>
          <w:rFonts w:ascii="Cambria" w:hAnsi="Cambria"/>
          <w:sz w:val="20"/>
          <w:szCs w:val="20"/>
        </w:rPr>
        <w:t>Lenahan</w:t>
      </w:r>
      <w:proofErr w:type="spellEnd"/>
      <w:r w:rsidR="006072C0" w:rsidRPr="00D4638C">
        <w:rPr>
          <w:rFonts w:ascii="Cambria" w:hAnsi="Cambria"/>
          <w:sz w:val="20"/>
          <w:szCs w:val="20"/>
        </w:rPr>
        <w:t xml:space="preserve"> and her son absent an act of Congress</w:t>
      </w:r>
      <w:r w:rsidR="00D74A97" w:rsidRPr="00D4638C">
        <w:rPr>
          <w:rFonts w:ascii="Cambria" w:hAnsi="Cambria"/>
          <w:sz w:val="20"/>
          <w:szCs w:val="20"/>
        </w:rPr>
        <w:t xml:space="preserve"> </w:t>
      </w:r>
      <w:r w:rsidR="00B5791F" w:rsidRPr="00D4638C">
        <w:rPr>
          <w:rFonts w:ascii="Cambria" w:hAnsi="Cambria"/>
          <w:sz w:val="20"/>
          <w:szCs w:val="20"/>
        </w:rPr>
        <w:t>that so ordered</w:t>
      </w:r>
      <w:r w:rsidR="007E7C4C" w:rsidRPr="00D4638C">
        <w:rPr>
          <w:rFonts w:ascii="Cambria" w:hAnsi="Cambria"/>
          <w:sz w:val="20"/>
          <w:szCs w:val="20"/>
        </w:rPr>
        <w:t>.</w:t>
      </w:r>
      <w:r w:rsidR="004A6BCA" w:rsidRPr="00D4638C">
        <w:rPr>
          <w:rStyle w:val="FootnoteReference"/>
          <w:rFonts w:ascii="Cambria" w:hAnsi="Cambria"/>
          <w:sz w:val="20"/>
          <w:szCs w:val="20"/>
        </w:rPr>
        <w:footnoteReference w:id="9"/>
      </w:r>
      <w:r w:rsidR="007E7C4C" w:rsidRPr="00D4638C">
        <w:rPr>
          <w:rFonts w:ascii="Cambria" w:hAnsi="Cambria"/>
          <w:sz w:val="20"/>
          <w:szCs w:val="20"/>
        </w:rPr>
        <w:t xml:space="preserve"> </w:t>
      </w:r>
      <w:r w:rsidR="0051552E" w:rsidRPr="00D4638C">
        <w:rPr>
          <w:rFonts w:ascii="Cambria" w:hAnsi="Cambria" w:cstheme="majorHAnsi"/>
          <w:sz w:val="20"/>
          <w:szCs w:val="20"/>
        </w:rPr>
        <w:t>At</w:t>
      </w:r>
      <w:r w:rsidR="00FB04F3" w:rsidRPr="00D4638C">
        <w:rPr>
          <w:rFonts w:ascii="Cambria" w:hAnsi="Cambria" w:cstheme="majorHAnsi"/>
          <w:sz w:val="20"/>
          <w:szCs w:val="20"/>
        </w:rPr>
        <w:t xml:space="preserve"> the hearing held during the IACHR’s 153</w:t>
      </w:r>
      <w:r w:rsidR="00FB04F3" w:rsidRPr="00D4638C">
        <w:rPr>
          <w:rFonts w:ascii="Cambria" w:hAnsi="Cambria" w:cstheme="majorHAnsi"/>
          <w:sz w:val="20"/>
          <w:szCs w:val="20"/>
          <w:vertAlign w:val="superscript"/>
        </w:rPr>
        <w:t>rd</w:t>
      </w:r>
      <w:r w:rsidR="00FB04F3" w:rsidRPr="00D4638C">
        <w:rPr>
          <w:rFonts w:ascii="Cambria" w:hAnsi="Cambria" w:cstheme="majorHAnsi"/>
          <w:sz w:val="20"/>
          <w:szCs w:val="20"/>
        </w:rPr>
        <w:t xml:space="preserve"> Period of Sessions, the Sta</w:t>
      </w:r>
      <w:r w:rsidR="0051552E" w:rsidRPr="00D4638C">
        <w:rPr>
          <w:rFonts w:ascii="Cambria" w:hAnsi="Cambria" w:cstheme="majorHAnsi"/>
          <w:sz w:val="20"/>
          <w:szCs w:val="20"/>
        </w:rPr>
        <w:t>te reiterated the limitations of</w:t>
      </w:r>
      <w:r w:rsidR="00FB04F3" w:rsidRPr="00D4638C">
        <w:rPr>
          <w:rFonts w:ascii="Cambria" w:hAnsi="Cambria" w:cstheme="majorHAnsi"/>
          <w:sz w:val="20"/>
          <w:szCs w:val="20"/>
        </w:rPr>
        <w:t xml:space="preserve"> the U.S. federal system in relation to providing reparations.</w:t>
      </w:r>
      <w:r w:rsidR="004A6BCA" w:rsidRPr="00D4638C">
        <w:rPr>
          <w:rStyle w:val="FootnoteReference"/>
          <w:rFonts w:ascii="Cambria" w:hAnsi="Cambria" w:cstheme="majorHAnsi"/>
          <w:sz w:val="20"/>
          <w:szCs w:val="20"/>
        </w:rPr>
        <w:footnoteReference w:id="10"/>
      </w:r>
    </w:p>
    <w:p w14:paraId="350C108D" w14:textId="508FCB4A" w:rsidR="00D74A97" w:rsidRPr="00D4638C" w:rsidRDefault="00D74A97" w:rsidP="00D74A97">
      <w:pPr>
        <w:spacing w:after="0" w:line="240" w:lineRule="auto"/>
        <w:jc w:val="both"/>
        <w:rPr>
          <w:rFonts w:ascii="Cambria" w:hAnsi="Cambria"/>
          <w:sz w:val="20"/>
          <w:szCs w:val="20"/>
        </w:rPr>
      </w:pPr>
    </w:p>
    <w:p w14:paraId="36DE5179" w14:textId="339F47CD" w:rsidR="00BC56B1" w:rsidRPr="00D4638C" w:rsidRDefault="005C3939" w:rsidP="00BC56B1">
      <w:pPr>
        <w:pStyle w:val="ListParagraph"/>
        <w:numPr>
          <w:ilvl w:val="0"/>
          <w:numId w:val="30"/>
        </w:numPr>
        <w:spacing w:after="0" w:line="240" w:lineRule="auto"/>
        <w:jc w:val="both"/>
        <w:rPr>
          <w:rFonts w:ascii="Cambria" w:hAnsi="Cambria" w:cs="Calibri Light"/>
          <w:sz w:val="20"/>
          <w:szCs w:val="20"/>
        </w:rPr>
      </w:pPr>
      <w:r w:rsidRPr="00D4638C">
        <w:rPr>
          <w:rFonts w:ascii="Cambria" w:hAnsi="Cambria"/>
          <w:sz w:val="20"/>
          <w:szCs w:val="20"/>
        </w:rPr>
        <w:t xml:space="preserve">In 2012, the petitioners demanded a face-to-face </w:t>
      </w:r>
      <w:r w:rsidR="00361D8D" w:rsidRPr="00D4638C">
        <w:rPr>
          <w:rFonts w:ascii="Cambria" w:hAnsi="Cambria"/>
          <w:sz w:val="20"/>
          <w:szCs w:val="20"/>
        </w:rPr>
        <w:t xml:space="preserve">meeting </w:t>
      </w:r>
      <w:r w:rsidRPr="00D4638C">
        <w:rPr>
          <w:rFonts w:ascii="Cambria" w:hAnsi="Cambria"/>
          <w:sz w:val="20"/>
          <w:szCs w:val="20"/>
        </w:rPr>
        <w:t xml:space="preserve">and </w:t>
      </w:r>
      <w:r w:rsidR="00361D8D" w:rsidRPr="00D4638C">
        <w:rPr>
          <w:rFonts w:ascii="Cambria" w:hAnsi="Cambria"/>
          <w:sz w:val="20"/>
          <w:szCs w:val="20"/>
        </w:rPr>
        <w:t xml:space="preserve">a </w:t>
      </w:r>
      <w:r w:rsidRPr="00D4638C">
        <w:rPr>
          <w:rFonts w:ascii="Cambria" w:hAnsi="Cambria"/>
          <w:sz w:val="20"/>
          <w:szCs w:val="20"/>
        </w:rPr>
        <w:t xml:space="preserve">public apology, as well as </w:t>
      </w:r>
      <w:r w:rsidR="004A61EB" w:rsidRPr="00D4638C">
        <w:rPr>
          <w:rFonts w:ascii="Cambria" w:hAnsi="Cambria"/>
          <w:sz w:val="20"/>
          <w:szCs w:val="20"/>
        </w:rPr>
        <w:t xml:space="preserve">the </w:t>
      </w:r>
      <w:r w:rsidRPr="00D4638C">
        <w:rPr>
          <w:rFonts w:ascii="Cambria" w:hAnsi="Cambria"/>
          <w:sz w:val="20"/>
          <w:szCs w:val="20"/>
        </w:rPr>
        <w:t xml:space="preserve">payment of </w:t>
      </w:r>
      <w:r w:rsidR="001E3B97" w:rsidRPr="00D4638C">
        <w:rPr>
          <w:rFonts w:ascii="Cambria" w:hAnsi="Cambria"/>
          <w:sz w:val="20"/>
          <w:szCs w:val="20"/>
        </w:rPr>
        <w:t>financial compensation</w:t>
      </w:r>
      <w:r w:rsidRPr="00D4638C">
        <w:rPr>
          <w:rFonts w:ascii="Cambria" w:hAnsi="Cambria"/>
          <w:sz w:val="20"/>
          <w:szCs w:val="20"/>
        </w:rPr>
        <w:t>.</w:t>
      </w:r>
      <w:r w:rsidR="004A6BCA" w:rsidRPr="00D4638C">
        <w:rPr>
          <w:rStyle w:val="FootnoteReference"/>
          <w:rFonts w:ascii="Cambria" w:hAnsi="Cambria"/>
          <w:sz w:val="20"/>
          <w:szCs w:val="20"/>
        </w:rPr>
        <w:footnoteReference w:id="11"/>
      </w:r>
      <w:r w:rsidRPr="00D4638C">
        <w:rPr>
          <w:rFonts w:ascii="Cambria" w:hAnsi="Cambria"/>
          <w:sz w:val="20"/>
          <w:szCs w:val="20"/>
        </w:rPr>
        <w:t xml:space="preserve"> They also requested that the State explain in detail why it believe</w:t>
      </w:r>
      <w:r w:rsidR="00361D8D" w:rsidRPr="00D4638C">
        <w:rPr>
          <w:rFonts w:ascii="Cambria" w:hAnsi="Cambria"/>
          <w:sz w:val="20"/>
          <w:szCs w:val="20"/>
        </w:rPr>
        <w:t>d</w:t>
      </w:r>
      <w:r w:rsidR="004A61EB" w:rsidRPr="00D4638C">
        <w:rPr>
          <w:rFonts w:ascii="Cambria" w:hAnsi="Cambria"/>
          <w:sz w:val="20"/>
          <w:szCs w:val="20"/>
        </w:rPr>
        <w:t xml:space="preserve"> that</w:t>
      </w:r>
      <w:r w:rsidRPr="00D4638C">
        <w:rPr>
          <w:rFonts w:ascii="Cambria" w:hAnsi="Cambria"/>
          <w:sz w:val="20"/>
          <w:szCs w:val="20"/>
        </w:rPr>
        <w:t xml:space="preserve"> reparations </w:t>
      </w:r>
      <w:r w:rsidR="00361D8D" w:rsidRPr="00D4638C">
        <w:rPr>
          <w:rFonts w:ascii="Cambria" w:hAnsi="Cambria"/>
          <w:sz w:val="20"/>
          <w:szCs w:val="20"/>
        </w:rPr>
        <w:t>we</w:t>
      </w:r>
      <w:r w:rsidR="00B0367E" w:rsidRPr="00D4638C">
        <w:rPr>
          <w:rFonts w:ascii="Cambria" w:hAnsi="Cambria"/>
          <w:sz w:val="20"/>
          <w:szCs w:val="20"/>
        </w:rPr>
        <w:t xml:space="preserve">re not available to </w:t>
      </w:r>
      <w:proofErr w:type="gramStart"/>
      <w:r w:rsidR="00B0367E" w:rsidRPr="00D4638C">
        <w:rPr>
          <w:rFonts w:ascii="Cambria" w:hAnsi="Cambria"/>
          <w:sz w:val="20"/>
          <w:szCs w:val="20"/>
        </w:rPr>
        <w:t xml:space="preserve">be </w:t>
      </w:r>
      <w:r w:rsidRPr="00D4638C">
        <w:rPr>
          <w:rFonts w:ascii="Cambria" w:hAnsi="Cambria"/>
          <w:sz w:val="20"/>
          <w:szCs w:val="20"/>
        </w:rPr>
        <w:t>paid</w:t>
      </w:r>
      <w:proofErr w:type="gramEnd"/>
      <w:r w:rsidRPr="00D4638C">
        <w:rPr>
          <w:rFonts w:ascii="Cambria" w:hAnsi="Cambria"/>
          <w:sz w:val="20"/>
          <w:szCs w:val="20"/>
        </w:rPr>
        <w:t xml:space="preserve"> at the federal, state </w:t>
      </w:r>
      <w:r w:rsidR="00361D8D" w:rsidRPr="00D4638C">
        <w:rPr>
          <w:rFonts w:ascii="Cambria" w:hAnsi="Cambria"/>
          <w:sz w:val="20"/>
          <w:szCs w:val="20"/>
        </w:rPr>
        <w:t xml:space="preserve">or </w:t>
      </w:r>
      <w:r w:rsidRPr="00D4638C">
        <w:rPr>
          <w:rFonts w:ascii="Cambria" w:hAnsi="Cambria"/>
          <w:sz w:val="20"/>
          <w:szCs w:val="20"/>
        </w:rPr>
        <w:t>local levels.</w:t>
      </w:r>
      <w:r w:rsidR="004A6BCA" w:rsidRPr="00D4638C">
        <w:rPr>
          <w:rStyle w:val="FootnoteReference"/>
          <w:rFonts w:ascii="Cambria" w:hAnsi="Cambria"/>
          <w:sz w:val="20"/>
          <w:szCs w:val="20"/>
        </w:rPr>
        <w:footnoteReference w:id="12"/>
      </w:r>
      <w:r w:rsidR="004A61EB" w:rsidRPr="00D4638C">
        <w:rPr>
          <w:rFonts w:ascii="Cambria" w:hAnsi="Cambria"/>
          <w:sz w:val="20"/>
          <w:szCs w:val="20"/>
        </w:rPr>
        <w:t xml:space="preserve"> </w:t>
      </w:r>
      <w:r w:rsidR="004A61EB" w:rsidRPr="00D4638C">
        <w:rPr>
          <w:rFonts w:ascii="Cambria" w:hAnsi="Cambria"/>
          <w:color w:val="000000" w:themeColor="text1"/>
          <w:sz w:val="20"/>
          <w:szCs w:val="20"/>
        </w:rPr>
        <w:t xml:space="preserve">In </w:t>
      </w:r>
      <w:r w:rsidR="0007171B" w:rsidRPr="00D4638C">
        <w:rPr>
          <w:rFonts w:ascii="Cambria" w:hAnsi="Cambria"/>
          <w:color w:val="000000" w:themeColor="text1"/>
          <w:sz w:val="20"/>
          <w:szCs w:val="20"/>
        </w:rPr>
        <w:t>2020</w:t>
      </w:r>
      <w:r w:rsidR="004A61EB" w:rsidRPr="00D4638C">
        <w:rPr>
          <w:rFonts w:ascii="Cambria" w:hAnsi="Cambria"/>
          <w:color w:val="000000" w:themeColor="text1"/>
          <w:sz w:val="20"/>
          <w:szCs w:val="20"/>
        </w:rPr>
        <w:t xml:space="preserve">, the petitioners </w:t>
      </w:r>
      <w:r w:rsidR="00DD47B8" w:rsidRPr="00D4638C">
        <w:rPr>
          <w:rFonts w:ascii="Cambria" w:hAnsi="Cambria"/>
          <w:color w:val="000000" w:themeColor="text1"/>
          <w:sz w:val="20"/>
          <w:szCs w:val="20"/>
        </w:rPr>
        <w:t>reiterated</w:t>
      </w:r>
      <w:r w:rsidR="004A61EB" w:rsidRPr="00D4638C">
        <w:rPr>
          <w:rFonts w:ascii="Cambria" w:hAnsi="Cambria"/>
          <w:color w:val="000000" w:themeColor="text1"/>
          <w:sz w:val="20"/>
          <w:szCs w:val="20"/>
        </w:rPr>
        <w:t xml:space="preserve"> that the State has not taken actions to comply with this recommendation.</w:t>
      </w:r>
      <w:r w:rsidR="001E3B97" w:rsidRPr="00D4638C">
        <w:rPr>
          <w:rFonts w:ascii="Cambria" w:hAnsi="Cambria"/>
          <w:color w:val="000000" w:themeColor="text1"/>
          <w:sz w:val="20"/>
          <w:szCs w:val="20"/>
        </w:rPr>
        <w:t xml:space="preserve"> </w:t>
      </w:r>
    </w:p>
    <w:p w14:paraId="2B4E1E80" w14:textId="77777777" w:rsidR="001E3B97" w:rsidRPr="00D4638C" w:rsidRDefault="001E3B97" w:rsidP="001E3B97">
      <w:pPr>
        <w:spacing w:after="0" w:line="240" w:lineRule="auto"/>
        <w:jc w:val="both"/>
        <w:rPr>
          <w:rFonts w:ascii="Cambria" w:hAnsi="Cambria"/>
          <w:sz w:val="20"/>
          <w:szCs w:val="20"/>
        </w:rPr>
      </w:pPr>
    </w:p>
    <w:p w14:paraId="27725D86" w14:textId="3D079A9A" w:rsidR="005976E1" w:rsidRPr="00D4638C" w:rsidRDefault="005976E1" w:rsidP="00854124">
      <w:pPr>
        <w:pStyle w:val="ListParagraph"/>
        <w:numPr>
          <w:ilvl w:val="0"/>
          <w:numId w:val="30"/>
        </w:numPr>
        <w:spacing w:after="0" w:line="240" w:lineRule="auto"/>
        <w:jc w:val="both"/>
        <w:rPr>
          <w:rFonts w:ascii="Cambria" w:hAnsi="Cambria"/>
          <w:sz w:val="20"/>
          <w:szCs w:val="20"/>
        </w:rPr>
      </w:pPr>
      <w:r w:rsidRPr="00D4638C">
        <w:rPr>
          <w:rFonts w:ascii="Cambria" w:hAnsi="Cambria"/>
          <w:sz w:val="20"/>
          <w:szCs w:val="20"/>
        </w:rPr>
        <w:t>The Commission notes with concern that the State</w:t>
      </w:r>
      <w:r w:rsidR="007C4F91" w:rsidRPr="00D4638C">
        <w:rPr>
          <w:rFonts w:ascii="Cambria" w:hAnsi="Cambria"/>
          <w:sz w:val="20"/>
          <w:szCs w:val="20"/>
        </w:rPr>
        <w:t xml:space="preserve"> has not provided Ms. </w:t>
      </w:r>
      <w:proofErr w:type="spellStart"/>
      <w:r w:rsidR="007C4F91" w:rsidRPr="00D4638C">
        <w:rPr>
          <w:rFonts w:ascii="Cambria" w:hAnsi="Cambria"/>
          <w:sz w:val="20"/>
          <w:szCs w:val="20"/>
        </w:rPr>
        <w:t>Lenahan</w:t>
      </w:r>
      <w:proofErr w:type="spellEnd"/>
      <w:r w:rsidR="007C4F91" w:rsidRPr="00D4638C">
        <w:rPr>
          <w:rFonts w:ascii="Cambria" w:hAnsi="Cambria"/>
          <w:sz w:val="20"/>
          <w:szCs w:val="20"/>
        </w:rPr>
        <w:t xml:space="preserve"> and her next-of-kin with reparations. </w:t>
      </w:r>
      <w:r w:rsidRPr="00D4638C">
        <w:rPr>
          <w:rFonts w:ascii="Cambria" w:hAnsi="Cambria" w:cs="Calibri Light"/>
          <w:sz w:val="20"/>
          <w:szCs w:val="20"/>
        </w:rPr>
        <w:t xml:space="preserve">The Commission reminds the State that it is a principle of international law that any breach of an international obligation </w:t>
      </w:r>
      <w:r w:rsidRPr="00D4638C">
        <w:rPr>
          <w:rFonts w:ascii="Cambria" w:hAnsi="Cambria"/>
          <w:sz w:val="20"/>
          <w:szCs w:val="20"/>
        </w:rPr>
        <w:t xml:space="preserve">resulting in harm gives rise to the duty </w:t>
      </w:r>
      <w:proofErr w:type="gramStart"/>
      <w:r w:rsidRPr="00D4638C">
        <w:rPr>
          <w:rFonts w:ascii="Cambria" w:hAnsi="Cambria"/>
          <w:sz w:val="20"/>
          <w:szCs w:val="20"/>
        </w:rPr>
        <w:t>to adequately redress</w:t>
      </w:r>
      <w:proofErr w:type="gramEnd"/>
      <w:r w:rsidRPr="00D4638C">
        <w:rPr>
          <w:rFonts w:ascii="Cambria" w:hAnsi="Cambria"/>
          <w:sz w:val="20"/>
          <w:szCs w:val="20"/>
        </w:rPr>
        <w:t xml:space="preserve"> such harm.</w:t>
      </w:r>
      <w:r w:rsidRPr="00D4638C">
        <w:rPr>
          <w:rStyle w:val="FootnoteReference"/>
          <w:rFonts w:ascii="Cambria" w:hAnsi="Cambria"/>
          <w:sz w:val="20"/>
          <w:szCs w:val="20"/>
        </w:rPr>
        <w:footnoteReference w:id="13"/>
      </w:r>
      <w:r w:rsidRPr="00D4638C">
        <w:rPr>
          <w:rFonts w:ascii="Cambria" w:hAnsi="Cambria"/>
          <w:sz w:val="20"/>
          <w:szCs w:val="20"/>
        </w:rPr>
        <w:t xml:space="preserve"> In accordance with the jurisprudence of the inter-American system, victims of human rights violations have the right to adequate compensation for the harm suffered, which must </w:t>
      </w:r>
      <w:r w:rsidR="00361D8D" w:rsidRPr="00D4638C">
        <w:rPr>
          <w:rFonts w:ascii="Cambria" w:hAnsi="Cambria"/>
          <w:sz w:val="20"/>
          <w:szCs w:val="20"/>
        </w:rPr>
        <w:t xml:space="preserve">materialize into </w:t>
      </w:r>
      <w:r w:rsidRPr="00D4638C">
        <w:rPr>
          <w:rFonts w:ascii="Cambria" w:hAnsi="Cambria"/>
          <w:sz w:val="20"/>
          <w:szCs w:val="20"/>
        </w:rPr>
        <w:t xml:space="preserve">individual measures aimed at restoring, compensating and rehabilitating the victim, as well as </w:t>
      </w:r>
      <w:r w:rsidR="00361D8D" w:rsidRPr="00D4638C">
        <w:rPr>
          <w:rFonts w:ascii="Cambria" w:hAnsi="Cambria"/>
          <w:sz w:val="20"/>
          <w:szCs w:val="20"/>
        </w:rPr>
        <w:t xml:space="preserve">measures of </w:t>
      </w:r>
      <w:r w:rsidRPr="00D4638C">
        <w:rPr>
          <w:rFonts w:ascii="Cambria" w:hAnsi="Cambria"/>
          <w:sz w:val="20"/>
          <w:szCs w:val="20"/>
        </w:rPr>
        <w:t xml:space="preserve">satisfaction and guarantees of </w:t>
      </w:r>
      <w:r w:rsidRPr="00D4638C">
        <w:rPr>
          <w:rFonts w:ascii="Cambria" w:hAnsi="Cambria"/>
          <w:sz w:val="20"/>
          <w:szCs w:val="20"/>
        </w:rPr>
        <w:lastRenderedPageBreak/>
        <w:t>non-repetition.</w:t>
      </w:r>
      <w:r w:rsidRPr="00D4638C">
        <w:rPr>
          <w:rStyle w:val="FootnoteReference"/>
          <w:rFonts w:ascii="Cambria" w:hAnsi="Cambria"/>
          <w:sz w:val="20"/>
          <w:szCs w:val="20"/>
        </w:rPr>
        <w:footnoteReference w:id="14"/>
      </w:r>
      <w:r w:rsidRPr="00D4638C">
        <w:rPr>
          <w:rFonts w:ascii="Cambria" w:hAnsi="Cambria"/>
          <w:sz w:val="20"/>
          <w:szCs w:val="20"/>
        </w:rPr>
        <w:t xml:space="preserve"> Further, a State cannot modify or disregard this obligation by relying on its domestic law.</w:t>
      </w:r>
      <w:r w:rsidRPr="00D4638C">
        <w:rPr>
          <w:rStyle w:val="FootnoteReference"/>
          <w:rFonts w:ascii="Cambria" w:hAnsi="Cambria"/>
          <w:sz w:val="20"/>
          <w:szCs w:val="20"/>
        </w:rPr>
        <w:footnoteReference w:id="15"/>
      </w:r>
      <w:r w:rsidRPr="00D4638C">
        <w:rPr>
          <w:rFonts w:ascii="Cambria" w:hAnsi="Cambria"/>
          <w:sz w:val="20"/>
          <w:szCs w:val="20"/>
        </w:rPr>
        <w:t xml:space="preserve"> Based on the foregoing, the Commission finds that Recommendation </w:t>
      </w:r>
      <w:r w:rsidR="00700AA2" w:rsidRPr="00D4638C">
        <w:rPr>
          <w:rFonts w:ascii="Cambria" w:hAnsi="Cambria"/>
          <w:sz w:val="20"/>
          <w:szCs w:val="20"/>
        </w:rPr>
        <w:t>3</w:t>
      </w:r>
      <w:r w:rsidRPr="00D4638C">
        <w:rPr>
          <w:rFonts w:ascii="Cambria" w:hAnsi="Cambria"/>
          <w:sz w:val="20"/>
          <w:szCs w:val="20"/>
        </w:rPr>
        <w:t xml:space="preserve"> is pending compliance. </w:t>
      </w:r>
    </w:p>
    <w:p w14:paraId="7668BF50" w14:textId="77777777" w:rsidR="00AA1637" w:rsidRPr="00D4638C" w:rsidRDefault="00AA1637" w:rsidP="000773A9">
      <w:pPr>
        <w:pStyle w:val="ListParagraph"/>
        <w:spacing w:after="0" w:line="240" w:lineRule="auto"/>
        <w:jc w:val="both"/>
        <w:rPr>
          <w:rFonts w:ascii="Cambria" w:hAnsi="Cambria"/>
          <w:sz w:val="20"/>
          <w:szCs w:val="20"/>
        </w:rPr>
      </w:pPr>
    </w:p>
    <w:p w14:paraId="112EB8DE" w14:textId="682E267C" w:rsidR="00F61C05" w:rsidRPr="00D4638C" w:rsidRDefault="00F61C05" w:rsidP="00563B7A">
      <w:pPr>
        <w:pStyle w:val="ListParagraph"/>
        <w:numPr>
          <w:ilvl w:val="0"/>
          <w:numId w:val="30"/>
        </w:numPr>
        <w:spacing w:after="0" w:line="240" w:lineRule="auto"/>
        <w:jc w:val="both"/>
        <w:rPr>
          <w:rFonts w:ascii="Cambria" w:hAnsi="Cambria"/>
          <w:sz w:val="20"/>
          <w:szCs w:val="20"/>
        </w:rPr>
      </w:pPr>
      <w:r w:rsidRPr="00D4638C">
        <w:rPr>
          <w:rFonts w:ascii="Cambria" w:hAnsi="Cambria"/>
          <w:b/>
          <w:sz w:val="20"/>
          <w:szCs w:val="20"/>
        </w:rPr>
        <w:t>Regarding the fourth recommendation</w:t>
      </w:r>
      <w:r w:rsidRPr="00D4638C">
        <w:rPr>
          <w:rFonts w:ascii="Cambria" w:hAnsi="Cambria"/>
          <w:sz w:val="20"/>
          <w:szCs w:val="20"/>
        </w:rPr>
        <w:t xml:space="preserve">, in 2012, the State pointed out that improving the criminal justice response to crimes of violence against women </w:t>
      </w:r>
      <w:r w:rsidR="00361D8D" w:rsidRPr="00D4638C">
        <w:rPr>
          <w:rFonts w:ascii="Cambria" w:hAnsi="Cambria"/>
          <w:sz w:val="20"/>
          <w:szCs w:val="20"/>
        </w:rPr>
        <w:t>wa</w:t>
      </w:r>
      <w:r w:rsidRPr="00D4638C">
        <w:rPr>
          <w:rFonts w:ascii="Cambria" w:hAnsi="Cambria"/>
          <w:sz w:val="20"/>
          <w:szCs w:val="20"/>
        </w:rPr>
        <w:t xml:space="preserve">s the core mission of the </w:t>
      </w:r>
      <w:r w:rsidRPr="00D4638C">
        <w:rPr>
          <w:rFonts w:ascii="Cambria" w:hAnsi="Cambria" w:cstheme="majorHAnsi"/>
          <w:sz w:val="20"/>
          <w:szCs w:val="20"/>
        </w:rPr>
        <w:t>Office o</w:t>
      </w:r>
      <w:r w:rsidR="00D345E1" w:rsidRPr="00D4638C">
        <w:rPr>
          <w:rFonts w:ascii="Cambria" w:hAnsi="Cambria" w:cstheme="majorHAnsi"/>
          <w:sz w:val="20"/>
          <w:szCs w:val="20"/>
        </w:rPr>
        <w:t>n</w:t>
      </w:r>
      <w:r w:rsidRPr="00D4638C">
        <w:rPr>
          <w:rFonts w:ascii="Cambria" w:hAnsi="Cambria" w:cstheme="majorHAnsi"/>
          <w:sz w:val="20"/>
          <w:szCs w:val="20"/>
        </w:rPr>
        <w:t xml:space="preserve"> Violence against Women (</w:t>
      </w:r>
      <w:r w:rsidRPr="00D4638C">
        <w:rPr>
          <w:rFonts w:ascii="Cambria" w:hAnsi="Cambria"/>
          <w:sz w:val="20"/>
          <w:szCs w:val="20"/>
        </w:rPr>
        <w:t xml:space="preserve">OVW), and the issuance and enforcement of protection orders </w:t>
      </w:r>
      <w:r w:rsidR="00361D8D" w:rsidRPr="00D4638C">
        <w:rPr>
          <w:rFonts w:ascii="Cambria" w:hAnsi="Cambria"/>
          <w:sz w:val="20"/>
          <w:szCs w:val="20"/>
        </w:rPr>
        <w:t>wa</w:t>
      </w:r>
      <w:r w:rsidRPr="00D4638C">
        <w:rPr>
          <w:rFonts w:ascii="Cambria" w:hAnsi="Cambria"/>
          <w:sz w:val="20"/>
          <w:szCs w:val="20"/>
        </w:rPr>
        <w:t>s a significant activity of communit</w:t>
      </w:r>
      <w:r w:rsidR="00215ECA" w:rsidRPr="00D4638C">
        <w:rPr>
          <w:rFonts w:ascii="Cambria" w:hAnsi="Cambria"/>
          <w:sz w:val="20"/>
          <w:szCs w:val="20"/>
        </w:rPr>
        <w:t>ies and entities funded by OVW.</w:t>
      </w:r>
      <w:r w:rsidRPr="00D4638C">
        <w:rPr>
          <w:rFonts w:ascii="Cambria" w:hAnsi="Cambria"/>
          <w:sz w:val="20"/>
          <w:szCs w:val="20"/>
        </w:rPr>
        <w:t xml:space="preserve"> According to the State, in the six-month reporting period from July to December 2011, jurisdictions receiving funding from OVW granted 301,902 protection orders, and, in direct response to this case, Congress added a new statutory purpose area to the STOP </w:t>
      </w:r>
      <w:r w:rsidR="008F247D" w:rsidRPr="00D4638C">
        <w:rPr>
          <w:rFonts w:ascii="Cambria" w:hAnsi="Cambria"/>
          <w:sz w:val="20"/>
          <w:szCs w:val="20"/>
        </w:rPr>
        <w:t xml:space="preserve">Violence </w:t>
      </w:r>
      <w:proofErr w:type="gramStart"/>
      <w:r w:rsidR="008F247D" w:rsidRPr="00D4638C">
        <w:rPr>
          <w:rFonts w:ascii="Cambria" w:hAnsi="Cambria"/>
          <w:sz w:val="20"/>
          <w:szCs w:val="20"/>
        </w:rPr>
        <w:t>Against</w:t>
      </w:r>
      <w:proofErr w:type="gramEnd"/>
      <w:r w:rsidR="008F247D" w:rsidRPr="00D4638C">
        <w:rPr>
          <w:rFonts w:ascii="Cambria" w:hAnsi="Cambria"/>
          <w:sz w:val="20"/>
          <w:szCs w:val="20"/>
        </w:rPr>
        <w:t xml:space="preserve"> Women Formula Grant P</w:t>
      </w:r>
      <w:r w:rsidRPr="00D4638C">
        <w:rPr>
          <w:rFonts w:ascii="Cambria" w:hAnsi="Cambria"/>
          <w:sz w:val="20"/>
          <w:szCs w:val="20"/>
        </w:rPr>
        <w:t>rogram in the Violence ag</w:t>
      </w:r>
      <w:r w:rsidR="00AE3794" w:rsidRPr="00D4638C">
        <w:rPr>
          <w:rFonts w:ascii="Cambria" w:hAnsi="Cambria"/>
          <w:sz w:val="20"/>
          <w:szCs w:val="20"/>
        </w:rPr>
        <w:t>ainst Women Act (VAWA) of 2005.</w:t>
      </w:r>
      <w:r w:rsidRPr="00D4638C">
        <w:rPr>
          <w:rFonts w:ascii="Cambria" w:hAnsi="Cambria"/>
          <w:sz w:val="20"/>
          <w:szCs w:val="20"/>
        </w:rPr>
        <w:t xml:space="preserve"> This ha</w:t>
      </w:r>
      <w:r w:rsidR="00361D8D" w:rsidRPr="00D4638C">
        <w:rPr>
          <w:rFonts w:ascii="Cambria" w:hAnsi="Cambria"/>
          <w:sz w:val="20"/>
          <w:szCs w:val="20"/>
        </w:rPr>
        <w:t>d</w:t>
      </w:r>
      <w:r w:rsidRPr="00D4638C">
        <w:rPr>
          <w:rFonts w:ascii="Cambria" w:hAnsi="Cambria"/>
          <w:sz w:val="20"/>
          <w:szCs w:val="20"/>
        </w:rPr>
        <w:t xml:space="preserve"> allowed states to use STOP funds to place special victim assistants, known as “Jessica Gonzales Victim Assistants,” in local law enforcement agencies, in order to improve the enforcement of protection orders.  </w:t>
      </w:r>
      <w:proofErr w:type="gramStart"/>
      <w:r w:rsidRPr="00D4638C">
        <w:rPr>
          <w:rFonts w:ascii="Cambria" w:hAnsi="Cambria"/>
          <w:sz w:val="20"/>
          <w:szCs w:val="20"/>
        </w:rPr>
        <w:t>The State observed that OVW ha</w:t>
      </w:r>
      <w:r w:rsidR="00361D8D" w:rsidRPr="00D4638C">
        <w:rPr>
          <w:rFonts w:ascii="Cambria" w:hAnsi="Cambria"/>
          <w:sz w:val="20"/>
          <w:szCs w:val="20"/>
        </w:rPr>
        <w:t>d</w:t>
      </w:r>
      <w:r w:rsidRPr="00D4638C">
        <w:rPr>
          <w:rFonts w:ascii="Cambria" w:hAnsi="Cambria"/>
          <w:sz w:val="20"/>
          <w:szCs w:val="20"/>
        </w:rPr>
        <w:t xml:space="preserve"> also implemented a host of </w:t>
      </w:r>
      <w:r w:rsidR="00886D90" w:rsidRPr="00D4638C">
        <w:rPr>
          <w:rFonts w:ascii="Cambria" w:hAnsi="Cambria"/>
          <w:sz w:val="20"/>
          <w:szCs w:val="20"/>
        </w:rPr>
        <w:t>training and technical assistanc</w:t>
      </w:r>
      <w:r w:rsidRPr="00D4638C">
        <w:rPr>
          <w:rFonts w:ascii="Cambria" w:hAnsi="Cambria"/>
          <w:sz w:val="20"/>
          <w:szCs w:val="20"/>
        </w:rPr>
        <w:t>e projects aimed at increasing the enforcement of protection orders and improving the response to violence against women, such as the National Center for Full Faith and Credit, Project Passport, the publication of the manual “Civil Protection Orders:</w:t>
      </w:r>
      <w:r w:rsidR="00886D90" w:rsidRPr="00D4638C">
        <w:rPr>
          <w:rFonts w:ascii="Cambria" w:hAnsi="Cambria"/>
          <w:sz w:val="20"/>
          <w:szCs w:val="20"/>
        </w:rPr>
        <w:t xml:space="preserve"> A Guide for Improving Practice</w:t>
      </w:r>
      <w:r w:rsidRPr="00D4638C">
        <w:rPr>
          <w:rFonts w:ascii="Cambria" w:hAnsi="Cambria"/>
          <w:sz w:val="20"/>
          <w:szCs w:val="20"/>
        </w:rPr>
        <w:t>”</w:t>
      </w:r>
      <w:r w:rsidR="00886D90" w:rsidRPr="00D4638C">
        <w:rPr>
          <w:rFonts w:ascii="Cambria" w:hAnsi="Cambria"/>
          <w:sz w:val="20"/>
          <w:szCs w:val="20"/>
        </w:rPr>
        <w:t>,</w:t>
      </w:r>
      <w:r w:rsidRPr="00D4638C">
        <w:rPr>
          <w:rFonts w:ascii="Cambria" w:hAnsi="Cambria"/>
          <w:sz w:val="20"/>
          <w:szCs w:val="20"/>
        </w:rPr>
        <w:t xml:space="preserve"> Blueprint for Safety Initiative, Lethality Assessment TA Project, Danger Assessment and R</w:t>
      </w:r>
      <w:r w:rsidR="00886D90" w:rsidRPr="00D4638C">
        <w:rPr>
          <w:rFonts w:ascii="Cambria" w:hAnsi="Cambria"/>
          <w:sz w:val="20"/>
          <w:szCs w:val="20"/>
        </w:rPr>
        <w:t>isk Management Training Project</w:t>
      </w:r>
      <w:r w:rsidRPr="00D4638C">
        <w:rPr>
          <w:rFonts w:ascii="Cambria" w:hAnsi="Cambria"/>
          <w:sz w:val="20"/>
          <w:szCs w:val="20"/>
        </w:rPr>
        <w:t>.</w:t>
      </w:r>
      <w:r w:rsidR="004A6BCA" w:rsidRPr="00D4638C">
        <w:rPr>
          <w:rStyle w:val="FootnoteReference"/>
          <w:rFonts w:ascii="Cambria" w:hAnsi="Cambria"/>
          <w:sz w:val="20"/>
          <w:szCs w:val="20"/>
        </w:rPr>
        <w:footnoteReference w:id="16"/>
      </w:r>
      <w:proofErr w:type="gramEnd"/>
      <w:r w:rsidRPr="00D4638C">
        <w:rPr>
          <w:rFonts w:ascii="Cambria" w:hAnsi="Cambria"/>
          <w:sz w:val="20"/>
          <w:szCs w:val="20"/>
        </w:rPr>
        <w:t xml:space="preserve"> </w:t>
      </w:r>
      <w:r w:rsidR="00361D8D" w:rsidRPr="00D4638C">
        <w:rPr>
          <w:rFonts w:ascii="Cambria" w:hAnsi="Cambria" w:cs="Calibri Light"/>
          <w:color w:val="000000" w:themeColor="text1"/>
          <w:sz w:val="20"/>
          <w:szCs w:val="20"/>
        </w:rPr>
        <w:t xml:space="preserve">In </w:t>
      </w:r>
      <w:r w:rsidR="0007171B" w:rsidRPr="00D4638C">
        <w:rPr>
          <w:rFonts w:ascii="Cambria" w:hAnsi="Cambria" w:cs="Calibri Light"/>
          <w:color w:val="000000" w:themeColor="text1"/>
          <w:sz w:val="20"/>
          <w:szCs w:val="20"/>
        </w:rPr>
        <w:t>2020</w:t>
      </w:r>
      <w:r w:rsidR="00361D8D" w:rsidRPr="00D4638C">
        <w:rPr>
          <w:rFonts w:ascii="Cambria" w:hAnsi="Cambria" w:cs="Calibri Light"/>
          <w:color w:val="000000" w:themeColor="text1"/>
          <w:sz w:val="20"/>
          <w:szCs w:val="20"/>
        </w:rPr>
        <w:t>, the State reiterated its earlier responses regarding the recommendations of Merits Report No. 80/11, without mentioning any efforts undertaken this year in order to comply with them.</w:t>
      </w:r>
      <w:r w:rsidR="00BC56B1" w:rsidRPr="00D4638C">
        <w:rPr>
          <w:rFonts w:ascii="Cambria" w:hAnsi="Cambria" w:cs="Calibri Light"/>
          <w:color w:val="000000" w:themeColor="text1"/>
          <w:sz w:val="20"/>
          <w:szCs w:val="20"/>
        </w:rPr>
        <w:t xml:space="preserve"> </w:t>
      </w:r>
    </w:p>
    <w:p w14:paraId="03547F50" w14:textId="77777777" w:rsidR="00A810E0" w:rsidRPr="00D4638C" w:rsidRDefault="00A810E0" w:rsidP="00A810E0">
      <w:pPr>
        <w:pStyle w:val="ListParagraph"/>
        <w:spacing w:after="0" w:line="240" w:lineRule="auto"/>
        <w:jc w:val="both"/>
        <w:rPr>
          <w:rFonts w:ascii="Cambria" w:hAnsi="Cambria"/>
          <w:sz w:val="20"/>
          <w:szCs w:val="20"/>
        </w:rPr>
      </w:pPr>
    </w:p>
    <w:p w14:paraId="51317016" w14:textId="77777777" w:rsidR="00A810E0" w:rsidRPr="00D4638C" w:rsidRDefault="008F29B0" w:rsidP="00A810E0">
      <w:pPr>
        <w:pStyle w:val="ListParagraph"/>
        <w:numPr>
          <w:ilvl w:val="0"/>
          <w:numId w:val="30"/>
        </w:numPr>
        <w:spacing w:after="0" w:line="240" w:lineRule="auto"/>
        <w:jc w:val="both"/>
        <w:rPr>
          <w:rFonts w:ascii="Cambria" w:hAnsi="Cambria"/>
          <w:color w:val="000000" w:themeColor="text1"/>
          <w:sz w:val="20"/>
          <w:szCs w:val="20"/>
        </w:rPr>
      </w:pPr>
      <w:r w:rsidRPr="00D4638C">
        <w:rPr>
          <w:rFonts w:ascii="Cambria" w:hAnsi="Cambria"/>
          <w:sz w:val="20"/>
          <w:szCs w:val="20"/>
        </w:rPr>
        <w:t>In 2018, the petitioners informed that</w:t>
      </w:r>
      <w:r w:rsidR="000F2151" w:rsidRPr="00D4638C">
        <w:rPr>
          <w:rFonts w:ascii="Cambria" w:hAnsi="Cambria"/>
          <w:sz w:val="20"/>
          <w:szCs w:val="20"/>
        </w:rPr>
        <w:t xml:space="preserve"> Douglas County, which is the county in which Castle Rock is located in Colorado, adopted a </w:t>
      </w:r>
      <w:r w:rsidR="00A54FF4" w:rsidRPr="00D4638C">
        <w:rPr>
          <w:rFonts w:ascii="Cambria" w:hAnsi="Cambria"/>
          <w:sz w:val="20"/>
          <w:szCs w:val="20"/>
        </w:rPr>
        <w:t>lethality assessment program in 2016</w:t>
      </w:r>
      <w:r w:rsidR="000F2151" w:rsidRPr="00D4638C">
        <w:rPr>
          <w:rFonts w:ascii="Cambria" w:hAnsi="Cambria"/>
          <w:sz w:val="20"/>
          <w:szCs w:val="20"/>
        </w:rPr>
        <w:t xml:space="preserve">, </w:t>
      </w:r>
      <w:r w:rsidR="0037212A" w:rsidRPr="00D4638C">
        <w:rPr>
          <w:rFonts w:ascii="Cambria" w:hAnsi="Cambria"/>
          <w:sz w:val="20"/>
          <w:szCs w:val="20"/>
        </w:rPr>
        <w:t xml:space="preserve">through which </w:t>
      </w:r>
      <w:r w:rsidR="000F2151" w:rsidRPr="00D4638C">
        <w:rPr>
          <w:rFonts w:ascii="Cambria" w:hAnsi="Cambria"/>
          <w:sz w:val="20"/>
          <w:szCs w:val="20"/>
        </w:rPr>
        <w:t xml:space="preserve">law enforcement officials evaluate the potential threat to potential victims of domestic </w:t>
      </w:r>
      <w:r w:rsidR="00271308" w:rsidRPr="00D4638C">
        <w:rPr>
          <w:rFonts w:ascii="Cambria" w:hAnsi="Cambria"/>
          <w:sz w:val="20"/>
          <w:szCs w:val="20"/>
        </w:rPr>
        <w:t xml:space="preserve">violence </w:t>
      </w:r>
      <w:r w:rsidR="0051552E" w:rsidRPr="00D4638C">
        <w:rPr>
          <w:rFonts w:ascii="Cambria" w:hAnsi="Cambria"/>
          <w:sz w:val="20"/>
          <w:szCs w:val="20"/>
        </w:rPr>
        <w:t>and</w:t>
      </w:r>
      <w:r w:rsidR="0037212A" w:rsidRPr="00D4638C">
        <w:rPr>
          <w:rFonts w:ascii="Cambria" w:hAnsi="Cambria"/>
          <w:sz w:val="20"/>
          <w:szCs w:val="20"/>
        </w:rPr>
        <w:t>, if necessary,</w:t>
      </w:r>
      <w:r w:rsidR="0051552E" w:rsidRPr="00D4638C">
        <w:rPr>
          <w:rFonts w:ascii="Cambria" w:hAnsi="Cambria"/>
          <w:sz w:val="20"/>
          <w:szCs w:val="20"/>
        </w:rPr>
        <w:t xml:space="preserve"> subsequently adopt preventive measures to protect women from imminent acts of violence</w:t>
      </w:r>
      <w:r w:rsidR="000F2151" w:rsidRPr="00D4638C">
        <w:rPr>
          <w:rFonts w:ascii="Cambria" w:hAnsi="Cambria"/>
          <w:sz w:val="20"/>
          <w:szCs w:val="20"/>
        </w:rPr>
        <w:t>.</w:t>
      </w:r>
      <w:r w:rsidR="00A54FF4" w:rsidRPr="00D4638C">
        <w:rPr>
          <w:rStyle w:val="FootnoteReference"/>
          <w:rFonts w:ascii="Cambria" w:hAnsi="Cambria"/>
          <w:sz w:val="20"/>
          <w:szCs w:val="20"/>
        </w:rPr>
        <w:footnoteReference w:id="17"/>
      </w:r>
      <w:r w:rsidR="00A54FF4" w:rsidRPr="00D4638C">
        <w:rPr>
          <w:rFonts w:ascii="Cambria" w:hAnsi="Cambria"/>
          <w:sz w:val="20"/>
          <w:szCs w:val="20"/>
        </w:rPr>
        <w:t xml:space="preserve"> </w:t>
      </w:r>
      <w:r w:rsidR="000F2151" w:rsidRPr="00D4638C">
        <w:rPr>
          <w:rFonts w:ascii="Cambria" w:hAnsi="Cambria"/>
          <w:sz w:val="20"/>
          <w:szCs w:val="20"/>
        </w:rPr>
        <w:t xml:space="preserve">The petitioners suggested that </w:t>
      </w:r>
      <w:r w:rsidR="00A54FF4" w:rsidRPr="00D4638C">
        <w:rPr>
          <w:rFonts w:ascii="Cambria" w:hAnsi="Cambria"/>
          <w:sz w:val="20"/>
          <w:szCs w:val="20"/>
        </w:rPr>
        <w:t>Castle Rock</w:t>
      </w:r>
      <w:r w:rsidR="000F2151" w:rsidRPr="00D4638C">
        <w:rPr>
          <w:rFonts w:ascii="Cambria" w:hAnsi="Cambria"/>
          <w:sz w:val="20"/>
          <w:szCs w:val="20"/>
        </w:rPr>
        <w:t>,</w:t>
      </w:r>
      <w:r w:rsidR="00A54FF4" w:rsidRPr="00D4638C">
        <w:rPr>
          <w:rFonts w:ascii="Cambria" w:hAnsi="Cambria"/>
          <w:sz w:val="20"/>
          <w:szCs w:val="20"/>
        </w:rPr>
        <w:t xml:space="preserve"> Douglas County</w:t>
      </w:r>
      <w:r w:rsidR="000F2151" w:rsidRPr="00D4638C">
        <w:rPr>
          <w:rFonts w:ascii="Cambria" w:hAnsi="Cambria"/>
          <w:sz w:val="20"/>
          <w:szCs w:val="20"/>
        </w:rPr>
        <w:t xml:space="preserve"> and the state of </w:t>
      </w:r>
      <w:r w:rsidR="00A54FF4" w:rsidRPr="00D4638C">
        <w:rPr>
          <w:rFonts w:ascii="Cambria" w:hAnsi="Cambria"/>
          <w:sz w:val="20"/>
          <w:szCs w:val="20"/>
        </w:rPr>
        <w:t>Colorado</w:t>
      </w:r>
      <w:r w:rsidR="000F2151" w:rsidRPr="00D4638C">
        <w:rPr>
          <w:rFonts w:ascii="Cambria" w:hAnsi="Cambria"/>
          <w:sz w:val="20"/>
          <w:szCs w:val="20"/>
        </w:rPr>
        <w:t xml:space="preserve"> in general </w:t>
      </w:r>
      <w:r w:rsidR="00A54FF4" w:rsidRPr="00D4638C">
        <w:rPr>
          <w:rFonts w:ascii="Cambria" w:hAnsi="Cambria"/>
          <w:sz w:val="20"/>
          <w:szCs w:val="20"/>
        </w:rPr>
        <w:t>could easily build upon this important development by meaningfully implementing the DOJ Guidance into police department policies, pra</w:t>
      </w:r>
      <w:r w:rsidR="000F2151" w:rsidRPr="00D4638C">
        <w:rPr>
          <w:rFonts w:ascii="Cambria" w:hAnsi="Cambria"/>
          <w:sz w:val="20"/>
          <w:szCs w:val="20"/>
        </w:rPr>
        <w:t>ctice</w:t>
      </w:r>
      <w:r w:rsidR="00A54FF4" w:rsidRPr="00D4638C">
        <w:rPr>
          <w:rFonts w:ascii="Cambria" w:hAnsi="Cambria"/>
          <w:sz w:val="20"/>
          <w:szCs w:val="20"/>
        </w:rPr>
        <w:t xml:space="preserve"> and public messaging.</w:t>
      </w:r>
      <w:r w:rsidR="000F2151" w:rsidRPr="00D4638C">
        <w:rPr>
          <w:rFonts w:ascii="Cambria" w:hAnsi="Cambria"/>
          <w:sz w:val="20"/>
          <w:szCs w:val="20"/>
        </w:rPr>
        <w:t xml:space="preserve"> </w:t>
      </w:r>
      <w:r w:rsidR="00A810E0" w:rsidRPr="00D4638C">
        <w:rPr>
          <w:rFonts w:ascii="Cambria" w:hAnsi="Cambria"/>
          <w:color w:val="000000" w:themeColor="text1"/>
          <w:sz w:val="20"/>
          <w:szCs w:val="20"/>
        </w:rPr>
        <w:t xml:space="preserve">In 2020, the petitioners informed that there were no further developments to report regarding the compliance of the </w:t>
      </w:r>
      <w:r w:rsidR="00A810E0" w:rsidRPr="00D4638C">
        <w:rPr>
          <w:rFonts w:ascii="Cambria" w:hAnsi="Cambria" w:cs="Calibri Light"/>
          <w:color w:val="000000" w:themeColor="text1"/>
          <w:sz w:val="20"/>
          <w:szCs w:val="20"/>
        </w:rPr>
        <w:t xml:space="preserve">IACHR </w:t>
      </w:r>
      <w:r w:rsidR="00A810E0" w:rsidRPr="00D4638C">
        <w:rPr>
          <w:rFonts w:ascii="Cambria" w:hAnsi="Cambria"/>
          <w:color w:val="000000" w:themeColor="text1"/>
          <w:sz w:val="20"/>
          <w:szCs w:val="20"/>
        </w:rPr>
        <w:t>recommendations.</w:t>
      </w:r>
    </w:p>
    <w:p w14:paraId="4247F896" w14:textId="77777777" w:rsidR="00D519EA" w:rsidRPr="00D4638C" w:rsidRDefault="00D519EA" w:rsidP="00D519EA">
      <w:pPr>
        <w:pStyle w:val="ListParagraph"/>
        <w:spacing w:after="0" w:line="240" w:lineRule="auto"/>
        <w:jc w:val="both"/>
        <w:rPr>
          <w:rFonts w:ascii="Cambria" w:hAnsi="Cambria"/>
          <w:sz w:val="20"/>
          <w:szCs w:val="20"/>
        </w:rPr>
      </w:pPr>
    </w:p>
    <w:p w14:paraId="46300890" w14:textId="4B3E9F14" w:rsidR="00A54FF4" w:rsidRPr="00D4638C" w:rsidRDefault="0051552E" w:rsidP="00854124">
      <w:pPr>
        <w:pStyle w:val="ListParagraph"/>
        <w:numPr>
          <w:ilvl w:val="0"/>
          <w:numId w:val="30"/>
        </w:numPr>
        <w:spacing w:after="0" w:line="240" w:lineRule="auto"/>
        <w:jc w:val="both"/>
        <w:rPr>
          <w:rFonts w:ascii="Cambria" w:hAnsi="Cambria"/>
          <w:sz w:val="20"/>
          <w:szCs w:val="20"/>
        </w:rPr>
      </w:pPr>
      <w:r w:rsidRPr="00D4638C">
        <w:rPr>
          <w:rFonts w:ascii="Cambria" w:hAnsi="Cambria" w:cstheme="majorHAnsi"/>
          <w:sz w:val="20"/>
          <w:szCs w:val="20"/>
        </w:rPr>
        <w:t>The Commission values the information presented by the petitioners in 2018 regarding measures adopted by the State to protect women from imminent acts of violence.</w:t>
      </w:r>
      <w:r w:rsidR="0077007D" w:rsidRPr="00D4638C">
        <w:rPr>
          <w:rFonts w:ascii="Cambria" w:hAnsi="Cambria" w:cstheme="majorHAnsi"/>
          <w:sz w:val="20"/>
          <w:szCs w:val="20"/>
        </w:rPr>
        <w:t xml:space="preserve"> </w:t>
      </w:r>
      <w:r w:rsidR="00A54FF4" w:rsidRPr="00D4638C">
        <w:rPr>
          <w:rFonts w:ascii="Cambria" w:hAnsi="Cambria" w:cstheme="majorHAnsi"/>
          <w:sz w:val="20"/>
          <w:szCs w:val="20"/>
        </w:rPr>
        <w:t xml:space="preserve">Based on this, the Commission finds that Recommendations 4 </w:t>
      </w:r>
      <w:proofErr w:type="gramStart"/>
      <w:r w:rsidR="00361D8D" w:rsidRPr="00D4638C">
        <w:rPr>
          <w:rFonts w:ascii="Cambria" w:hAnsi="Cambria" w:cstheme="majorHAnsi"/>
          <w:sz w:val="20"/>
          <w:szCs w:val="20"/>
        </w:rPr>
        <w:t>ha</w:t>
      </w:r>
      <w:r w:rsidR="0077007D" w:rsidRPr="00D4638C">
        <w:rPr>
          <w:rFonts w:ascii="Cambria" w:hAnsi="Cambria" w:cstheme="majorHAnsi"/>
          <w:sz w:val="20"/>
          <w:szCs w:val="20"/>
        </w:rPr>
        <w:t xml:space="preserve">s </w:t>
      </w:r>
      <w:r w:rsidR="00361D8D" w:rsidRPr="00D4638C">
        <w:rPr>
          <w:rFonts w:ascii="Cambria" w:hAnsi="Cambria" w:cstheme="majorHAnsi"/>
          <w:sz w:val="20"/>
          <w:szCs w:val="20"/>
        </w:rPr>
        <w:t xml:space="preserve">been </w:t>
      </w:r>
      <w:r w:rsidR="0077007D" w:rsidRPr="00D4638C">
        <w:rPr>
          <w:rFonts w:ascii="Cambria" w:hAnsi="Cambria" w:cstheme="majorHAnsi"/>
          <w:sz w:val="20"/>
          <w:szCs w:val="20"/>
        </w:rPr>
        <w:t>partially complied</w:t>
      </w:r>
      <w:proofErr w:type="gramEnd"/>
      <w:r w:rsidR="00361D8D" w:rsidRPr="00D4638C">
        <w:rPr>
          <w:rFonts w:ascii="Cambria" w:hAnsi="Cambria" w:cstheme="majorHAnsi"/>
          <w:sz w:val="20"/>
          <w:szCs w:val="20"/>
        </w:rPr>
        <w:t xml:space="preserve"> with</w:t>
      </w:r>
      <w:r w:rsidR="0077007D" w:rsidRPr="00D4638C">
        <w:rPr>
          <w:rFonts w:ascii="Cambria" w:hAnsi="Cambria" w:cstheme="majorHAnsi"/>
          <w:sz w:val="20"/>
          <w:szCs w:val="20"/>
        </w:rPr>
        <w:t xml:space="preserve">. </w:t>
      </w:r>
    </w:p>
    <w:p w14:paraId="4876D931" w14:textId="77777777" w:rsidR="00F61C05" w:rsidRPr="00D4638C" w:rsidRDefault="00F61C05" w:rsidP="00F61C05">
      <w:pPr>
        <w:pStyle w:val="ListParagraph"/>
        <w:spacing w:after="0" w:line="240" w:lineRule="auto"/>
        <w:jc w:val="both"/>
        <w:rPr>
          <w:rFonts w:ascii="Cambria" w:hAnsi="Cambria"/>
          <w:sz w:val="20"/>
          <w:szCs w:val="20"/>
        </w:rPr>
      </w:pPr>
    </w:p>
    <w:p w14:paraId="175464D1" w14:textId="55E9CA66" w:rsidR="005060DB" w:rsidRPr="00D4638C" w:rsidRDefault="00F61C05" w:rsidP="00854124">
      <w:pPr>
        <w:pStyle w:val="ListParagraph"/>
        <w:numPr>
          <w:ilvl w:val="0"/>
          <w:numId w:val="30"/>
        </w:numPr>
        <w:spacing w:after="0" w:line="240" w:lineRule="auto"/>
        <w:jc w:val="both"/>
        <w:rPr>
          <w:rFonts w:ascii="Cambria" w:hAnsi="Cambria"/>
          <w:color w:val="FF0000"/>
          <w:sz w:val="20"/>
          <w:szCs w:val="20"/>
        </w:rPr>
      </w:pPr>
      <w:proofErr w:type="gramStart"/>
      <w:r w:rsidRPr="00D4638C">
        <w:rPr>
          <w:rFonts w:ascii="Cambria" w:hAnsi="Cambria"/>
          <w:b/>
          <w:sz w:val="20"/>
          <w:szCs w:val="20"/>
        </w:rPr>
        <w:t>With regard to the fifth recommendation</w:t>
      </w:r>
      <w:r w:rsidRPr="00D4638C">
        <w:rPr>
          <w:rFonts w:ascii="Cambria" w:hAnsi="Cambria"/>
          <w:sz w:val="20"/>
          <w:szCs w:val="20"/>
        </w:rPr>
        <w:t xml:space="preserve">, in 2012, </w:t>
      </w:r>
      <w:r w:rsidRPr="00D4638C">
        <w:rPr>
          <w:rFonts w:ascii="Cambria" w:hAnsi="Cambria" w:cstheme="majorHAnsi"/>
          <w:bCs/>
          <w:sz w:val="20"/>
          <w:szCs w:val="20"/>
        </w:rPr>
        <w:t>the State informed that OVW ha</w:t>
      </w:r>
      <w:r w:rsidR="00192556" w:rsidRPr="00D4638C">
        <w:rPr>
          <w:rFonts w:ascii="Cambria" w:hAnsi="Cambria" w:cstheme="majorHAnsi"/>
          <w:bCs/>
          <w:sz w:val="20"/>
          <w:szCs w:val="20"/>
        </w:rPr>
        <w:t>d</w:t>
      </w:r>
      <w:r w:rsidRPr="00D4638C">
        <w:rPr>
          <w:rFonts w:ascii="Cambria" w:hAnsi="Cambria" w:cstheme="majorHAnsi"/>
          <w:bCs/>
          <w:sz w:val="20"/>
          <w:szCs w:val="20"/>
        </w:rPr>
        <w:t xml:space="preserve"> held a series of focus groups </w:t>
      </w:r>
      <w:r w:rsidR="00192556" w:rsidRPr="00D4638C">
        <w:rPr>
          <w:rFonts w:ascii="Cambria" w:hAnsi="Cambria" w:cstheme="majorHAnsi"/>
          <w:bCs/>
          <w:sz w:val="20"/>
          <w:szCs w:val="20"/>
        </w:rPr>
        <w:t xml:space="preserve">to explore </w:t>
      </w:r>
      <w:r w:rsidRPr="00D4638C">
        <w:rPr>
          <w:rFonts w:ascii="Cambria" w:hAnsi="Cambria" w:cstheme="majorHAnsi"/>
          <w:bCs/>
          <w:sz w:val="20"/>
          <w:szCs w:val="20"/>
        </w:rPr>
        <w:t>issues around custody and safety for women and children, which resulted in OVW’s decision to undertake a new demonstration initiative: the Family Court Demonstration Initiative (FC</w:t>
      </w:r>
      <w:r w:rsidR="008A77BE" w:rsidRPr="00D4638C">
        <w:rPr>
          <w:rFonts w:ascii="Cambria" w:hAnsi="Cambria" w:cstheme="majorHAnsi"/>
          <w:bCs/>
          <w:sz w:val="20"/>
          <w:szCs w:val="20"/>
        </w:rPr>
        <w:t xml:space="preserve">DI), the goal of which </w:t>
      </w:r>
      <w:r w:rsidR="00361D8D" w:rsidRPr="00D4638C">
        <w:rPr>
          <w:rFonts w:ascii="Cambria" w:hAnsi="Cambria" w:cstheme="majorHAnsi"/>
          <w:bCs/>
          <w:sz w:val="20"/>
          <w:szCs w:val="20"/>
        </w:rPr>
        <w:t>wa</w:t>
      </w:r>
      <w:r w:rsidR="008A77BE" w:rsidRPr="00D4638C">
        <w:rPr>
          <w:rFonts w:ascii="Cambria" w:hAnsi="Cambria" w:cstheme="majorHAnsi"/>
          <w:bCs/>
          <w:sz w:val="20"/>
          <w:szCs w:val="20"/>
        </w:rPr>
        <w:t>s to determine what family court procedures, practices and structures related to custody and visitation c</w:t>
      </w:r>
      <w:r w:rsidR="00361D8D" w:rsidRPr="00D4638C">
        <w:rPr>
          <w:rFonts w:ascii="Cambria" w:hAnsi="Cambria" w:cstheme="majorHAnsi"/>
          <w:bCs/>
          <w:sz w:val="20"/>
          <w:szCs w:val="20"/>
        </w:rPr>
        <w:t>ould</w:t>
      </w:r>
      <w:r w:rsidR="008A77BE" w:rsidRPr="00D4638C">
        <w:rPr>
          <w:rFonts w:ascii="Cambria" w:hAnsi="Cambria" w:cstheme="majorHAnsi"/>
          <w:bCs/>
          <w:sz w:val="20"/>
          <w:szCs w:val="20"/>
        </w:rPr>
        <w:t xml:space="preserve"> help keep victims of domestic violence and their children safe from further violence and trauma</w:t>
      </w:r>
      <w:r w:rsidR="00041DD3" w:rsidRPr="00D4638C">
        <w:rPr>
          <w:rFonts w:ascii="Cambria" w:hAnsi="Cambria" w:cstheme="majorHAnsi"/>
          <w:bCs/>
          <w:sz w:val="20"/>
          <w:szCs w:val="20"/>
        </w:rPr>
        <w:t>.</w:t>
      </w:r>
      <w:r w:rsidR="004A6BCA" w:rsidRPr="00D4638C">
        <w:rPr>
          <w:rStyle w:val="FootnoteReference"/>
          <w:rFonts w:ascii="Cambria" w:hAnsi="Cambria" w:cstheme="majorHAnsi"/>
          <w:bCs/>
          <w:sz w:val="20"/>
          <w:szCs w:val="20"/>
        </w:rPr>
        <w:footnoteReference w:id="18"/>
      </w:r>
      <w:proofErr w:type="gramEnd"/>
      <w:r w:rsidRPr="00D4638C">
        <w:rPr>
          <w:rFonts w:ascii="Cambria" w:hAnsi="Cambria" w:cstheme="majorHAnsi"/>
          <w:bCs/>
          <w:sz w:val="20"/>
          <w:szCs w:val="20"/>
        </w:rPr>
        <w:t xml:space="preserve"> </w:t>
      </w:r>
      <w:r w:rsidR="00A810E0" w:rsidRPr="00D4638C">
        <w:rPr>
          <w:rFonts w:ascii="Cambria" w:hAnsi="Cambria" w:cs="Calibri Light"/>
          <w:color w:val="000000" w:themeColor="text1"/>
          <w:sz w:val="20"/>
          <w:szCs w:val="20"/>
        </w:rPr>
        <w:t>In 2020, the State reiterated its earlier responses regarding the recommendations of Merits Report No. 80/11, without mentioning any efforts undertaken this year in order to comply with them.</w:t>
      </w:r>
    </w:p>
    <w:p w14:paraId="4106AB17" w14:textId="3B8F33AB" w:rsidR="00D74A97" w:rsidRPr="00D4638C" w:rsidRDefault="00D74A97" w:rsidP="00D74A97">
      <w:pPr>
        <w:spacing w:after="0" w:line="240" w:lineRule="auto"/>
        <w:jc w:val="both"/>
        <w:rPr>
          <w:rFonts w:ascii="Cambria" w:hAnsi="Cambria"/>
          <w:sz w:val="20"/>
          <w:szCs w:val="20"/>
        </w:rPr>
      </w:pPr>
    </w:p>
    <w:p w14:paraId="0E68B0E4" w14:textId="239878D5" w:rsidR="005060DB" w:rsidRPr="00D4638C" w:rsidRDefault="005273D9" w:rsidP="00854124">
      <w:pPr>
        <w:pStyle w:val="ListParagraph"/>
        <w:numPr>
          <w:ilvl w:val="0"/>
          <w:numId w:val="30"/>
        </w:numPr>
        <w:spacing w:after="0" w:line="240" w:lineRule="auto"/>
        <w:jc w:val="both"/>
        <w:rPr>
          <w:rFonts w:ascii="Cambria" w:hAnsi="Cambria"/>
          <w:sz w:val="20"/>
          <w:szCs w:val="20"/>
        </w:rPr>
      </w:pPr>
      <w:r w:rsidRPr="00D4638C">
        <w:rPr>
          <w:rFonts w:ascii="Cambria" w:hAnsi="Cambria"/>
          <w:sz w:val="20"/>
          <w:szCs w:val="20"/>
        </w:rPr>
        <w:t xml:space="preserve">The petitioners have not presented specific information about actions adopted by the State to comply with this recommendation. </w:t>
      </w:r>
    </w:p>
    <w:p w14:paraId="6156E3F5" w14:textId="77777777" w:rsidR="005060DB" w:rsidRPr="00D4638C" w:rsidRDefault="005060DB" w:rsidP="005060DB">
      <w:pPr>
        <w:pStyle w:val="ListParagraph"/>
        <w:spacing w:after="0" w:line="240" w:lineRule="auto"/>
        <w:jc w:val="both"/>
        <w:rPr>
          <w:rFonts w:ascii="Cambria" w:hAnsi="Cambria"/>
          <w:sz w:val="20"/>
          <w:szCs w:val="20"/>
        </w:rPr>
      </w:pPr>
    </w:p>
    <w:p w14:paraId="078CBAAD" w14:textId="48EF7ADB" w:rsidR="008D429A" w:rsidRPr="00D4638C" w:rsidRDefault="005273D9" w:rsidP="00854124">
      <w:pPr>
        <w:pStyle w:val="ListParagraph"/>
        <w:numPr>
          <w:ilvl w:val="0"/>
          <w:numId w:val="30"/>
        </w:numPr>
        <w:spacing w:after="0" w:line="240" w:lineRule="auto"/>
        <w:jc w:val="both"/>
        <w:rPr>
          <w:rFonts w:ascii="Cambria" w:hAnsi="Cambria"/>
          <w:sz w:val="20"/>
          <w:szCs w:val="20"/>
        </w:rPr>
      </w:pPr>
      <w:r w:rsidRPr="00D4638C">
        <w:rPr>
          <w:rFonts w:ascii="Cambria" w:hAnsi="Cambria"/>
          <w:sz w:val="20"/>
          <w:szCs w:val="20"/>
        </w:rPr>
        <w:lastRenderedPageBreak/>
        <w:t xml:space="preserve">The Commission notes the information previously presented by the State regarding actions </w:t>
      </w:r>
      <w:r w:rsidR="002B6BAC" w:rsidRPr="00D4638C">
        <w:rPr>
          <w:rFonts w:ascii="Cambria" w:hAnsi="Cambria"/>
          <w:sz w:val="20"/>
          <w:szCs w:val="20"/>
        </w:rPr>
        <w:t xml:space="preserve">adopted to protect children in the context of domestic violence. </w:t>
      </w:r>
      <w:r w:rsidR="008D429A" w:rsidRPr="00D4638C">
        <w:rPr>
          <w:rFonts w:ascii="Cambria" w:hAnsi="Cambria" w:cs="Calibri Light"/>
          <w:sz w:val="20"/>
          <w:szCs w:val="20"/>
        </w:rPr>
        <w:t xml:space="preserve">However, the Commission notes that the State has not presented detailed and up to date information on actions taken to comply with this recommendation since 2012. </w:t>
      </w:r>
      <w:r w:rsidR="008D429A" w:rsidRPr="00D4638C">
        <w:rPr>
          <w:rFonts w:ascii="Cambria" w:hAnsi="Cambria" w:cstheme="majorHAnsi"/>
          <w:sz w:val="20"/>
          <w:szCs w:val="20"/>
        </w:rPr>
        <w:t xml:space="preserve">Based on this, the Commission finds that Recommendations 5 </w:t>
      </w:r>
      <w:proofErr w:type="gramStart"/>
      <w:r w:rsidR="00361D8D" w:rsidRPr="00D4638C">
        <w:rPr>
          <w:rFonts w:ascii="Cambria" w:hAnsi="Cambria" w:cstheme="majorHAnsi"/>
          <w:sz w:val="20"/>
          <w:szCs w:val="20"/>
        </w:rPr>
        <w:t>ha</w:t>
      </w:r>
      <w:r w:rsidR="008D429A" w:rsidRPr="00D4638C">
        <w:rPr>
          <w:rFonts w:ascii="Cambria" w:hAnsi="Cambria" w:cstheme="majorHAnsi"/>
          <w:sz w:val="20"/>
          <w:szCs w:val="20"/>
        </w:rPr>
        <w:t xml:space="preserve">s </w:t>
      </w:r>
      <w:r w:rsidR="00361D8D" w:rsidRPr="00D4638C">
        <w:rPr>
          <w:rFonts w:ascii="Cambria" w:hAnsi="Cambria" w:cstheme="majorHAnsi"/>
          <w:sz w:val="20"/>
          <w:szCs w:val="20"/>
        </w:rPr>
        <w:t xml:space="preserve">been </w:t>
      </w:r>
      <w:r w:rsidR="008D429A" w:rsidRPr="00D4638C">
        <w:rPr>
          <w:rFonts w:ascii="Cambria" w:hAnsi="Cambria" w:cstheme="majorHAnsi"/>
          <w:sz w:val="20"/>
          <w:szCs w:val="20"/>
        </w:rPr>
        <w:t>partially complied</w:t>
      </w:r>
      <w:proofErr w:type="gramEnd"/>
      <w:r w:rsidR="00361D8D" w:rsidRPr="00D4638C">
        <w:rPr>
          <w:rFonts w:ascii="Cambria" w:hAnsi="Cambria" w:cstheme="majorHAnsi"/>
          <w:sz w:val="20"/>
          <w:szCs w:val="20"/>
        </w:rPr>
        <w:t xml:space="preserve"> with</w:t>
      </w:r>
      <w:r w:rsidR="008D429A" w:rsidRPr="00D4638C">
        <w:rPr>
          <w:rFonts w:ascii="Cambria" w:hAnsi="Cambria" w:cstheme="majorHAnsi"/>
          <w:sz w:val="20"/>
          <w:szCs w:val="20"/>
        </w:rPr>
        <w:t xml:space="preserve">. </w:t>
      </w:r>
    </w:p>
    <w:p w14:paraId="2417196C" w14:textId="77777777" w:rsidR="00923C63" w:rsidRPr="00D4638C" w:rsidRDefault="00923C63" w:rsidP="00923C63">
      <w:pPr>
        <w:pStyle w:val="ListParagraph"/>
        <w:spacing w:after="0" w:line="240" w:lineRule="auto"/>
        <w:jc w:val="both"/>
        <w:rPr>
          <w:rFonts w:ascii="Cambria" w:hAnsi="Cambria"/>
          <w:sz w:val="20"/>
          <w:szCs w:val="20"/>
        </w:rPr>
      </w:pPr>
    </w:p>
    <w:p w14:paraId="28370575" w14:textId="77C3D3C3" w:rsidR="005060DB" w:rsidRPr="00D4638C" w:rsidRDefault="005060DB" w:rsidP="00854124">
      <w:pPr>
        <w:pStyle w:val="ListParagraph"/>
        <w:numPr>
          <w:ilvl w:val="0"/>
          <w:numId w:val="30"/>
        </w:numPr>
        <w:spacing w:after="0" w:line="240" w:lineRule="auto"/>
        <w:jc w:val="both"/>
        <w:rPr>
          <w:rFonts w:ascii="Cambria" w:hAnsi="Cambria"/>
          <w:sz w:val="20"/>
          <w:szCs w:val="20"/>
        </w:rPr>
      </w:pPr>
      <w:r w:rsidRPr="00D4638C">
        <w:rPr>
          <w:rFonts w:ascii="Cambria" w:hAnsi="Cambria"/>
          <w:b/>
          <w:sz w:val="20"/>
          <w:szCs w:val="20"/>
        </w:rPr>
        <w:t>Regarding the sixth recommendation</w:t>
      </w:r>
      <w:r w:rsidRPr="00D4638C">
        <w:rPr>
          <w:rFonts w:ascii="Cambria" w:hAnsi="Cambria"/>
          <w:sz w:val="20"/>
          <w:szCs w:val="20"/>
        </w:rPr>
        <w:t xml:space="preserve">, in 2012, </w:t>
      </w:r>
      <w:r w:rsidRPr="00D4638C">
        <w:rPr>
          <w:rFonts w:ascii="Cambria" w:hAnsi="Cambria" w:cstheme="majorHAnsi"/>
          <w:bCs/>
          <w:sz w:val="20"/>
          <w:szCs w:val="20"/>
        </w:rPr>
        <w:t xml:space="preserve">the State asserted that the Department of Justice’s Civil Rights Division </w:t>
      </w:r>
      <w:r w:rsidR="00327B24" w:rsidRPr="00D4638C">
        <w:rPr>
          <w:rFonts w:ascii="Cambria" w:hAnsi="Cambria" w:cstheme="majorHAnsi"/>
          <w:bCs/>
          <w:sz w:val="20"/>
          <w:szCs w:val="20"/>
        </w:rPr>
        <w:t>was</w:t>
      </w:r>
      <w:r w:rsidRPr="00D4638C">
        <w:rPr>
          <w:rFonts w:ascii="Cambria" w:hAnsi="Cambria" w:cstheme="majorHAnsi"/>
          <w:bCs/>
          <w:sz w:val="20"/>
          <w:szCs w:val="20"/>
        </w:rPr>
        <w:t xml:space="preserve"> committed to addressing gender-based police discrimination and </w:t>
      </w:r>
      <w:r w:rsidR="00327B24" w:rsidRPr="00D4638C">
        <w:rPr>
          <w:rFonts w:ascii="Cambria" w:hAnsi="Cambria" w:cstheme="majorHAnsi"/>
          <w:bCs/>
          <w:sz w:val="20"/>
          <w:szCs w:val="20"/>
        </w:rPr>
        <w:t xml:space="preserve">was </w:t>
      </w:r>
      <w:r w:rsidRPr="00D4638C">
        <w:rPr>
          <w:rFonts w:ascii="Cambria" w:hAnsi="Cambria" w:cstheme="majorHAnsi"/>
          <w:bCs/>
          <w:sz w:val="20"/>
          <w:szCs w:val="20"/>
        </w:rPr>
        <w:t xml:space="preserve">engaged in a variety of efforts relevant to this recommendation. As an example, the State mentioned the “Gender Discrimination Findings and Recommendations in New Orleans Police Department Consent Decree,” which stemmed from the settlement, in July 2012, </w:t>
      </w:r>
      <w:r w:rsidR="008A77BE" w:rsidRPr="00D4638C">
        <w:rPr>
          <w:rFonts w:ascii="Cambria" w:hAnsi="Cambria" w:cstheme="majorHAnsi"/>
          <w:bCs/>
          <w:sz w:val="20"/>
          <w:szCs w:val="20"/>
        </w:rPr>
        <w:t>regarding</w:t>
      </w:r>
      <w:r w:rsidRPr="00D4638C">
        <w:rPr>
          <w:rFonts w:ascii="Cambria" w:hAnsi="Cambria" w:cstheme="majorHAnsi"/>
          <w:bCs/>
          <w:sz w:val="20"/>
          <w:szCs w:val="20"/>
        </w:rPr>
        <w:t xml:space="preserve"> the Division’s investigation into the</w:t>
      </w:r>
      <w:r w:rsidR="00327B24" w:rsidRPr="00D4638C">
        <w:rPr>
          <w:rFonts w:ascii="Cambria" w:hAnsi="Cambria" w:cstheme="majorHAnsi"/>
          <w:bCs/>
          <w:sz w:val="20"/>
          <w:szCs w:val="20"/>
        </w:rPr>
        <w:t xml:space="preserve"> New Orleans Police Department.</w:t>
      </w:r>
      <w:r w:rsidR="00B445FF" w:rsidRPr="00D4638C">
        <w:rPr>
          <w:rStyle w:val="FootnoteReference"/>
          <w:rFonts w:ascii="Cambria" w:hAnsi="Cambria" w:cstheme="majorHAnsi"/>
          <w:bCs/>
          <w:sz w:val="20"/>
          <w:szCs w:val="20"/>
        </w:rPr>
        <w:footnoteReference w:id="19"/>
      </w:r>
      <w:r w:rsidR="00846A12" w:rsidRPr="00D4638C">
        <w:rPr>
          <w:rFonts w:ascii="Cambria" w:hAnsi="Cambria" w:cs="Calibri Light"/>
          <w:sz w:val="20"/>
          <w:szCs w:val="20"/>
        </w:rPr>
        <w:t xml:space="preserve"> </w:t>
      </w:r>
      <w:r w:rsidR="00B37839" w:rsidRPr="00D4638C">
        <w:rPr>
          <w:rFonts w:ascii="Cambria" w:hAnsi="Cambria" w:cs="Calibri Light"/>
          <w:color w:val="000000" w:themeColor="text1"/>
          <w:sz w:val="20"/>
          <w:szCs w:val="20"/>
        </w:rPr>
        <w:t>In 2020, the State reiterated its earlier responses regarding the recommendations of Merits Report No. 80/11, without mentioning any efforts undertaken this year in order to comply with them.</w:t>
      </w:r>
    </w:p>
    <w:p w14:paraId="3C5597AE" w14:textId="37193016" w:rsidR="00D74A97" w:rsidRPr="00D4638C" w:rsidRDefault="00D74A97" w:rsidP="00D74A97">
      <w:pPr>
        <w:spacing w:after="0" w:line="240" w:lineRule="auto"/>
        <w:jc w:val="both"/>
        <w:rPr>
          <w:rFonts w:ascii="Cambria" w:hAnsi="Cambria"/>
          <w:sz w:val="20"/>
          <w:szCs w:val="20"/>
        </w:rPr>
      </w:pPr>
    </w:p>
    <w:p w14:paraId="11DD28F2" w14:textId="5E0177AC" w:rsidR="005060DB" w:rsidRPr="00D4638C" w:rsidRDefault="00462CA2" w:rsidP="00854124">
      <w:pPr>
        <w:pStyle w:val="ListParagraph"/>
        <w:numPr>
          <w:ilvl w:val="0"/>
          <w:numId w:val="30"/>
        </w:numPr>
        <w:spacing w:after="0" w:line="240" w:lineRule="auto"/>
        <w:jc w:val="both"/>
        <w:rPr>
          <w:rFonts w:ascii="Cambria" w:hAnsi="Cambria"/>
          <w:sz w:val="20"/>
          <w:szCs w:val="20"/>
        </w:rPr>
      </w:pPr>
      <w:r w:rsidRPr="00D4638C">
        <w:rPr>
          <w:rFonts w:ascii="Cambria" w:hAnsi="Cambria"/>
          <w:sz w:val="20"/>
          <w:szCs w:val="20"/>
        </w:rPr>
        <w:t xml:space="preserve">In 2013, the petitioners informed that on </w:t>
      </w:r>
      <w:r w:rsidR="00A54FF4" w:rsidRPr="00D4638C">
        <w:rPr>
          <w:rFonts w:ascii="Cambria" w:hAnsi="Cambria"/>
          <w:sz w:val="20"/>
          <w:szCs w:val="20"/>
        </w:rPr>
        <w:t>June 20, 2013, the Office of Community Oriented Policing Services, the Office of Victims and Crime, and the Office on Violence against Women of the Department of Justice issued a joint statement on gender disc</w:t>
      </w:r>
      <w:r w:rsidR="003F3026" w:rsidRPr="00D4638C">
        <w:rPr>
          <w:rFonts w:ascii="Cambria" w:hAnsi="Cambria"/>
          <w:sz w:val="20"/>
          <w:szCs w:val="20"/>
        </w:rPr>
        <w:t>rimination in policing.</w:t>
      </w:r>
      <w:r w:rsidR="00A54FF4" w:rsidRPr="00D4638C">
        <w:rPr>
          <w:rFonts w:ascii="Cambria" w:hAnsi="Cambria"/>
          <w:sz w:val="20"/>
          <w:szCs w:val="20"/>
        </w:rPr>
        <w:t xml:space="preserve"> The statement announced that prevention of sex-based discrimination by law enforcement </w:t>
      </w:r>
      <w:r w:rsidR="00361D8D" w:rsidRPr="00D4638C">
        <w:rPr>
          <w:rFonts w:ascii="Cambria" w:hAnsi="Cambria"/>
          <w:sz w:val="20"/>
          <w:szCs w:val="20"/>
        </w:rPr>
        <w:t>wa</w:t>
      </w:r>
      <w:r w:rsidR="00A54FF4" w:rsidRPr="00D4638C">
        <w:rPr>
          <w:rFonts w:ascii="Cambria" w:hAnsi="Cambria"/>
          <w:sz w:val="20"/>
          <w:szCs w:val="20"/>
        </w:rPr>
        <w:t xml:space="preserve">s a top priority of the Civil Rights Division of the DOJ because of the negative </w:t>
      </w:r>
      <w:proofErr w:type="gramStart"/>
      <w:r w:rsidR="00A54FF4" w:rsidRPr="00D4638C">
        <w:rPr>
          <w:rFonts w:ascii="Cambria" w:hAnsi="Cambria"/>
          <w:sz w:val="20"/>
          <w:szCs w:val="20"/>
        </w:rPr>
        <w:t>role gender bias plays</w:t>
      </w:r>
      <w:proofErr w:type="gramEnd"/>
      <w:r w:rsidR="00A54FF4" w:rsidRPr="00D4638C">
        <w:rPr>
          <w:rFonts w:ascii="Cambria" w:hAnsi="Cambria"/>
          <w:sz w:val="20"/>
          <w:szCs w:val="20"/>
        </w:rPr>
        <w:t xml:space="preserve"> in the law enforcement response to crimes against women.</w:t>
      </w:r>
      <w:r w:rsidR="009D54A5" w:rsidRPr="00D4638C">
        <w:rPr>
          <w:rStyle w:val="FootnoteReference"/>
          <w:rFonts w:ascii="Cambria" w:hAnsi="Cambria"/>
          <w:sz w:val="20"/>
          <w:szCs w:val="20"/>
        </w:rPr>
        <w:footnoteReference w:id="20"/>
      </w:r>
      <w:r w:rsidR="009D54A5" w:rsidRPr="00D4638C">
        <w:rPr>
          <w:rFonts w:ascii="Cambria" w:hAnsi="Cambria"/>
          <w:sz w:val="20"/>
          <w:szCs w:val="20"/>
        </w:rPr>
        <w:t xml:space="preserve"> </w:t>
      </w:r>
      <w:r w:rsidR="00C603EE" w:rsidRPr="00D4638C">
        <w:rPr>
          <w:rFonts w:ascii="Cambria" w:hAnsi="Cambria"/>
          <w:sz w:val="20"/>
          <w:szCs w:val="20"/>
        </w:rPr>
        <w:t xml:space="preserve">In 2018, the </w:t>
      </w:r>
      <w:r w:rsidR="00A54FF4" w:rsidRPr="00D4638C">
        <w:rPr>
          <w:rFonts w:ascii="Cambria" w:hAnsi="Cambria"/>
          <w:sz w:val="20"/>
          <w:szCs w:val="20"/>
        </w:rPr>
        <w:t xml:space="preserve">petitioners </w:t>
      </w:r>
      <w:r w:rsidR="00C603EE" w:rsidRPr="00D4638C">
        <w:rPr>
          <w:rFonts w:ascii="Cambria" w:hAnsi="Cambria"/>
          <w:sz w:val="20"/>
          <w:szCs w:val="20"/>
        </w:rPr>
        <w:t xml:space="preserve">informed that the decision of the Commission in Jessica </w:t>
      </w:r>
      <w:proofErr w:type="spellStart"/>
      <w:r w:rsidR="00C603EE" w:rsidRPr="00D4638C">
        <w:rPr>
          <w:rFonts w:ascii="Cambria" w:hAnsi="Cambria"/>
          <w:sz w:val="20"/>
          <w:szCs w:val="20"/>
        </w:rPr>
        <w:t>Lenahan’s</w:t>
      </w:r>
      <w:proofErr w:type="spellEnd"/>
      <w:r w:rsidR="00C603EE" w:rsidRPr="00D4638C">
        <w:rPr>
          <w:rFonts w:ascii="Cambria" w:hAnsi="Cambria"/>
          <w:sz w:val="20"/>
          <w:szCs w:val="20"/>
        </w:rPr>
        <w:t xml:space="preserve"> case </w:t>
      </w:r>
      <w:r w:rsidR="00A54FF4" w:rsidRPr="00D4638C">
        <w:rPr>
          <w:rFonts w:ascii="Cambria" w:hAnsi="Cambria"/>
          <w:sz w:val="20"/>
          <w:szCs w:val="20"/>
        </w:rPr>
        <w:t>ha</w:t>
      </w:r>
      <w:r w:rsidR="00361D8D" w:rsidRPr="00D4638C">
        <w:rPr>
          <w:rFonts w:ascii="Cambria" w:hAnsi="Cambria"/>
          <w:sz w:val="20"/>
          <w:szCs w:val="20"/>
        </w:rPr>
        <w:t>d</w:t>
      </w:r>
      <w:r w:rsidR="00A54FF4" w:rsidRPr="00D4638C">
        <w:rPr>
          <w:rFonts w:ascii="Cambria" w:hAnsi="Cambria"/>
          <w:sz w:val="20"/>
          <w:szCs w:val="20"/>
        </w:rPr>
        <w:t xml:space="preserve"> had an undeniable effect on U.S</w:t>
      </w:r>
      <w:r w:rsidR="00C603EE" w:rsidRPr="00D4638C">
        <w:rPr>
          <w:rFonts w:ascii="Cambria" w:hAnsi="Cambria"/>
          <w:sz w:val="20"/>
          <w:szCs w:val="20"/>
        </w:rPr>
        <w:t>.</w:t>
      </w:r>
      <w:r w:rsidR="00A54FF4" w:rsidRPr="00D4638C">
        <w:rPr>
          <w:rFonts w:ascii="Cambria" w:hAnsi="Cambria"/>
          <w:sz w:val="20"/>
          <w:szCs w:val="20"/>
        </w:rPr>
        <w:t xml:space="preserve"> federal policy and law enforcement. </w:t>
      </w:r>
      <w:r w:rsidR="00C603EE" w:rsidRPr="00D4638C">
        <w:rPr>
          <w:rFonts w:ascii="Cambria" w:hAnsi="Cambria"/>
          <w:sz w:val="20"/>
          <w:szCs w:val="20"/>
        </w:rPr>
        <w:t>The petitioners indicated that, b</w:t>
      </w:r>
      <w:r w:rsidR="00A54FF4" w:rsidRPr="00D4638C">
        <w:rPr>
          <w:rFonts w:ascii="Cambria" w:hAnsi="Cambria"/>
          <w:sz w:val="20"/>
          <w:szCs w:val="20"/>
        </w:rPr>
        <w:t>eginning in 2011, the Department of Justice began stepping up its investigations into discriminatory law enforcement responses to domestic violence and s</w:t>
      </w:r>
      <w:r w:rsidR="00C603EE" w:rsidRPr="00D4638C">
        <w:rPr>
          <w:rFonts w:ascii="Cambria" w:hAnsi="Cambria"/>
          <w:sz w:val="20"/>
          <w:szCs w:val="20"/>
        </w:rPr>
        <w:t>exual assault in several cities</w:t>
      </w:r>
      <w:r w:rsidR="00A54FF4" w:rsidRPr="00D4638C">
        <w:rPr>
          <w:rFonts w:ascii="Cambria" w:hAnsi="Cambria"/>
          <w:sz w:val="20"/>
          <w:szCs w:val="20"/>
        </w:rPr>
        <w:t xml:space="preserve">. In 2015, </w:t>
      </w:r>
      <w:r w:rsidR="008E74C6" w:rsidRPr="00D4638C">
        <w:rPr>
          <w:rFonts w:ascii="Cambria" w:hAnsi="Cambria"/>
          <w:sz w:val="20"/>
          <w:szCs w:val="20"/>
        </w:rPr>
        <w:t xml:space="preserve">the </w:t>
      </w:r>
      <w:r w:rsidR="00A54FF4" w:rsidRPr="00D4638C">
        <w:rPr>
          <w:rFonts w:ascii="Cambria" w:hAnsi="Cambria"/>
          <w:sz w:val="20"/>
          <w:szCs w:val="20"/>
        </w:rPr>
        <w:t>U.S</w:t>
      </w:r>
      <w:r w:rsidR="00043C28" w:rsidRPr="00D4638C">
        <w:rPr>
          <w:rFonts w:ascii="Cambria" w:hAnsi="Cambria"/>
          <w:sz w:val="20"/>
          <w:szCs w:val="20"/>
        </w:rPr>
        <w:t>.</w:t>
      </w:r>
      <w:r w:rsidR="00A54FF4" w:rsidRPr="00D4638C">
        <w:rPr>
          <w:rFonts w:ascii="Cambria" w:hAnsi="Cambria"/>
          <w:sz w:val="20"/>
          <w:szCs w:val="20"/>
        </w:rPr>
        <w:t xml:space="preserve"> Attorney General convened advocates and law enforcement officials to discuss concerns that many victims of domestic violence and sexual assault </w:t>
      </w:r>
      <w:r w:rsidR="00361D8D" w:rsidRPr="00D4638C">
        <w:rPr>
          <w:rFonts w:ascii="Cambria" w:hAnsi="Cambria"/>
          <w:sz w:val="20"/>
          <w:szCs w:val="20"/>
        </w:rPr>
        <w:t>we</w:t>
      </w:r>
      <w:r w:rsidR="00A54FF4" w:rsidRPr="00D4638C">
        <w:rPr>
          <w:rFonts w:ascii="Cambria" w:hAnsi="Cambria"/>
          <w:sz w:val="20"/>
          <w:szCs w:val="20"/>
        </w:rPr>
        <w:t>re reluctant to turn to law enforcement for help, and encounter</w:t>
      </w:r>
      <w:r w:rsidR="00361D8D" w:rsidRPr="00D4638C">
        <w:rPr>
          <w:rFonts w:ascii="Cambria" w:hAnsi="Cambria"/>
          <w:sz w:val="20"/>
          <w:szCs w:val="20"/>
        </w:rPr>
        <w:t>ed</w:t>
      </w:r>
      <w:r w:rsidR="00A54FF4" w:rsidRPr="00D4638C">
        <w:rPr>
          <w:rFonts w:ascii="Cambria" w:hAnsi="Cambria"/>
          <w:sz w:val="20"/>
          <w:szCs w:val="20"/>
        </w:rPr>
        <w:t xml:space="preserve"> significant barriers when they d</w:t>
      </w:r>
      <w:r w:rsidR="00746CFC" w:rsidRPr="00D4638C">
        <w:rPr>
          <w:rFonts w:ascii="Cambria" w:hAnsi="Cambria"/>
          <w:sz w:val="20"/>
          <w:szCs w:val="20"/>
        </w:rPr>
        <w:t>id</w:t>
      </w:r>
      <w:r w:rsidR="00A54FF4" w:rsidRPr="00D4638C">
        <w:rPr>
          <w:rFonts w:ascii="Cambria" w:hAnsi="Cambria"/>
          <w:sz w:val="20"/>
          <w:szCs w:val="20"/>
        </w:rPr>
        <w:t xml:space="preserve"> seek law enforcement assistance. Subsequently, the DOJ released </w:t>
      </w:r>
      <w:r w:rsidR="00746CFC" w:rsidRPr="00D4638C">
        <w:rPr>
          <w:rFonts w:ascii="Cambria" w:hAnsi="Cambria"/>
          <w:sz w:val="20"/>
          <w:szCs w:val="20"/>
        </w:rPr>
        <w:t xml:space="preserve">the document entitled </w:t>
      </w:r>
      <w:r w:rsidR="00A54FF4" w:rsidRPr="00D4638C">
        <w:rPr>
          <w:rFonts w:ascii="Cambria" w:hAnsi="Cambria"/>
          <w:i/>
          <w:sz w:val="20"/>
          <w:szCs w:val="20"/>
        </w:rPr>
        <w:t>Identifying and Preventing Gender Bias in Law Enforcement Response to Sexual Assault and Domestic Violence</w:t>
      </w:r>
      <w:r w:rsidR="000E3B7C" w:rsidRPr="00D4638C">
        <w:rPr>
          <w:rFonts w:ascii="Cambria" w:hAnsi="Cambria"/>
          <w:sz w:val="20"/>
          <w:szCs w:val="20"/>
        </w:rPr>
        <w:t>,</w:t>
      </w:r>
      <w:r w:rsidR="00A54FF4" w:rsidRPr="00D4638C">
        <w:rPr>
          <w:rFonts w:ascii="Cambria" w:hAnsi="Cambria"/>
          <w:sz w:val="20"/>
          <w:szCs w:val="20"/>
        </w:rPr>
        <w:t xml:space="preserve"> official DOJ Guidance to law enforcement agencies on how to prevent gender bias in their response to such crimes – a </w:t>
      </w:r>
      <w:proofErr w:type="gramStart"/>
      <w:r w:rsidR="00A54FF4" w:rsidRPr="00D4638C">
        <w:rPr>
          <w:rFonts w:ascii="Cambria" w:hAnsi="Cambria"/>
          <w:sz w:val="20"/>
          <w:szCs w:val="20"/>
        </w:rPr>
        <w:t xml:space="preserve">step </w:t>
      </w:r>
      <w:r w:rsidR="0067446D" w:rsidRPr="00D4638C">
        <w:rPr>
          <w:rFonts w:ascii="Cambria" w:hAnsi="Cambria"/>
          <w:sz w:val="20"/>
          <w:szCs w:val="20"/>
        </w:rPr>
        <w:t>which was originally proposed by p</w:t>
      </w:r>
      <w:r w:rsidR="00A54FF4" w:rsidRPr="00D4638C">
        <w:rPr>
          <w:rFonts w:ascii="Cambria" w:hAnsi="Cambria"/>
          <w:sz w:val="20"/>
          <w:szCs w:val="20"/>
        </w:rPr>
        <w:t>etitioners</w:t>
      </w:r>
      <w:proofErr w:type="gramEnd"/>
      <w:r w:rsidR="00A54FF4" w:rsidRPr="00D4638C">
        <w:rPr>
          <w:rFonts w:ascii="Cambria" w:hAnsi="Cambria"/>
          <w:sz w:val="20"/>
          <w:szCs w:val="20"/>
        </w:rPr>
        <w:t xml:space="preserve"> and other advocates who supported Ms. </w:t>
      </w:r>
      <w:proofErr w:type="spellStart"/>
      <w:r w:rsidR="00A54FF4" w:rsidRPr="00D4638C">
        <w:rPr>
          <w:rFonts w:ascii="Cambria" w:hAnsi="Cambria"/>
          <w:sz w:val="20"/>
          <w:szCs w:val="20"/>
        </w:rPr>
        <w:t>Lenahan’s</w:t>
      </w:r>
      <w:proofErr w:type="spellEnd"/>
      <w:r w:rsidR="00A54FF4" w:rsidRPr="00D4638C">
        <w:rPr>
          <w:rFonts w:ascii="Cambria" w:hAnsi="Cambria"/>
          <w:sz w:val="20"/>
          <w:szCs w:val="20"/>
        </w:rPr>
        <w:t xml:space="preserve"> case. In 2016, the Department of Justice established a $9.85 million grant program to implement the guidance nationwide. </w:t>
      </w:r>
      <w:r w:rsidR="00B362A4" w:rsidRPr="00D4638C">
        <w:rPr>
          <w:rFonts w:ascii="Cambria" w:hAnsi="Cambria"/>
          <w:sz w:val="20"/>
          <w:szCs w:val="20"/>
        </w:rPr>
        <w:t xml:space="preserve">The petitioners further informed that the IACHR’s Merits Report and recommendations in the present case have also had an effect on the state and local levels. </w:t>
      </w:r>
      <w:r w:rsidR="0008243B" w:rsidRPr="00D4638C">
        <w:rPr>
          <w:rFonts w:ascii="Cambria" w:hAnsi="Cambria"/>
          <w:sz w:val="20"/>
          <w:szCs w:val="20"/>
        </w:rPr>
        <w:t>They indicated that, s</w:t>
      </w:r>
      <w:r w:rsidR="00B362A4" w:rsidRPr="00D4638C">
        <w:rPr>
          <w:rFonts w:ascii="Cambria" w:hAnsi="Cambria"/>
          <w:sz w:val="20"/>
          <w:szCs w:val="20"/>
        </w:rPr>
        <w:t xml:space="preserve">ince 2011, over 30 municipalities have adopted resolutions and publications recognizing “freedom from domestic violence is a basic human right”, citing </w:t>
      </w:r>
      <w:r w:rsidR="0008243B" w:rsidRPr="00D4638C">
        <w:rPr>
          <w:rFonts w:ascii="Cambria" w:hAnsi="Cambria"/>
          <w:sz w:val="20"/>
          <w:szCs w:val="20"/>
        </w:rPr>
        <w:t>Jessica</w:t>
      </w:r>
      <w:r w:rsidR="00B362A4" w:rsidRPr="00D4638C">
        <w:rPr>
          <w:rFonts w:ascii="Cambria" w:hAnsi="Cambria"/>
          <w:sz w:val="20"/>
          <w:szCs w:val="20"/>
        </w:rPr>
        <w:t xml:space="preserve"> </w:t>
      </w:r>
      <w:proofErr w:type="spellStart"/>
      <w:r w:rsidR="00B362A4" w:rsidRPr="00D4638C">
        <w:rPr>
          <w:rFonts w:ascii="Cambria" w:hAnsi="Cambria"/>
          <w:sz w:val="20"/>
          <w:szCs w:val="20"/>
        </w:rPr>
        <w:t>Lenahan’s</w:t>
      </w:r>
      <w:proofErr w:type="spellEnd"/>
      <w:r w:rsidR="00B362A4" w:rsidRPr="00D4638C">
        <w:rPr>
          <w:rFonts w:ascii="Cambria" w:hAnsi="Cambria"/>
          <w:sz w:val="20"/>
          <w:szCs w:val="20"/>
        </w:rPr>
        <w:t xml:space="preserve"> case</w:t>
      </w:r>
      <w:r w:rsidR="0008243B" w:rsidRPr="00D4638C">
        <w:rPr>
          <w:rFonts w:ascii="Cambria" w:hAnsi="Cambria"/>
          <w:sz w:val="20"/>
          <w:szCs w:val="20"/>
        </w:rPr>
        <w:t>.</w:t>
      </w:r>
      <w:r w:rsidR="00B362A4" w:rsidRPr="00D4638C">
        <w:rPr>
          <w:rStyle w:val="FootnoteReference"/>
          <w:rFonts w:ascii="Cambria" w:hAnsi="Cambria"/>
          <w:sz w:val="20"/>
          <w:szCs w:val="20"/>
        </w:rPr>
        <w:footnoteReference w:id="21"/>
      </w:r>
      <w:r w:rsidR="00B362A4" w:rsidRPr="00D4638C">
        <w:rPr>
          <w:rFonts w:ascii="Cambria" w:hAnsi="Cambria"/>
          <w:sz w:val="20"/>
          <w:szCs w:val="20"/>
        </w:rPr>
        <w:t xml:space="preserve"> </w:t>
      </w:r>
      <w:r w:rsidR="00DB4E4D" w:rsidRPr="00D4638C">
        <w:rPr>
          <w:rFonts w:ascii="Cambria" w:hAnsi="Cambria"/>
          <w:sz w:val="20"/>
          <w:szCs w:val="20"/>
        </w:rPr>
        <w:t>The petitioners stated that, i</w:t>
      </w:r>
      <w:r w:rsidR="00A54FF4" w:rsidRPr="00D4638C">
        <w:rPr>
          <w:rFonts w:ascii="Cambria" w:hAnsi="Cambria"/>
          <w:sz w:val="20"/>
          <w:szCs w:val="20"/>
        </w:rPr>
        <w:t xml:space="preserve">n 2017, the Illinois legislature passed the Illinois Sexual Violence Procedure Act (ISVPA), which addresses gender bias in law enforcement and medical responses to victims. </w:t>
      </w:r>
      <w:r w:rsidR="004B48D8" w:rsidRPr="00D4638C">
        <w:rPr>
          <w:rFonts w:ascii="Cambria" w:hAnsi="Cambria"/>
          <w:color w:val="000000" w:themeColor="text1"/>
          <w:sz w:val="20"/>
          <w:szCs w:val="20"/>
        </w:rPr>
        <w:t xml:space="preserve">In 2020, the petitioners informed that there were no further developments to report regarding the compliance of </w:t>
      </w:r>
      <w:r w:rsidR="004B48D8" w:rsidRPr="00D4638C">
        <w:rPr>
          <w:rFonts w:ascii="Cambria" w:hAnsi="Cambria" w:cs="Calibri Light"/>
          <w:color w:val="000000" w:themeColor="text1"/>
          <w:sz w:val="20"/>
          <w:szCs w:val="20"/>
        </w:rPr>
        <w:t xml:space="preserve">the IACHR </w:t>
      </w:r>
      <w:r w:rsidR="004B48D8" w:rsidRPr="00D4638C">
        <w:rPr>
          <w:rFonts w:ascii="Cambria" w:hAnsi="Cambria"/>
          <w:color w:val="000000" w:themeColor="text1"/>
          <w:sz w:val="20"/>
          <w:szCs w:val="20"/>
        </w:rPr>
        <w:t>recommendations.</w:t>
      </w:r>
    </w:p>
    <w:p w14:paraId="5FE9E333" w14:textId="77777777" w:rsidR="00D74A97" w:rsidRPr="00D4638C" w:rsidRDefault="00D74A97" w:rsidP="00D74A97">
      <w:pPr>
        <w:pStyle w:val="ListParagraph"/>
        <w:spacing w:after="0" w:line="240" w:lineRule="auto"/>
        <w:jc w:val="both"/>
        <w:rPr>
          <w:rFonts w:ascii="Cambria" w:hAnsi="Cambria"/>
          <w:sz w:val="20"/>
          <w:szCs w:val="20"/>
        </w:rPr>
      </w:pPr>
    </w:p>
    <w:p w14:paraId="18A1D260" w14:textId="5421D123" w:rsidR="00FB1891" w:rsidRPr="00D4638C" w:rsidRDefault="00FB1891" w:rsidP="00854124">
      <w:pPr>
        <w:pStyle w:val="ListParagraph"/>
        <w:numPr>
          <w:ilvl w:val="0"/>
          <w:numId w:val="30"/>
        </w:numPr>
        <w:spacing w:after="0" w:line="240" w:lineRule="auto"/>
        <w:jc w:val="both"/>
        <w:rPr>
          <w:rFonts w:ascii="Cambria" w:hAnsi="Cambria"/>
          <w:sz w:val="20"/>
          <w:szCs w:val="20"/>
        </w:rPr>
      </w:pPr>
      <w:r w:rsidRPr="00D4638C">
        <w:rPr>
          <w:rFonts w:ascii="Cambria" w:hAnsi="Cambria" w:cstheme="majorHAnsi"/>
          <w:sz w:val="20"/>
          <w:szCs w:val="20"/>
        </w:rPr>
        <w:t xml:space="preserve">The Commission values the information presented by the petitioners in 2018 regarding measures adopted by the State </w:t>
      </w:r>
      <w:r w:rsidR="000B7804" w:rsidRPr="00D4638C">
        <w:rPr>
          <w:rFonts w:ascii="Cambria" w:hAnsi="Cambria" w:cstheme="majorHAnsi"/>
          <w:sz w:val="20"/>
          <w:szCs w:val="20"/>
        </w:rPr>
        <w:t xml:space="preserve">which are aimed at restructuring the </w:t>
      </w:r>
      <w:r w:rsidRPr="00D4638C">
        <w:rPr>
          <w:rFonts w:ascii="Cambria" w:hAnsi="Cambria"/>
          <w:sz w:val="20"/>
          <w:szCs w:val="20"/>
        </w:rPr>
        <w:t>stereotyp</w:t>
      </w:r>
      <w:r w:rsidR="000B7804" w:rsidRPr="00D4638C">
        <w:rPr>
          <w:rFonts w:ascii="Cambria" w:hAnsi="Cambria"/>
          <w:sz w:val="20"/>
          <w:szCs w:val="20"/>
        </w:rPr>
        <w:t>es of domestic violence victims</w:t>
      </w:r>
      <w:r w:rsidRPr="00D4638C">
        <w:rPr>
          <w:rFonts w:ascii="Cambria" w:hAnsi="Cambria"/>
          <w:sz w:val="20"/>
          <w:szCs w:val="20"/>
        </w:rPr>
        <w:t xml:space="preserve"> and </w:t>
      </w:r>
      <w:r w:rsidR="000B7804" w:rsidRPr="00D4638C">
        <w:rPr>
          <w:rFonts w:ascii="Cambria" w:hAnsi="Cambria"/>
          <w:sz w:val="20"/>
          <w:szCs w:val="20"/>
        </w:rPr>
        <w:t xml:space="preserve">at promoting </w:t>
      </w:r>
      <w:r w:rsidRPr="00D4638C">
        <w:rPr>
          <w:rFonts w:ascii="Cambria" w:hAnsi="Cambria"/>
          <w:sz w:val="20"/>
          <w:szCs w:val="20"/>
        </w:rPr>
        <w:t xml:space="preserve">the eradication of discriminatory socio-cultural patterns that impede women and children’s full protection from </w:t>
      </w:r>
      <w:r w:rsidR="000B7804" w:rsidRPr="00D4638C">
        <w:rPr>
          <w:rFonts w:ascii="Cambria" w:hAnsi="Cambria"/>
          <w:sz w:val="20"/>
          <w:szCs w:val="20"/>
        </w:rPr>
        <w:t xml:space="preserve">acts of </w:t>
      </w:r>
      <w:r w:rsidRPr="00D4638C">
        <w:rPr>
          <w:rFonts w:ascii="Cambria" w:hAnsi="Cambria"/>
          <w:sz w:val="20"/>
          <w:szCs w:val="20"/>
        </w:rPr>
        <w:t>domestic violence.</w:t>
      </w:r>
      <w:r w:rsidR="000B7804" w:rsidRPr="00D4638C">
        <w:rPr>
          <w:rFonts w:ascii="Cambria" w:hAnsi="Cambria"/>
          <w:sz w:val="20"/>
          <w:szCs w:val="20"/>
        </w:rPr>
        <w:t xml:space="preserve"> </w:t>
      </w:r>
      <w:r w:rsidR="00224D81" w:rsidRPr="00D4638C">
        <w:rPr>
          <w:rFonts w:ascii="Cambria" w:hAnsi="Cambria"/>
          <w:sz w:val="20"/>
          <w:szCs w:val="20"/>
        </w:rPr>
        <w:t>At the same time, t</w:t>
      </w:r>
      <w:r w:rsidR="00224D81" w:rsidRPr="00D4638C">
        <w:rPr>
          <w:rFonts w:ascii="Cambria" w:hAnsi="Cambria" w:cs="Calibri Light"/>
          <w:sz w:val="20"/>
          <w:szCs w:val="20"/>
        </w:rPr>
        <w:t>he Commission notes that the State has not presented detailed and up</w:t>
      </w:r>
      <w:r w:rsidR="000F55F5" w:rsidRPr="00D4638C">
        <w:rPr>
          <w:rFonts w:ascii="Cambria" w:hAnsi="Cambria" w:cs="Calibri Light"/>
          <w:sz w:val="20"/>
          <w:szCs w:val="20"/>
        </w:rPr>
        <w:t>-</w:t>
      </w:r>
      <w:r w:rsidR="00224D81" w:rsidRPr="00D4638C">
        <w:rPr>
          <w:rFonts w:ascii="Cambria" w:hAnsi="Cambria" w:cs="Calibri Light"/>
          <w:sz w:val="20"/>
          <w:szCs w:val="20"/>
        </w:rPr>
        <w:t>to</w:t>
      </w:r>
      <w:r w:rsidR="000F55F5" w:rsidRPr="00D4638C">
        <w:rPr>
          <w:rFonts w:ascii="Cambria" w:hAnsi="Cambria" w:cs="Calibri Light"/>
          <w:sz w:val="20"/>
          <w:szCs w:val="20"/>
        </w:rPr>
        <w:t>-</w:t>
      </w:r>
      <w:r w:rsidR="00224D81" w:rsidRPr="00D4638C">
        <w:rPr>
          <w:rFonts w:ascii="Cambria" w:hAnsi="Cambria" w:cs="Calibri Light"/>
          <w:sz w:val="20"/>
          <w:szCs w:val="20"/>
        </w:rPr>
        <w:t>date information on actions taken to comply with this recommendation since 2</w:t>
      </w:r>
      <w:r w:rsidR="000F55F5" w:rsidRPr="00D4638C">
        <w:rPr>
          <w:rFonts w:ascii="Cambria" w:hAnsi="Cambria" w:cs="Calibri Light"/>
          <w:sz w:val="20"/>
          <w:szCs w:val="20"/>
        </w:rPr>
        <w:t>012</w:t>
      </w:r>
      <w:r w:rsidR="00224D81" w:rsidRPr="00D4638C">
        <w:rPr>
          <w:rFonts w:ascii="Cambria" w:hAnsi="Cambria" w:cs="Calibri Light"/>
          <w:sz w:val="20"/>
          <w:szCs w:val="20"/>
        </w:rPr>
        <w:t>.</w:t>
      </w:r>
      <w:r w:rsidR="00224D81" w:rsidRPr="00D4638C">
        <w:rPr>
          <w:rFonts w:ascii="Cambria" w:hAnsi="Cambria" w:cstheme="majorHAnsi"/>
          <w:sz w:val="20"/>
          <w:szCs w:val="20"/>
        </w:rPr>
        <w:t xml:space="preserve"> Based on this, the Commission finds that Recommendations 6 </w:t>
      </w:r>
      <w:proofErr w:type="gramStart"/>
      <w:r w:rsidR="00746CFC" w:rsidRPr="00D4638C">
        <w:rPr>
          <w:rFonts w:ascii="Cambria" w:hAnsi="Cambria" w:cstheme="majorHAnsi"/>
          <w:sz w:val="20"/>
          <w:szCs w:val="20"/>
        </w:rPr>
        <w:t>ha</w:t>
      </w:r>
      <w:r w:rsidR="00224D81" w:rsidRPr="00D4638C">
        <w:rPr>
          <w:rFonts w:ascii="Cambria" w:hAnsi="Cambria" w:cstheme="majorHAnsi"/>
          <w:sz w:val="20"/>
          <w:szCs w:val="20"/>
        </w:rPr>
        <w:t xml:space="preserve">s </w:t>
      </w:r>
      <w:r w:rsidR="00746CFC" w:rsidRPr="00D4638C">
        <w:rPr>
          <w:rFonts w:ascii="Cambria" w:hAnsi="Cambria" w:cstheme="majorHAnsi"/>
          <w:sz w:val="20"/>
          <w:szCs w:val="20"/>
        </w:rPr>
        <w:t xml:space="preserve">been </w:t>
      </w:r>
      <w:r w:rsidR="00224D81" w:rsidRPr="00D4638C">
        <w:rPr>
          <w:rFonts w:ascii="Cambria" w:hAnsi="Cambria" w:cstheme="majorHAnsi"/>
          <w:sz w:val="20"/>
          <w:szCs w:val="20"/>
        </w:rPr>
        <w:t>partially complied</w:t>
      </w:r>
      <w:proofErr w:type="gramEnd"/>
      <w:r w:rsidR="00746CFC" w:rsidRPr="00D4638C">
        <w:rPr>
          <w:rFonts w:ascii="Cambria" w:hAnsi="Cambria" w:cstheme="majorHAnsi"/>
          <w:sz w:val="20"/>
          <w:szCs w:val="20"/>
        </w:rPr>
        <w:t xml:space="preserve"> with</w:t>
      </w:r>
      <w:r w:rsidR="00224D81" w:rsidRPr="00D4638C">
        <w:rPr>
          <w:rFonts w:ascii="Cambria" w:hAnsi="Cambria" w:cstheme="majorHAnsi"/>
          <w:sz w:val="20"/>
          <w:szCs w:val="20"/>
        </w:rPr>
        <w:t xml:space="preserve">. </w:t>
      </w:r>
    </w:p>
    <w:p w14:paraId="62A84E87" w14:textId="77777777" w:rsidR="005060DB" w:rsidRPr="00D4638C" w:rsidRDefault="005060DB" w:rsidP="005060DB">
      <w:pPr>
        <w:pStyle w:val="ListParagraph"/>
        <w:rPr>
          <w:rFonts w:ascii="Cambria" w:hAnsi="Cambria"/>
          <w:b/>
          <w:sz w:val="20"/>
          <w:szCs w:val="20"/>
        </w:rPr>
      </w:pPr>
    </w:p>
    <w:p w14:paraId="5762339D" w14:textId="6CC5D646" w:rsidR="005060DB" w:rsidRPr="00D4638C" w:rsidRDefault="005060DB" w:rsidP="00854124">
      <w:pPr>
        <w:pStyle w:val="ListParagraph"/>
        <w:numPr>
          <w:ilvl w:val="0"/>
          <w:numId w:val="30"/>
        </w:numPr>
        <w:spacing w:after="0" w:line="240" w:lineRule="auto"/>
        <w:jc w:val="both"/>
        <w:rPr>
          <w:rFonts w:ascii="Cambria" w:hAnsi="Cambria"/>
          <w:sz w:val="20"/>
          <w:szCs w:val="20"/>
        </w:rPr>
      </w:pPr>
      <w:r w:rsidRPr="00D4638C">
        <w:rPr>
          <w:rFonts w:ascii="Cambria" w:hAnsi="Cambria"/>
          <w:b/>
          <w:sz w:val="20"/>
          <w:szCs w:val="20"/>
        </w:rPr>
        <w:t>With regard to the seventh recommendation</w:t>
      </w:r>
      <w:r w:rsidRPr="00D4638C">
        <w:rPr>
          <w:rFonts w:ascii="Cambria" w:hAnsi="Cambria"/>
          <w:sz w:val="20"/>
          <w:szCs w:val="20"/>
        </w:rPr>
        <w:t>,</w:t>
      </w:r>
      <w:r w:rsidRPr="00D4638C">
        <w:rPr>
          <w:rFonts w:ascii="Cambria" w:hAnsi="Cambria" w:cstheme="majorHAnsi"/>
          <w:bCs/>
          <w:sz w:val="20"/>
          <w:szCs w:val="20"/>
        </w:rPr>
        <w:t xml:space="preserve"> in 2012, the State stressed that OVW ha</w:t>
      </w:r>
      <w:r w:rsidR="00746CFC" w:rsidRPr="00D4638C">
        <w:rPr>
          <w:rFonts w:ascii="Cambria" w:hAnsi="Cambria" w:cstheme="majorHAnsi"/>
          <w:bCs/>
          <w:sz w:val="20"/>
          <w:szCs w:val="20"/>
        </w:rPr>
        <w:t>d</w:t>
      </w:r>
      <w:r w:rsidRPr="00D4638C">
        <w:rPr>
          <w:rFonts w:ascii="Cambria" w:hAnsi="Cambria" w:cstheme="majorHAnsi"/>
          <w:bCs/>
          <w:sz w:val="20"/>
          <w:szCs w:val="20"/>
        </w:rPr>
        <w:t xml:space="preserve"> supported the development of a host of best practices materials related to the enforcement of protection </w:t>
      </w:r>
      <w:r w:rsidRPr="00D4638C">
        <w:rPr>
          <w:rFonts w:ascii="Cambria" w:hAnsi="Cambria" w:cstheme="majorHAnsi"/>
          <w:bCs/>
          <w:sz w:val="20"/>
          <w:szCs w:val="20"/>
        </w:rPr>
        <w:lastRenderedPageBreak/>
        <w:t>orders.</w:t>
      </w:r>
      <w:r w:rsidR="009D54A5" w:rsidRPr="00D4638C">
        <w:rPr>
          <w:rStyle w:val="FootnoteReference"/>
          <w:rFonts w:ascii="Cambria" w:hAnsi="Cambria" w:cstheme="majorHAnsi"/>
          <w:bCs/>
          <w:sz w:val="20"/>
          <w:szCs w:val="20"/>
        </w:rPr>
        <w:footnoteReference w:id="22"/>
      </w:r>
      <w:r w:rsidR="00846A12" w:rsidRPr="00D4638C">
        <w:rPr>
          <w:rFonts w:ascii="Cambria" w:hAnsi="Cambria" w:cstheme="majorHAnsi"/>
          <w:bCs/>
          <w:sz w:val="20"/>
          <w:szCs w:val="20"/>
        </w:rPr>
        <w:t xml:space="preserve"> </w:t>
      </w:r>
      <w:r w:rsidR="004B48D8" w:rsidRPr="00D4638C">
        <w:rPr>
          <w:rFonts w:ascii="Cambria" w:hAnsi="Cambria" w:cs="Calibri Light"/>
          <w:color w:val="000000" w:themeColor="text1"/>
          <w:sz w:val="20"/>
          <w:szCs w:val="20"/>
        </w:rPr>
        <w:t>In 2020, the State reiterated its earlier responses regarding the recommendations of Merits Report No. 80/11, without mentioning any efforts undertaken this year in order to comply with them.</w:t>
      </w:r>
    </w:p>
    <w:p w14:paraId="4A886DA7" w14:textId="1B3245B6" w:rsidR="00D74A97" w:rsidRPr="00D4638C" w:rsidRDefault="00D74A97" w:rsidP="00D74A97">
      <w:pPr>
        <w:spacing w:after="0" w:line="240" w:lineRule="auto"/>
        <w:jc w:val="both"/>
        <w:rPr>
          <w:rFonts w:ascii="Cambria" w:hAnsi="Cambria"/>
          <w:sz w:val="20"/>
          <w:szCs w:val="20"/>
        </w:rPr>
      </w:pPr>
    </w:p>
    <w:p w14:paraId="3DB5E668" w14:textId="77777777" w:rsidR="00224D81" w:rsidRPr="00D4638C" w:rsidRDefault="00224D81" w:rsidP="00854124">
      <w:pPr>
        <w:pStyle w:val="ListParagraph"/>
        <w:numPr>
          <w:ilvl w:val="0"/>
          <w:numId w:val="30"/>
        </w:numPr>
        <w:spacing w:after="0" w:line="240" w:lineRule="auto"/>
        <w:jc w:val="both"/>
        <w:rPr>
          <w:rFonts w:ascii="Cambria" w:hAnsi="Cambria"/>
          <w:sz w:val="20"/>
          <w:szCs w:val="20"/>
        </w:rPr>
      </w:pPr>
      <w:r w:rsidRPr="00D4638C">
        <w:rPr>
          <w:rFonts w:ascii="Cambria" w:hAnsi="Cambria"/>
          <w:sz w:val="20"/>
          <w:szCs w:val="20"/>
        </w:rPr>
        <w:t xml:space="preserve">The petitioners have not presented specific information about actions adopted by the State to comply with this recommendation. </w:t>
      </w:r>
    </w:p>
    <w:p w14:paraId="0522737B" w14:textId="77777777" w:rsidR="00224D81" w:rsidRPr="00D4638C" w:rsidRDefault="00224D81" w:rsidP="00224D81">
      <w:pPr>
        <w:pStyle w:val="ListParagraph"/>
        <w:rPr>
          <w:rFonts w:ascii="Cambria" w:hAnsi="Cambria"/>
          <w:sz w:val="20"/>
          <w:szCs w:val="20"/>
        </w:rPr>
      </w:pPr>
    </w:p>
    <w:p w14:paraId="0654FAB4" w14:textId="4E47AA82" w:rsidR="00224D81" w:rsidRPr="00D4638C" w:rsidRDefault="00224D81" w:rsidP="00854124">
      <w:pPr>
        <w:pStyle w:val="ListParagraph"/>
        <w:numPr>
          <w:ilvl w:val="0"/>
          <w:numId w:val="30"/>
        </w:numPr>
        <w:spacing w:after="0" w:line="240" w:lineRule="auto"/>
        <w:jc w:val="both"/>
        <w:rPr>
          <w:rFonts w:ascii="Cambria" w:hAnsi="Cambria"/>
          <w:sz w:val="20"/>
          <w:szCs w:val="20"/>
        </w:rPr>
      </w:pPr>
      <w:r w:rsidRPr="00D4638C">
        <w:rPr>
          <w:rFonts w:ascii="Cambria" w:hAnsi="Cambria"/>
          <w:sz w:val="20"/>
          <w:szCs w:val="20"/>
        </w:rPr>
        <w:t xml:space="preserve">The Commission notes the information previously presented by the State regarding actions adopted to design protocols at the federal and state levels specifying the proper components of the investigation by law enforcement officials of a report of missing children in the context of a report of a restraining order violation. </w:t>
      </w:r>
      <w:r w:rsidRPr="00D4638C">
        <w:rPr>
          <w:rFonts w:ascii="Cambria" w:hAnsi="Cambria" w:cs="Calibri Light"/>
          <w:sz w:val="20"/>
          <w:szCs w:val="20"/>
        </w:rPr>
        <w:t>However, the Commission notes that the State has not presented detailed and up</w:t>
      </w:r>
      <w:r w:rsidR="00206BC2" w:rsidRPr="00D4638C">
        <w:rPr>
          <w:rFonts w:ascii="Cambria" w:hAnsi="Cambria" w:cs="Calibri Light"/>
          <w:sz w:val="20"/>
          <w:szCs w:val="20"/>
        </w:rPr>
        <w:t>-</w:t>
      </w:r>
      <w:r w:rsidRPr="00D4638C">
        <w:rPr>
          <w:rFonts w:ascii="Cambria" w:hAnsi="Cambria" w:cs="Calibri Light"/>
          <w:sz w:val="20"/>
          <w:szCs w:val="20"/>
        </w:rPr>
        <w:t>to</w:t>
      </w:r>
      <w:r w:rsidR="00206BC2" w:rsidRPr="00D4638C">
        <w:rPr>
          <w:rFonts w:ascii="Cambria" w:hAnsi="Cambria" w:cs="Calibri Light"/>
          <w:sz w:val="20"/>
          <w:szCs w:val="20"/>
        </w:rPr>
        <w:t>-</w:t>
      </w:r>
      <w:r w:rsidRPr="00D4638C">
        <w:rPr>
          <w:rFonts w:ascii="Cambria" w:hAnsi="Cambria" w:cs="Calibri Light"/>
          <w:sz w:val="20"/>
          <w:szCs w:val="20"/>
        </w:rPr>
        <w:t xml:space="preserve">date information on actions taken to comply with this recommendation since 2012. </w:t>
      </w:r>
      <w:r w:rsidRPr="00D4638C">
        <w:rPr>
          <w:rFonts w:ascii="Cambria" w:hAnsi="Cambria" w:cstheme="majorHAnsi"/>
          <w:sz w:val="20"/>
          <w:szCs w:val="20"/>
        </w:rPr>
        <w:t xml:space="preserve">Based on this, the Commission finds that Recommendations 7 </w:t>
      </w:r>
      <w:proofErr w:type="gramStart"/>
      <w:r w:rsidR="00746CFC" w:rsidRPr="00D4638C">
        <w:rPr>
          <w:rFonts w:ascii="Cambria" w:hAnsi="Cambria" w:cstheme="majorHAnsi"/>
          <w:sz w:val="20"/>
          <w:szCs w:val="20"/>
        </w:rPr>
        <w:t xml:space="preserve">has been </w:t>
      </w:r>
      <w:r w:rsidRPr="00D4638C">
        <w:rPr>
          <w:rFonts w:ascii="Cambria" w:hAnsi="Cambria" w:cstheme="majorHAnsi"/>
          <w:sz w:val="20"/>
          <w:szCs w:val="20"/>
        </w:rPr>
        <w:t>partially complied</w:t>
      </w:r>
      <w:proofErr w:type="gramEnd"/>
      <w:r w:rsidR="00746CFC" w:rsidRPr="00D4638C">
        <w:rPr>
          <w:rFonts w:ascii="Cambria" w:hAnsi="Cambria" w:cstheme="majorHAnsi"/>
          <w:sz w:val="20"/>
          <w:szCs w:val="20"/>
        </w:rPr>
        <w:t xml:space="preserve"> with</w:t>
      </w:r>
      <w:r w:rsidRPr="00D4638C">
        <w:rPr>
          <w:rFonts w:ascii="Cambria" w:hAnsi="Cambria" w:cstheme="majorHAnsi"/>
          <w:sz w:val="20"/>
          <w:szCs w:val="20"/>
        </w:rPr>
        <w:t>.</w:t>
      </w:r>
    </w:p>
    <w:p w14:paraId="6D81B6EA" w14:textId="77777777" w:rsidR="000679FF" w:rsidRPr="00D4638C" w:rsidRDefault="000679FF" w:rsidP="000679FF">
      <w:pPr>
        <w:spacing w:after="0" w:line="240" w:lineRule="auto"/>
        <w:jc w:val="both"/>
        <w:rPr>
          <w:rFonts w:ascii="Cambria" w:hAnsi="Cambria"/>
          <w:sz w:val="20"/>
          <w:szCs w:val="20"/>
        </w:rPr>
      </w:pPr>
    </w:p>
    <w:p w14:paraId="24533056" w14:textId="6BB2E58A" w:rsidR="002B5098" w:rsidRPr="00D4638C" w:rsidRDefault="00BF2A31" w:rsidP="00BF2A31">
      <w:pPr>
        <w:pStyle w:val="ListParagraph"/>
        <w:numPr>
          <w:ilvl w:val="0"/>
          <w:numId w:val="37"/>
        </w:numPr>
        <w:spacing w:after="0" w:line="240" w:lineRule="auto"/>
        <w:ind w:left="1440"/>
        <w:jc w:val="both"/>
        <w:rPr>
          <w:rFonts w:ascii="Cambria" w:hAnsi="Cambria" w:cs="Calibri Light"/>
          <w:b/>
          <w:sz w:val="20"/>
          <w:szCs w:val="20"/>
        </w:rPr>
      </w:pPr>
      <w:r w:rsidRPr="00D4638C">
        <w:rPr>
          <w:rFonts w:ascii="Cambria" w:hAnsi="Cambria" w:cs="Calibri Light"/>
          <w:b/>
          <w:sz w:val="20"/>
          <w:szCs w:val="20"/>
        </w:rPr>
        <w:t xml:space="preserve">Level </w:t>
      </w:r>
      <w:r w:rsidR="002B5098" w:rsidRPr="00D4638C">
        <w:rPr>
          <w:rFonts w:ascii="Cambria" w:hAnsi="Cambria" w:cs="Calibri Light"/>
          <w:b/>
          <w:sz w:val="20"/>
          <w:szCs w:val="20"/>
        </w:rPr>
        <w:t xml:space="preserve">of compliance of the case  </w:t>
      </w:r>
    </w:p>
    <w:p w14:paraId="26721A80" w14:textId="77777777" w:rsidR="002B5098" w:rsidRPr="00D4638C" w:rsidRDefault="002B5098" w:rsidP="002B5098">
      <w:pPr>
        <w:spacing w:after="0" w:line="240" w:lineRule="auto"/>
        <w:jc w:val="both"/>
        <w:rPr>
          <w:rFonts w:ascii="Cambria" w:hAnsi="Cambria" w:cs="Calibri Light"/>
          <w:sz w:val="20"/>
          <w:szCs w:val="20"/>
        </w:rPr>
      </w:pPr>
    </w:p>
    <w:p w14:paraId="026F7061" w14:textId="77777777" w:rsidR="00AC3C47" w:rsidRPr="00D4638C" w:rsidRDefault="00AC3C47" w:rsidP="00854124">
      <w:pPr>
        <w:pStyle w:val="ListParagraph"/>
        <w:numPr>
          <w:ilvl w:val="0"/>
          <w:numId w:val="30"/>
        </w:numPr>
        <w:spacing w:after="0" w:line="240" w:lineRule="auto"/>
        <w:jc w:val="both"/>
        <w:rPr>
          <w:rFonts w:ascii="Cambria" w:hAnsi="Cambria" w:cs="Calibri Light"/>
          <w:sz w:val="20"/>
          <w:szCs w:val="20"/>
        </w:rPr>
      </w:pPr>
      <w:r w:rsidRPr="00D4638C">
        <w:rPr>
          <w:rFonts w:ascii="Cambria" w:hAnsi="Cambria" w:cs="Calibri Light"/>
          <w:sz w:val="20"/>
          <w:szCs w:val="20"/>
        </w:rPr>
        <w:t xml:space="preserve">Based on the foregoing, the IACHR concludes that the compliance of the case is partial. Consequently, the Commission will continue to monitor compliance with Recommendations 1 to </w:t>
      </w:r>
      <w:proofErr w:type="gramStart"/>
      <w:r w:rsidRPr="00D4638C">
        <w:rPr>
          <w:rFonts w:ascii="Cambria" w:hAnsi="Cambria" w:cs="Calibri Light"/>
          <w:sz w:val="20"/>
          <w:szCs w:val="20"/>
        </w:rPr>
        <w:t>7</w:t>
      </w:r>
      <w:proofErr w:type="gramEnd"/>
      <w:r w:rsidRPr="00D4638C">
        <w:rPr>
          <w:rFonts w:ascii="Cambria" w:hAnsi="Cambria" w:cs="Calibri Light"/>
          <w:sz w:val="20"/>
          <w:szCs w:val="20"/>
        </w:rPr>
        <w:t xml:space="preserve">. </w:t>
      </w:r>
    </w:p>
    <w:p w14:paraId="0836DE7B" w14:textId="77777777" w:rsidR="00AC3C47" w:rsidRPr="00D4638C" w:rsidRDefault="00AC3C47" w:rsidP="00AC3C47">
      <w:pPr>
        <w:pStyle w:val="ListParagraph"/>
        <w:spacing w:after="0" w:line="240" w:lineRule="auto"/>
        <w:jc w:val="both"/>
        <w:rPr>
          <w:rFonts w:ascii="Cambria" w:hAnsi="Cambria" w:cs="Calibri Light"/>
          <w:sz w:val="20"/>
          <w:szCs w:val="20"/>
        </w:rPr>
      </w:pPr>
    </w:p>
    <w:p w14:paraId="3002C60E" w14:textId="7FA83992" w:rsidR="00A9113F" w:rsidRPr="00D4638C" w:rsidRDefault="00AC3C47" w:rsidP="00854124">
      <w:pPr>
        <w:pStyle w:val="ListParagraph"/>
        <w:numPr>
          <w:ilvl w:val="0"/>
          <w:numId w:val="30"/>
        </w:numPr>
        <w:spacing w:after="0" w:line="240" w:lineRule="auto"/>
        <w:jc w:val="both"/>
        <w:rPr>
          <w:rFonts w:ascii="Cambria" w:hAnsi="Cambria" w:cs="Calibri Light"/>
          <w:sz w:val="20"/>
          <w:szCs w:val="20"/>
        </w:rPr>
      </w:pPr>
      <w:r w:rsidRPr="00D4638C">
        <w:rPr>
          <w:rFonts w:ascii="Cambria" w:hAnsi="Cambria" w:cs="Calibri Light"/>
          <w:sz w:val="20"/>
          <w:szCs w:val="20"/>
        </w:rPr>
        <w:t xml:space="preserve">The IACHR urges the State to adopt the necessary measures </w:t>
      </w:r>
      <w:proofErr w:type="gramStart"/>
      <w:r w:rsidRPr="00D4638C">
        <w:rPr>
          <w:rFonts w:ascii="Cambria" w:hAnsi="Cambria" w:cs="Calibri Light"/>
          <w:sz w:val="20"/>
          <w:szCs w:val="20"/>
        </w:rPr>
        <w:t xml:space="preserve">to </w:t>
      </w:r>
      <w:r w:rsidR="00746CFC" w:rsidRPr="00D4638C">
        <w:rPr>
          <w:rFonts w:ascii="Cambria" w:hAnsi="Cambria" w:cs="Calibri Light"/>
          <w:sz w:val="20"/>
          <w:szCs w:val="20"/>
        </w:rPr>
        <w:t xml:space="preserve">fully </w:t>
      </w:r>
      <w:r w:rsidRPr="00D4638C">
        <w:rPr>
          <w:rFonts w:ascii="Cambria" w:hAnsi="Cambria" w:cs="Calibri Light"/>
          <w:sz w:val="20"/>
          <w:szCs w:val="20"/>
        </w:rPr>
        <w:t>comply</w:t>
      </w:r>
      <w:proofErr w:type="gramEnd"/>
      <w:r w:rsidRPr="00D4638C">
        <w:rPr>
          <w:rFonts w:ascii="Cambria" w:hAnsi="Cambria" w:cs="Calibri Light"/>
          <w:sz w:val="20"/>
          <w:szCs w:val="20"/>
        </w:rPr>
        <w:t xml:space="preserve"> with the recommendations iss</w:t>
      </w:r>
      <w:r w:rsidR="009272B6" w:rsidRPr="00D4638C">
        <w:rPr>
          <w:rFonts w:ascii="Cambria" w:hAnsi="Cambria" w:cs="Calibri Light"/>
          <w:sz w:val="20"/>
          <w:szCs w:val="20"/>
        </w:rPr>
        <w:t>ued in Merits Report No. 80/11 and to provide it with detailed and up to date information about these actions</w:t>
      </w:r>
      <w:r w:rsidRPr="00D4638C">
        <w:rPr>
          <w:rFonts w:ascii="Cambria" w:hAnsi="Cambria" w:cs="Calibri Light"/>
          <w:sz w:val="20"/>
          <w:szCs w:val="20"/>
        </w:rPr>
        <w:t xml:space="preserve">.  </w:t>
      </w:r>
    </w:p>
    <w:p w14:paraId="7574DD2D" w14:textId="77777777" w:rsidR="00A9113F" w:rsidRPr="00D4638C" w:rsidRDefault="00A9113F" w:rsidP="002B5098">
      <w:pPr>
        <w:spacing w:after="0" w:line="240" w:lineRule="auto"/>
        <w:rPr>
          <w:rFonts w:ascii="Cambria" w:hAnsi="Cambria"/>
          <w:sz w:val="20"/>
          <w:szCs w:val="20"/>
        </w:rPr>
      </w:pPr>
    </w:p>
    <w:p w14:paraId="1F55FC3D" w14:textId="69462264" w:rsidR="002B5098" w:rsidRPr="00D4638C" w:rsidRDefault="002B5098" w:rsidP="00976B01">
      <w:pPr>
        <w:pStyle w:val="ListParagraph"/>
        <w:numPr>
          <w:ilvl w:val="0"/>
          <w:numId w:val="37"/>
        </w:numPr>
        <w:spacing w:after="0" w:line="240" w:lineRule="auto"/>
        <w:ind w:left="1440"/>
        <w:rPr>
          <w:rFonts w:ascii="Cambria" w:hAnsi="Cambria"/>
          <w:b/>
          <w:sz w:val="20"/>
          <w:szCs w:val="20"/>
        </w:rPr>
      </w:pPr>
      <w:r w:rsidRPr="00D4638C">
        <w:rPr>
          <w:rFonts w:ascii="Cambria" w:hAnsi="Cambria"/>
          <w:b/>
          <w:sz w:val="20"/>
          <w:szCs w:val="20"/>
        </w:rPr>
        <w:t xml:space="preserve">Individual and structural </w:t>
      </w:r>
      <w:r w:rsidR="00976B01" w:rsidRPr="00D4638C">
        <w:rPr>
          <w:rFonts w:ascii="Cambria" w:hAnsi="Cambria"/>
          <w:b/>
          <w:sz w:val="20"/>
          <w:szCs w:val="20"/>
        </w:rPr>
        <w:t>results</w:t>
      </w:r>
      <w:r w:rsidRPr="00D4638C">
        <w:rPr>
          <w:rFonts w:ascii="Cambria" w:hAnsi="Cambria"/>
          <w:b/>
          <w:sz w:val="20"/>
          <w:szCs w:val="20"/>
        </w:rPr>
        <w:t xml:space="preserve"> of the case </w:t>
      </w:r>
    </w:p>
    <w:p w14:paraId="26428E60" w14:textId="77777777" w:rsidR="00B85477" w:rsidRPr="00D4638C" w:rsidRDefault="00B85477" w:rsidP="00B85477">
      <w:pPr>
        <w:spacing w:after="0" w:line="240" w:lineRule="auto"/>
        <w:rPr>
          <w:rFonts w:ascii="Cambria" w:hAnsi="Cambria"/>
          <w:b/>
          <w:sz w:val="20"/>
          <w:szCs w:val="20"/>
        </w:rPr>
      </w:pPr>
    </w:p>
    <w:p w14:paraId="16E76B38" w14:textId="4B00B3F6" w:rsidR="00B85477" w:rsidRPr="00D4638C" w:rsidRDefault="00B85477" w:rsidP="00854124">
      <w:pPr>
        <w:pStyle w:val="ListParagraph"/>
        <w:numPr>
          <w:ilvl w:val="0"/>
          <w:numId w:val="30"/>
        </w:numPr>
        <w:spacing w:after="0" w:line="240" w:lineRule="auto"/>
        <w:jc w:val="both"/>
        <w:rPr>
          <w:rFonts w:ascii="Cambria" w:hAnsi="Cambria"/>
          <w:b/>
          <w:sz w:val="20"/>
          <w:szCs w:val="20"/>
        </w:rPr>
      </w:pPr>
      <w:r w:rsidRPr="00D4638C">
        <w:rPr>
          <w:rFonts w:ascii="Cambria" w:hAnsi="Cambria"/>
          <w:sz w:val="20"/>
          <w:szCs w:val="20"/>
        </w:rPr>
        <w:t xml:space="preserve">This section highlights the individual and structural results of the case </w:t>
      </w:r>
      <w:r w:rsidR="00371264" w:rsidRPr="00D4638C">
        <w:rPr>
          <w:rFonts w:ascii="Cambria" w:hAnsi="Cambria"/>
          <w:sz w:val="20"/>
          <w:szCs w:val="20"/>
        </w:rPr>
        <w:t>that</w:t>
      </w:r>
      <w:r w:rsidRPr="00D4638C">
        <w:rPr>
          <w:rFonts w:ascii="Cambria" w:hAnsi="Cambria"/>
          <w:sz w:val="20"/>
          <w:szCs w:val="20"/>
        </w:rPr>
        <w:t xml:space="preserve"> </w:t>
      </w:r>
      <w:proofErr w:type="gramStart"/>
      <w:r w:rsidRPr="00D4638C">
        <w:rPr>
          <w:rFonts w:ascii="Cambria" w:hAnsi="Cambria"/>
          <w:sz w:val="20"/>
          <w:szCs w:val="20"/>
        </w:rPr>
        <w:t>have been informed</w:t>
      </w:r>
      <w:proofErr w:type="gramEnd"/>
      <w:r w:rsidRPr="00D4638C">
        <w:rPr>
          <w:rFonts w:ascii="Cambria" w:hAnsi="Cambria"/>
          <w:sz w:val="20"/>
          <w:szCs w:val="20"/>
        </w:rPr>
        <w:t xml:space="preserve"> by the parties.  </w:t>
      </w:r>
    </w:p>
    <w:p w14:paraId="40BA716C" w14:textId="77777777" w:rsidR="002B5098" w:rsidRPr="00D4638C" w:rsidRDefault="002B5098" w:rsidP="002B5098">
      <w:pPr>
        <w:spacing w:after="0" w:line="240" w:lineRule="auto"/>
        <w:rPr>
          <w:rFonts w:ascii="Cambria" w:hAnsi="Cambria"/>
          <w:b/>
          <w:sz w:val="20"/>
          <w:szCs w:val="20"/>
        </w:rPr>
      </w:pPr>
    </w:p>
    <w:p w14:paraId="4B9E1E17" w14:textId="32729F88" w:rsidR="002B5098" w:rsidRPr="00D4638C" w:rsidRDefault="002B5098" w:rsidP="00976B01">
      <w:pPr>
        <w:pStyle w:val="ListParagraph"/>
        <w:numPr>
          <w:ilvl w:val="0"/>
          <w:numId w:val="5"/>
        </w:numPr>
        <w:spacing w:after="0" w:line="240" w:lineRule="auto"/>
        <w:ind w:left="1440" w:hanging="720"/>
        <w:rPr>
          <w:rFonts w:ascii="Cambria" w:hAnsi="Cambria"/>
          <w:b/>
          <w:sz w:val="20"/>
          <w:szCs w:val="20"/>
        </w:rPr>
      </w:pPr>
      <w:r w:rsidRPr="00D4638C">
        <w:rPr>
          <w:rFonts w:ascii="Cambria" w:hAnsi="Cambria"/>
          <w:b/>
          <w:sz w:val="20"/>
          <w:szCs w:val="20"/>
        </w:rPr>
        <w:t xml:space="preserve">Individual </w:t>
      </w:r>
      <w:r w:rsidR="00976B01" w:rsidRPr="00D4638C">
        <w:rPr>
          <w:rFonts w:ascii="Cambria" w:hAnsi="Cambria"/>
          <w:b/>
          <w:sz w:val="20"/>
          <w:szCs w:val="20"/>
        </w:rPr>
        <w:t>results</w:t>
      </w:r>
      <w:r w:rsidRPr="00D4638C">
        <w:rPr>
          <w:rFonts w:ascii="Cambria" w:hAnsi="Cambria"/>
          <w:b/>
          <w:sz w:val="20"/>
          <w:szCs w:val="20"/>
        </w:rPr>
        <w:t xml:space="preserve"> of the case </w:t>
      </w:r>
    </w:p>
    <w:p w14:paraId="0BF53ABD" w14:textId="77777777" w:rsidR="002B5098" w:rsidRPr="00D4638C" w:rsidRDefault="002B5098" w:rsidP="002B5098">
      <w:pPr>
        <w:spacing w:after="0" w:line="240" w:lineRule="auto"/>
        <w:rPr>
          <w:rFonts w:ascii="Cambria" w:hAnsi="Cambria"/>
          <w:b/>
          <w:sz w:val="20"/>
          <w:szCs w:val="20"/>
        </w:rPr>
      </w:pPr>
    </w:p>
    <w:p w14:paraId="24218604" w14:textId="79A75893" w:rsidR="0092556F" w:rsidRPr="00D4638C" w:rsidRDefault="0049698D" w:rsidP="0049698D">
      <w:pPr>
        <w:pStyle w:val="ListParagraph"/>
        <w:numPr>
          <w:ilvl w:val="0"/>
          <w:numId w:val="40"/>
        </w:numPr>
        <w:spacing w:after="0" w:line="240" w:lineRule="auto"/>
        <w:jc w:val="both"/>
        <w:rPr>
          <w:rFonts w:ascii="Cambria" w:hAnsi="Cambria"/>
          <w:sz w:val="20"/>
          <w:szCs w:val="20"/>
        </w:rPr>
      </w:pPr>
      <w:proofErr w:type="gramStart"/>
      <w:r w:rsidRPr="00D4638C">
        <w:rPr>
          <w:rFonts w:ascii="Cambria" w:hAnsi="Cambria"/>
          <w:sz w:val="20"/>
          <w:szCs w:val="20"/>
        </w:rPr>
        <w:t>No individual results have been informed by the parties</w:t>
      </w:r>
      <w:proofErr w:type="gramEnd"/>
      <w:r w:rsidRPr="00D4638C">
        <w:rPr>
          <w:rFonts w:ascii="Cambria" w:hAnsi="Cambria"/>
          <w:sz w:val="20"/>
          <w:szCs w:val="20"/>
        </w:rPr>
        <w:t xml:space="preserve">. </w:t>
      </w:r>
    </w:p>
    <w:p w14:paraId="481107AB" w14:textId="77777777" w:rsidR="00A9113F" w:rsidRPr="00D4638C" w:rsidRDefault="00A9113F" w:rsidP="00A9113F">
      <w:pPr>
        <w:pStyle w:val="ListParagraph"/>
        <w:spacing w:after="0" w:line="240" w:lineRule="auto"/>
        <w:jc w:val="both"/>
        <w:rPr>
          <w:rFonts w:ascii="Cambria" w:hAnsi="Cambria"/>
          <w:sz w:val="20"/>
          <w:szCs w:val="20"/>
        </w:rPr>
      </w:pPr>
    </w:p>
    <w:p w14:paraId="505FFDB1" w14:textId="77777777" w:rsidR="002B5098" w:rsidRPr="00D4638C" w:rsidRDefault="002B5098" w:rsidP="00D519EA">
      <w:pPr>
        <w:pStyle w:val="ListParagraph"/>
        <w:numPr>
          <w:ilvl w:val="0"/>
          <w:numId w:val="5"/>
        </w:numPr>
        <w:spacing w:after="0" w:line="240" w:lineRule="auto"/>
        <w:ind w:left="1440" w:hanging="720"/>
        <w:jc w:val="both"/>
        <w:rPr>
          <w:rFonts w:ascii="Cambria" w:hAnsi="Cambria"/>
          <w:b/>
          <w:sz w:val="20"/>
          <w:szCs w:val="20"/>
        </w:rPr>
      </w:pPr>
      <w:r w:rsidRPr="00D4638C">
        <w:rPr>
          <w:rFonts w:ascii="Cambria" w:hAnsi="Cambria"/>
          <w:b/>
          <w:sz w:val="20"/>
          <w:szCs w:val="20"/>
        </w:rPr>
        <w:t xml:space="preserve">Structural impact of the case </w:t>
      </w:r>
    </w:p>
    <w:p w14:paraId="1B5E1182" w14:textId="77777777" w:rsidR="0092556F" w:rsidRPr="00D4638C" w:rsidRDefault="0092556F" w:rsidP="00D519EA">
      <w:pPr>
        <w:pStyle w:val="ListParagraph"/>
        <w:spacing w:after="0" w:line="240" w:lineRule="auto"/>
        <w:jc w:val="both"/>
        <w:rPr>
          <w:rFonts w:ascii="Cambria" w:hAnsi="Cambria"/>
          <w:b/>
          <w:sz w:val="20"/>
          <w:szCs w:val="20"/>
        </w:rPr>
      </w:pPr>
    </w:p>
    <w:p w14:paraId="60EF0B40" w14:textId="422D4666" w:rsidR="0092556F" w:rsidRPr="00D4638C" w:rsidRDefault="0092556F" w:rsidP="00D519EA">
      <w:pPr>
        <w:spacing w:after="0" w:line="240" w:lineRule="auto"/>
        <w:jc w:val="both"/>
        <w:rPr>
          <w:rFonts w:ascii="Cambria" w:hAnsi="Cambria"/>
          <w:i/>
          <w:sz w:val="20"/>
          <w:szCs w:val="20"/>
        </w:rPr>
      </w:pPr>
      <w:r w:rsidRPr="00D4638C">
        <w:rPr>
          <w:rFonts w:ascii="Cambria" w:hAnsi="Cambria"/>
          <w:i/>
          <w:sz w:val="20"/>
          <w:szCs w:val="20"/>
        </w:rPr>
        <w:t>Public policies</w:t>
      </w:r>
    </w:p>
    <w:p w14:paraId="094D11C8" w14:textId="541EC078" w:rsidR="00B35F77" w:rsidRPr="00D4638C" w:rsidRDefault="00B35F77" w:rsidP="00D519EA">
      <w:pPr>
        <w:pStyle w:val="ListParagraph"/>
        <w:numPr>
          <w:ilvl w:val="0"/>
          <w:numId w:val="35"/>
        </w:numPr>
        <w:spacing w:after="0" w:line="240" w:lineRule="auto"/>
        <w:jc w:val="both"/>
        <w:rPr>
          <w:rFonts w:ascii="Cambria" w:hAnsi="Cambria"/>
          <w:sz w:val="20"/>
          <w:szCs w:val="20"/>
        </w:rPr>
      </w:pPr>
      <w:r w:rsidRPr="00D4638C">
        <w:rPr>
          <w:rFonts w:ascii="Cambria" w:hAnsi="Cambria"/>
          <w:sz w:val="20"/>
          <w:szCs w:val="20"/>
        </w:rPr>
        <w:t xml:space="preserve">The adoption by over 30 municipalities of resolutions and </w:t>
      </w:r>
      <w:proofErr w:type="gramStart"/>
      <w:r w:rsidRPr="00D4638C">
        <w:rPr>
          <w:rFonts w:ascii="Cambria" w:hAnsi="Cambria"/>
          <w:sz w:val="20"/>
          <w:szCs w:val="20"/>
        </w:rPr>
        <w:t>publications which</w:t>
      </w:r>
      <w:proofErr w:type="gramEnd"/>
      <w:r w:rsidRPr="00D4638C">
        <w:rPr>
          <w:rFonts w:ascii="Cambria" w:hAnsi="Cambria"/>
          <w:sz w:val="20"/>
          <w:szCs w:val="20"/>
        </w:rPr>
        <w:t xml:space="preserve"> recognize “freedom from domestic violence is a basic human right”, citing Jessica </w:t>
      </w:r>
      <w:proofErr w:type="spellStart"/>
      <w:r w:rsidRPr="00D4638C">
        <w:rPr>
          <w:rFonts w:ascii="Cambria" w:hAnsi="Cambria"/>
          <w:sz w:val="20"/>
          <w:szCs w:val="20"/>
        </w:rPr>
        <w:t>Lenahan’s</w:t>
      </w:r>
      <w:proofErr w:type="spellEnd"/>
      <w:r w:rsidRPr="00D4638C">
        <w:rPr>
          <w:rFonts w:ascii="Cambria" w:hAnsi="Cambria"/>
          <w:sz w:val="20"/>
          <w:szCs w:val="20"/>
        </w:rPr>
        <w:t xml:space="preserve"> case, since 2011.</w:t>
      </w:r>
    </w:p>
    <w:p w14:paraId="6DC8386C" w14:textId="25C6BBA8" w:rsidR="00A9113F" w:rsidRPr="00D4638C" w:rsidRDefault="00B35F77" w:rsidP="00B35F77">
      <w:pPr>
        <w:pStyle w:val="ListParagraph"/>
        <w:numPr>
          <w:ilvl w:val="0"/>
          <w:numId w:val="35"/>
        </w:numPr>
        <w:spacing w:after="0" w:line="240" w:lineRule="auto"/>
        <w:jc w:val="both"/>
        <w:rPr>
          <w:rFonts w:ascii="Cambria" w:hAnsi="Cambria"/>
          <w:sz w:val="20"/>
          <w:szCs w:val="20"/>
        </w:rPr>
      </w:pPr>
      <w:r w:rsidRPr="00D4638C">
        <w:rPr>
          <w:rFonts w:ascii="Cambria" w:hAnsi="Cambria" w:cstheme="majorHAnsi"/>
          <w:bCs/>
          <w:sz w:val="20"/>
          <w:szCs w:val="20"/>
        </w:rPr>
        <w:t xml:space="preserve">Implementation by the </w:t>
      </w:r>
      <w:r w:rsidRPr="00D4638C">
        <w:rPr>
          <w:rFonts w:ascii="Cambria" w:hAnsi="Cambria"/>
          <w:sz w:val="20"/>
          <w:szCs w:val="20"/>
        </w:rPr>
        <w:t xml:space="preserve">Office on Violence against Women of the </w:t>
      </w:r>
      <w:r w:rsidR="00A9113F" w:rsidRPr="00D4638C">
        <w:rPr>
          <w:rFonts w:ascii="Cambria" w:hAnsi="Cambria" w:cstheme="majorHAnsi"/>
          <w:bCs/>
          <w:sz w:val="20"/>
          <w:szCs w:val="20"/>
        </w:rPr>
        <w:t>Family Court Demonstration I</w:t>
      </w:r>
      <w:r w:rsidRPr="00D4638C">
        <w:rPr>
          <w:rFonts w:ascii="Cambria" w:hAnsi="Cambria" w:cstheme="majorHAnsi"/>
          <w:bCs/>
          <w:sz w:val="20"/>
          <w:szCs w:val="20"/>
        </w:rPr>
        <w:t xml:space="preserve">nitiative (FCDI), the goal </w:t>
      </w:r>
      <w:r w:rsidR="00A9113F" w:rsidRPr="00D4638C">
        <w:rPr>
          <w:rFonts w:ascii="Cambria" w:hAnsi="Cambria" w:cstheme="majorHAnsi"/>
          <w:sz w:val="20"/>
          <w:szCs w:val="20"/>
        </w:rPr>
        <w:t xml:space="preserve">of </w:t>
      </w:r>
      <w:r w:rsidRPr="00D4638C">
        <w:rPr>
          <w:rFonts w:ascii="Cambria" w:hAnsi="Cambria" w:cstheme="majorHAnsi"/>
          <w:sz w:val="20"/>
          <w:szCs w:val="20"/>
        </w:rPr>
        <w:t xml:space="preserve">which is </w:t>
      </w:r>
      <w:r w:rsidR="00A9113F" w:rsidRPr="00D4638C">
        <w:rPr>
          <w:rFonts w:ascii="Cambria" w:hAnsi="Cambria" w:cstheme="majorHAnsi"/>
          <w:sz w:val="20"/>
          <w:szCs w:val="20"/>
        </w:rPr>
        <w:t>to determine what family court procedures, practices, and structures related to custody and visitation can help keep victims of domestic violence and their children safe fr</w:t>
      </w:r>
      <w:r w:rsidRPr="00D4638C">
        <w:rPr>
          <w:rFonts w:ascii="Cambria" w:hAnsi="Cambria" w:cstheme="majorHAnsi"/>
          <w:sz w:val="20"/>
          <w:szCs w:val="20"/>
        </w:rPr>
        <w:t>om further violence and trauma.</w:t>
      </w:r>
    </w:p>
    <w:p w14:paraId="2C8D5B5C" w14:textId="77777777" w:rsidR="0092556F" w:rsidRPr="00D4638C" w:rsidRDefault="0092556F" w:rsidP="00D519EA">
      <w:pPr>
        <w:pStyle w:val="ListParagraph"/>
        <w:spacing w:after="0" w:line="240" w:lineRule="auto"/>
        <w:jc w:val="both"/>
        <w:rPr>
          <w:rFonts w:ascii="Cambria" w:hAnsi="Cambria" w:cstheme="majorHAnsi"/>
          <w:bCs/>
          <w:sz w:val="20"/>
          <w:szCs w:val="20"/>
        </w:rPr>
      </w:pPr>
    </w:p>
    <w:p w14:paraId="288D85EA" w14:textId="5B627692" w:rsidR="0092556F" w:rsidRPr="00D4638C" w:rsidRDefault="0092556F" w:rsidP="00D519EA">
      <w:pPr>
        <w:spacing w:after="0" w:line="240" w:lineRule="auto"/>
        <w:jc w:val="both"/>
        <w:rPr>
          <w:rFonts w:ascii="Cambria" w:hAnsi="Cambria" w:cstheme="majorHAnsi"/>
          <w:bCs/>
          <w:i/>
          <w:sz w:val="20"/>
          <w:szCs w:val="20"/>
        </w:rPr>
      </w:pPr>
      <w:r w:rsidRPr="00D4638C">
        <w:rPr>
          <w:rFonts w:ascii="Cambria" w:hAnsi="Cambria" w:cstheme="majorHAnsi"/>
          <w:bCs/>
          <w:i/>
          <w:sz w:val="20"/>
          <w:szCs w:val="20"/>
        </w:rPr>
        <w:t>Institutional strengthening</w:t>
      </w:r>
    </w:p>
    <w:p w14:paraId="71D6AE4B" w14:textId="7BD0BBDC" w:rsidR="00215ECA" w:rsidRPr="00D4638C" w:rsidRDefault="00954824" w:rsidP="00215ECA">
      <w:pPr>
        <w:pStyle w:val="ListParagraph"/>
        <w:numPr>
          <w:ilvl w:val="0"/>
          <w:numId w:val="35"/>
        </w:numPr>
        <w:spacing w:after="0" w:line="240" w:lineRule="auto"/>
        <w:jc w:val="both"/>
        <w:rPr>
          <w:rFonts w:ascii="Cambria" w:hAnsi="Cambria"/>
          <w:sz w:val="20"/>
          <w:szCs w:val="20"/>
        </w:rPr>
      </w:pPr>
      <w:r w:rsidRPr="00D4638C">
        <w:rPr>
          <w:rFonts w:ascii="Cambria" w:hAnsi="Cambria"/>
          <w:sz w:val="20"/>
          <w:szCs w:val="20"/>
        </w:rPr>
        <w:t>U</w:t>
      </w:r>
      <w:r w:rsidR="00215ECA" w:rsidRPr="00D4638C">
        <w:rPr>
          <w:rFonts w:ascii="Cambria" w:hAnsi="Cambria"/>
          <w:sz w:val="20"/>
          <w:szCs w:val="20"/>
        </w:rPr>
        <w:t xml:space="preserve">se </w:t>
      </w:r>
      <w:r w:rsidRPr="00D4638C">
        <w:rPr>
          <w:rFonts w:ascii="Cambria" w:hAnsi="Cambria"/>
          <w:sz w:val="20"/>
          <w:szCs w:val="20"/>
        </w:rPr>
        <w:t xml:space="preserve">of </w:t>
      </w:r>
      <w:r w:rsidR="00215ECA" w:rsidRPr="00D4638C">
        <w:rPr>
          <w:rFonts w:ascii="Cambria" w:hAnsi="Cambria"/>
          <w:sz w:val="20"/>
          <w:szCs w:val="20"/>
        </w:rPr>
        <w:t xml:space="preserve">STOP funds </w:t>
      </w:r>
      <w:r w:rsidRPr="00D4638C">
        <w:rPr>
          <w:rFonts w:ascii="Cambria" w:hAnsi="Cambria"/>
          <w:sz w:val="20"/>
          <w:szCs w:val="20"/>
        </w:rPr>
        <w:t xml:space="preserve">by states </w:t>
      </w:r>
      <w:r w:rsidR="00215ECA" w:rsidRPr="00D4638C">
        <w:rPr>
          <w:rFonts w:ascii="Cambria" w:hAnsi="Cambria"/>
          <w:sz w:val="20"/>
          <w:szCs w:val="20"/>
        </w:rPr>
        <w:t xml:space="preserve">to place special victim assistants, known as “Jessica Gonzales Victim Assistants,” in local law enforcement agencies, in order to improve the enforcement of protection orders. </w:t>
      </w:r>
    </w:p>
    <w:p w14:paraId="0034C0C4" w14:textId="23C1CDBB" w:rsidR="00BC5513" w:rsidRPr="00D4638C" w:rsidRDefault="00BC5513" w:rsidP="00BC5513">
      <w:pPr>
        <w:pStyle w:val="ListParagraph"/>
        <w:numPr>
          <w:ilvl w:val="0"/>
          <w:numId w:val="35"/>
        </w:numPr>
        <w:spacing w:after="0" w:line="240" w:lineRule="auto"/>
        <w:jc w:val="both"/>
        <w:rPr>
          <w:rFonts w:ascii="Cambria" w:hAnsi="Cambria"/>
          <w:sz w:val="20"/>
          <w:szCs w:val="20"/>
        </w:rPr>
      </w:pPr>
      <w:proofErr w:type="gramStart"/>
      <w:r w:rsidRPr="00D4638C">
        <w:rPr>
          <w:rFonts w:ascii="Cambria" w:hAnsi="Cambria"/>
          <w:sz w:val="20"/>
          <w:szCs w:val="20"/>
        </w:rPr>
        <w:t>Implementation of various training and technical assistance projects by the Office on Violence against Women aimed at increasing the enforcement of protection orders and improving the response to violence against women, including the National Center for Full Faith and Credit, Project Passport, the publication of the manual “Civil Protection Orders: A Guide for Improving Practice”, Blueprint for Safety Initiative, Lethality Assessment TA Project, Danger Assessment and Ris</w:t>
      </w:r>
      <w:r w:rsidR="009D54A5" w:rsidRPr="00D4638C">
        <w:rPr>
          <w:rFonts w:ascii="Cambria" w:hAnsi="Cambria"/>
          <w:sz w:val="20"/>
          <w:szCs w:val="20"/>
        </w:rPr>
        <w:t>k Management Training Project.</w:t>
      </w:r>
      <w:proofErr w:type="gramEnd"/>
      <w:r w:rsidR="009D54A5" w:rsidRPr="00D4638C">
        <w:rPr>
          <w:rFonts w:ascii="Cambria" w:hAnsi="Cambria"/>
          <w:sz w:val="20"/>
          <w:szCs w:val="20"/>
        </w:rPr>
        <w:t xml:space="preserve"> </w:t>
      </w:r>
    </w:p>
    <w:p w14:paraId="12556979" w14:textId="1F801B4E" w:rsidR="00DA2EE1" w:rsidRPr="00D4638C" w:rsidRDefault="00DA2EE1" w:rsidP="00BC5513">
      <w:pPr>
        <w:pStyle w:val="ListParagraph"/>
        <w:numPr>
          <w:ilvl w:val="0"/>
          <w:numId w:val="35"/>
        </w:numPr>
        <w:spacing w:after="0" w:line="240" w:lineRule="auto"/>
        <w:jc w:val="both"/>
        <w:rPr>
          <w:rFonts w:ascii="Cambria" w:hAnsi="Cambria"/>
          <w:sz w:val="20"/>
          <w:szCs w:val="20"/>
        </w:rPr>
      </w:pPr>
      <w:r w:rsidRPr="00D4638C">
        <w:rPr>
          <w:rFonts w:ascii="Cambria" w:hAnsi="Cambria" w:cstheme="majorHAnsi"/>
          <w:bCs/>
          <w:sz w:val="20"/>
          <w:szCs w:val="20"/>
        </w:rPr>
        <w:lastRenderedPageBreak/>
        <w:t xml:space="preserve">Adoption of the Gender Discrimination Findings and Recommendations in New Orleans Police Department Consent Decree by the New Orleans Police Department. </w:t>
      </w:r>
    </w:p>
    <w:p w14:paraId="6A1255D9" w14:textId="7070DD3C" w:rsidR="00954824" w:rsidRPr="00D4638C" w:rsidRDefault="00041DD3" w:rsidP="00954824">
      <w:pPr>
        <w:pStyle w:val="ListParagraph"/>
        <w:numPr>
          <w:ilvl w:val="0"/>
          <w:numId w:val="35"/>
        </w:numPr>
        <w:spacing w:after="0" w:line="240" w:lineRule="auto"/>
        <w:jc w:val="both"/>
        <w:rPr>
          <w:rFonts w:ascii="Cambria" w:hAnsi="Cambria"/>
          <w:sz w:val="20"/>
          <w:szCs w:val="20"/>
        </w:rPr>
      </w:pPr>
      <w:r w:rsidRPr="00D4638C">
        <w:rPr>
          <w:rFonts w:ascii="Cambria" w:hAnsi="Cambria"/>
          <w:sz w:val="20"/>
          <w:szCs w:val="20"/>
        </w:rPr>
        <w:t xml:space="preserve">Provision of training </w:t>
      </w:r>
      <w:r w:rsidR="00954824" w:rsidRPr="00D4638C">
        <w:rPr>
          <w:rFonts w:ascii="Cambria" w:hAnsi="Cambria"/>
          <w:sz w:val="20"/>
          <w:szCs w:val="20"/>
        </w:rPr>
        <w:t xml:space="preserve">by the Office on Violence against Women </w:t>
      </w:r>
      <w:r w:rsidR="00954824" w:rsidRPr="00D4638C">
        <w:rPr>
          <w:rFonts w:ascii="Cambria" w:hAnsi="Cambria" w:cstheme="majorHAnsi"/>
          <w:sz w:val="20"/>
          <w:szCs w:val="20"/>
        </w:rPr>
        <w:t>to Castle Rock Police Department during the spring of 2013.</w:t>
      </w:r>
    </w:p>
    <w:p w14:paraId="1A398D81" w14:textId="04FE5450" w:rsidR="00101FF3" w:rsidRPr="00D4638C" w:rsidRDefault="00101FF3" w:rsidP="00101FF3">
      <w:pPr>
        <w:pStyle w:val="ListParagraph"/>
        <w:numPr>
          <w:ilvl w:val="0"/>
          <w:numId w:val="35"/>
        </w:numPr>
        <w:spacing w:after="0" w:line="240" w:lineRule="auto"/>
        <w:jc w:val="both"/>
        <w:rPr>
          <w:rFonts w:ascii="Cambria" w:hAnsi="Cambria"/>
          <w:sz w:val="20"/>
          <w:szCs w:val="20"/>
        </w:rPr>
      </w:pPr>
      <w:proofErr w:type="gramStart"/>
      <w:r w:rsidRPr="00D4638C">
        <w:rPr>
          <w:rFonts w:ascii="Cambria" w:hAnsi="Cambria"/>
          <w:sz w:val="20"/>
          <w:szCs w:val="20"/>
        </w:rPr>
        <w:t>On June 20, 2013, the Office of Community Oriented Policing Services, the Office of Victims and Crime and the Office on Violence against Women of the Department of Justice issued a joint statement on gender discrimination in policing</w:t>
      </w:r>
      <w:r w:rsidR="001409E0" w:rsidRPr="00D4638C">
        <w:rPr>
          <w:rFonts w:ascii="Cambria" w:hAnsi="Cambria"/>
          <w:sz w:val="20"/>
          <w:szCs w:val="20"/>
        </w:rPr>
        <w:t xml:space="preserve"> which stated that prevention of sex-based discrimination by law enforcement is a top priority of the Civil Rights Division of the U.S. Department of Justice given of the negative role gender bias plays in the law enforcement res</w:t>
      </w:r>
      <w:r w:rsidR="009D54A5" w:rsidRPr="00D4638C">
        <w:rPr>
          <w:rFonts w:ascii="Cambria" w:hAnsi="Cambria"/>
          <w:sz w:val="20"/>
          <w:szCs w:val="20"/>
        </w:rPr>
        <w:t>ponse to crimes against women.</w:t>
      </w:r>
      <w:proofErr w:type="gramEnd"/>
      <w:r w:rsidR="009D54A5" w:rsidRPr="00D4638C">
        <w:rPr>
          <w:rFonts w:ascii="Cambria" w:hAnsi="Cambria"/>
          <w:sz w:val="20"/>
          <w:szCs w:val="20"/>
        </w:rPr>
        <w:t xml:space="preserve"> </w:t>
      </w:r>
    </w:p>
    <w:p w14:paraId="09341AB1" w14:textId="1F08141E" w:rsidR="0090792E" w:rsidRPr="00D4638C" w:rsidRDefault="0090792E" w:rsidP="0090792E">
      <w:pPr>
        <w:pStyle w:val="ListParagraph"/>
        <w:numPr>
          <w:ilvl w:val="0"/>
          <w:numId w:val="35"/>
        </w:numPr>
        <w:spacing w:after="0" w:line="240" w:lineRule="auto"/>
        <w:jc w:val="both"/>
        <w:rPr>
          <w:rFonts w:ascii="Cambria" w:hAnsi="Cambria" w:cstheme="majorHAnsi"/>
          <w:bCs/>
          <w:sz w:val="20"/>
          <w:szCs w:val="20"/>
        </w:rPr>
      </w:pPr>
      <w:r w:rsidRPr="00D4638C">
        <w:rPr>
          <w:rFonts w:ascii="Cambria" w:hAnsi="Cambria"/>
          <w:sz w:val="20"/>
          <w:szCs w:val="20"/>
        </w:rPr>
        <w:t xml:space="preserve">Office on Violence against Women supported the development of </w:t>
      </w:r>
      <w:r w:rsidRPr="00D4638C">
        <w:rPr>
          <w:rFonts w:ascii="Cambria" w:hAnsi="Cambria" w:cstheme="majorHAnsi"/>
          <w:bCs/>
          <w:sz w:val="20"/>
          <w:szCs w:val="20"/>
        </w:rPr>
        <w:t>a host of best practices materials related to the enforcement of protection orders.</w:t>
      </w:r>
      <w:r w:rsidRPr="00D4638C">
        <w:rPr>
          <w:rFonts w:ascii="Cambria" w:hAnsi="Cambria" w:cstheme="majorHAnsi"/>
          <w:sz w:val="20"/>
          <w:szCs w:val="20"/>
        </w:rPr>
        <w:t xml:space="preserve"> </w:t>
      </w:r>
    </w:p>
    <w:p w14:paraId="4DBB2393" w14:textId="6B33D22C" w:rsidR="007102C7" w:rsidRPr="00D4638C" w:rsidRDefault="007102C7" w:rsidP="007102C7">
      <w:pPr>
        <w:pStyle w:val="ListParagraph"/>
        <w:numPr>
          <w:ilvl w:val="0"/>
          <w:numId w:val="35"/>
        </w:numPr>
        <w:spacing w:after="0" w:line="240" w:lineRule="auto"/>
        <w:jc w:val="both"/>
        <w:rPr>
          <w:rFonts w:ascii="Cambria" w:hAnsi="Cambria" w:cstheme="majorHAnsi"/>
          <w:bCs/>
          <w:sz w:val="20"/>
          <w:szCs w:val="20"/>
        </w:rPr>
      </w:pPr>
      <w:r w:rsidRPr="00D4638C">
        <w:rPr>
          <w:rFonts w:ascii="Cambria" w:hAnsi="Cambria"/>
          <w:sz w:val="20"/>
          <w:szCs w:val="20"/>
        </w:rPr>
        <w:t>The U.S. Department of Justice released</w:t>
      </w:r>
      <w:r w:rsidR="000E3B7C" w:rsidRPr="00D4638C">
        <w:rPr>
          <w:rFonts w:ascii="Cambria" w:hAnsi="Cambria"/>
          <w:sz w:val="20"/>
          <w:szCs w:val="20"/>
        </w:rPr>
        <w:t xml:space="preserve">, in 2015, </w:t>
      </w:r>
      <w:r w:rsidRPr="00D4638C">
        <w:rPr>
          <w:rFonts w:ascii="Cambria" w:hAnsi="Cambria"/>
          <w:sz w:val="20"/>
          <w:szCs w:val="20"/>
        </w:rPr>
        <w:t>official DOJ guidance to law enforcement agencies on how to prevent gender bias in their response to such crimes</w:t>
      </w:r>
      <w:r w:rsidR="000E3B7C" w:rsidRPr="00D4638C">
        <w:rPr>
          <w:rFonts w:ascii="Cambria" w:hAnsi="Cambria"/>
          <w:sz w:val="20"/>
          <w:szCs w:val="20"/>
        </w:rPr>
        <w:t xml:space="preserve"> – </w:t>
      </w:r>
      <w:r w:rsidR="000E3B7C" w:rsidRPr="00D4638C">
        <w:rPr>
          <w:rFonts w:ascii="Cambria" w:hAnsi="Cambria"/>
          <w:i/>
          <w:sz w:val="20"/>
          <w:szCs w:val="20"/>
        </w:rPr>
        <w:t>Identifying and Preventing Gender Bias in Law Enforcement Response to Sexual Assault and Domestic Violence</w:t>
      </w:r>
      <w:r w:rsidRPr="00D4638C">
        <w:rPr>
          <w:rFonts w:ascii="Cambria" w:hAnsi="Cambria"/>
          <w:sz w:val="20"/>
          <w:szCs w:val="20"/>
        </w:rPr>
        <w:t xml:space="preserve">. </w:t>
      </w:r>
    </w:p>
    <w:p w14:paraId="1F50AAD3" w14:textId="6F506020" w:rsidR="007102C7" w:rsidRPr="00D4638C" w:rsidRDefault="007102C7" w:rsidP="007102C7">
      <w:pPr>
        <w:pStyle w:val="ListParagraph"/>
        <w:numPr>
          <w:ilvl w:val="0"/>
          <w:numId w:val="35"/>
        </w:numPr>
        <w:spacing w:after="0" w:line="240" w:lineRule="auto"/>
        <w:jc w:val="both"/>
        <w:rPr>
          <w:rFonts w:ascii="Cambria" w:hAnsi="Cambria" w:cstheme="majorHAnsi"/>
          <w:bCs/>
          <w:sz w:val="20"/>
          <w:szCs w:val="20"/>
        </w:rPr>
      </w:pPr>
      <w:r w:rsidRPr="00D4638C">
        <w:rPr>
          <w:rFonts w:ascii="Cambria" w:hAnsi="Cambria"/>
          <w:sz w:val="20"/>
          <w:szCs w:val="20"/>
        </w:rPr>
        <w:t xml:space="preserve">In 2016, U.S. Department of Justice established a $9.85 million grant program to implement the </w:t>
      </w:r>
      <w:r w:rsidRPr="00D4638C">
        <w:rPr>
          <w:rFonts w:ascii="Cambria" w:hAnsi="Cambria"/>
          <w:i/>
          <w:sz w:val="20"/>
          <w:szCs w:val="20"/>
        </w:rPr>
        <w:t>Identifying and Preventing Gender Bias in Law Enforcement Response to Sexual Assault and Domestic Violence</w:t>
      </w:r>
      <w:r w:rsidRPr="00D4638C">
        <w:rPr>
          <w:rFonts w:ascii="Cambria" w:hAnsi="Cambria"/>
          <w:sz w:val="20"/>
          <w:szCs w:val="20"/>
        </w:rPr>
        <w:t xml:space="preserve"> guidance nationwide.</w:t>
      </w:r>
    </w:p>
    <w:p w14:paraId="57DD4965" w14:textId="52698457" w:rsidR="00231E9A" w:rsidRPr="00D4638C" w:rsidRDefault="00231E9A" w:rsidP="00BC5513">
      <w:pPr>
        <w:pStyle w:val="ListParagraph"/>
        <w:numPr>
          <w:ilvl w:val="0"/>
          <w:numId w:val="35"/>
        </w:numPr>
        <w:spacing w:after="0" w:line="240" w:lineRule="auto"/>
        <w:jc w:val="both"/>
        <w:rPr>
          <w:rFonts w:ascii="Cambria" w:hAnsi="Cambria"/>
          <w:sz w:val="20"/>
          <w:szCs w:val="20"/>
        </w:rPr>
      </w:pPr>
      <w:r w:rsidRPr="00D4638C">
        <w:rPr>
          <w:rFonts w:ascii="Cambria" w:hAnsi="Cambria"/>
          <w:sz w:val="20"/>
          <w:szCs w:val="20"/>
        </w:rPr>
        <w:t xml:space="preserve">Implementation of a lethality assessment program in Douglas County, Colorado, in 2016, </w:t>
      </w:r>
      <w:r w:rsidR="00DA0E8E" w:rsidRPr="00D4638C">
        <w:rPr>
          <w:rFonts w:ascii="Cambria" w:hAnsi="Cambria"/>
          <w:sz w:val="20"/>
          <w:szCs w:val="20"/>
        </w:rPr>
        <w:t xml:space="preserve">through which law </w:t>
      </w:r>
      <w:r w:rsidRPr="00D4638C">
        <w:rPr>
          <w:rFonts w:ascii="Cambria" w:hAnsi="Cambria"/>
          <w:sz w:val="20"/>
          <w:szCs w:val="20"/>
        </w:rPr>
        <w:t>enforcement officials evaluate the potential threat to potential victims of domestic level and</w:t>
      </w:r>
      <w:r w:rsidR="00DA0E8E" w:rsidRPr="00D4638C">
        <w:rPr>
          <w:rFonts w:ascii="Cambria" w:hAnsi="Cambria"/>
          <w:sz w:val="20"/>
          <w:szCs w:val="20"/>
        </w:rPr>
        <w:t>, if necessary,</w:t>
      </w:r>
      <w:r w:rsidRPr="00D4638C">
        <w:rPr>
          <w:rFonts w:ascii="Cambria" w:hAnsi="Cambria"/>
          <w:sz w:val="20"/>
          <w:szCs w:val="20"/>
        </w:rPr>
        <w:t xml:space="preserve"> subsequently adopt preventative measures to protect women from imminent acts of violence</w:t>
      </w:r>
      <w:r w:rsidR="00074B93" w:rsidRPr="00D4638C">
        <w:rPr>
          <w:rFonts w:ascii="Cambria" w:hAnsi="Cambria"/>
          <w:sz w:val="20"/>
          <w:szCs w:val="20"/>
        </w:rPr>
        <w:t xml:space="preserve">. </w:t>
      </w:r>
    </w:p>
    <w:p w14:paraId="677F51D4" w14:textId="77777777" w:rsidR="00D519EA" w:rsidRPr="00D4638C" w:rsidRDefault="00D519EA" w:rsidP="00D519EA">
      <w:pPr>
        <w:spacing w:after="0" w:line="240" w:lineRule="auto"/>
        <w:jc w:val="both"/>
        <w:rPr>
          <w:rFonts w:ascii="Cambria" w:hAnsi="Cambria"/>
          <w:i/>
          <w:sz w:val="20"/>
          <w:szCs w:val="20"/>
        </w:rPr>
      </w:pPr>
    </w:p>
    <w:p w14:paraId="214A2AD7" w14:textId="77777777" w:rsidR="0092556F" w:rsidRPr="00D4638C" w:rsidRDefault="0092556F" w:rsidP="00D519EA">
      <w:pPr>
        <w:spacing w:after="0" w:line="240" w:lineRule="auto"/>
        <w:jc w:val="both"/>
        <w:rPr>
          <w:rFonts w:ascii="Cambria" w:hAnsi="Cambria"/>
          <w:i/>
          <w:sz w:val="20"/>
          <w:szCs w:val="20"/>
        </w:rPr>
      </w:pPr>
      <w:r w:rsidRPr="00D4638C">
        <w:rPr>
          <w:rFonts w:ascii="Cambria" w:hAnsi="Cambria"/>
          <w:i/>
          <w:sz w:val="20"/>
          <w:szCs w:val="20"/>
        </w:rPr>
        <w:t xml:space="preserve">Legislation/Regulations </w:t>
      </w:r>
    </w:p>
    <w:p w14:paraId="38206199" w14:textId="419F7346" w:rsidR="00215ECA" w:rsidRPr="00D4638C" w:rsidRDefault="00215ECA" w:rsidP="00215ECA">
      <w:pPr>
        <w:pStyle w:val="ListParagraph"/>
        <w:numPr>
          <w:ilvl w:val="0"/>
          <w:numId w:val="36"/>
        </w:numPr>
        <w:spacing w:after="0" w:line="240" w:lineRule="auto"/>
        <w:jc w:val="both"/>
        <w:rPr>
          <w:rFonts w:ascii="Cambria" w:hAnsi="Cambria"/>
          <w:sz w:val="20"/>
          <w:szCs w:val="20"/>
        </w:rPr>
      </w:pPr>
      <w:r w:rsidRPr="00D4638C">
        <w:rPr>
          <w:rFonts w:ascii="Cambria" w:hAnsi="Cambria"/>
          <w:sz w:val="20"/>
          <w:szCs w:val="20"/>
        </w:rPr>
        <w:t xml:space="preserve">U.S. Congress added a new statutory purpose area to the STOP Violence </w:t>
      </w:r>
      <w:proofErr w:type="gramStart"/>
      <w:r w:rsidRPr="00D4638C">
        <w:rPr>
          <w:rFonts w:ascii="Cambria" w:hAnsi="Cambria"/>
          <w:sz w:val="20"/>
          <w:szCs w:val="20"/>
        </w:rPr>
        <w:t>Against</w:t>
      </w:r>
      <w:proofErr w:type="gramEnd"/>
      <w:r w:rsidRPr="00D4638C">
        <w:rPr>
          <w:rFonts w:ascii="Cambria" w:hAnsi="Cambria"/>
          <w:sz w:val="20"/>
          <w:szCs w:val="20"/>
        </w:rPr>
        <w:t xml:space="preserve"> Women Formula Grant Program in the Violence against Women Act (VAWA) of 2005, allowing states to use STOP funds to place special victim assistants, known as “Jessica Gonzales Victim Assistants,” in local law enforcement agencies, in order to improve the enforcement of protection orders. </w:t>
      </w:r>
    </w:p>
    <w:p w14:paraId="0F0B77A6" w14:textId="763DD62B" w:rsidR="00DA2EE1" w:rsidRPr="00D4638C" w:rsidRDefault="00B35F77" w:rsidP="00DA2EE1">
      <w:pPr>
        <w:pStyle w:val="ListParagraph"/>
        <w:numPr>
          <w:ilvl w:val="0"/>
          <w:numId w:val="36"/>
        </w:numPr>
        <w:spacing w:after="0" w:line="240" w:lineRule="auto"/>
        <w:jc w:val="both"/>
        <w:rPr>
          <w:rFonts w:ascii="Cambria" w:hAnsi="Cambria"/>
          <w:sz w:val="20"/>
          <w:szCs w:val="20"/>
        </w:rPr>
      </w:pPr>
      <w:r w:rsidRPr="00D4638C">
        <w:rPr>
          <w:rFonts w:ascii="Cambria" w:hAnsi="Cambria"/>
          <w:sz w:val="20"/>
          <w:szCs w:val="20"/>
        </w:rPr>
        <w:t xml:space="preserve">Adoption by the Illinois legislature of the Illinois Sexual Violence Procedure Act (ISVPA) in 2017, </w:t>
      </w:r>
      <w:r w:rsidR="0092556F" w:rsidRPr="00D4638C">
        <w:rPr>
          <w:rFonts w:ascii="Cambria" w:hAnsi="Cambria"/>
          <w:sz w:val="20"/>
          <w:szCs w:val="20"/>
        </w:rPr>
        <w:t>which addresses gender bias in law enforcement and medical responses to victims.</w:t>
      </w:r>
    </w:p>
    <w:p w14:paraId="5BB93435" w14:textId="77777777" w:rsidR="00215ECA" w:rsidRPr="000B27AB" w:rsidRDefault="00215ECA">
      <w:pPr>
        <w:rPr>
          <w:rFonts w:ascii="Cambria" w:hAnsi="Cambria"/>
          <w:sz w:val="20"/>
          <w:szCs w:val="20"/>
        </w:rPr>
      </w:pPr>
    </w:p>
    <w:sectPr w:rsidR="00215ECA" w:rsidRPr="000B27AB" w:rsidSect="00424A6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456E53" w14:textId="77777777" w:rsidR="002C0966" w:rsidRDefault="002C0966" w:rsidP="002E1FE1">
      <w:pPr>
        <w:spacing w:after="0" w:line="240" w:lineRule="auto"/>
      </w:pPr>
      <w:r>
        <w:separator/>
      </w:r>
    </w:p>
  </w:endnote>
  <w:endnote w:type="continuationSeparator" w:id="0">
    <w:p w14:paraId="0DB2DED0" w14:textId="77777777" w:rsidR="002C0966" w:rsidRDefault="002C0966" w:rsidP="002E1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8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2186E" w14:textId="77777777" w:rsidR="00654852" w:rsidRDefault="006548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2991912"/>
      <w:docPartObj>
        <w:docPartGallery w:val="Page Numbers (Bottom of Page)"/>
        <w:docPartUnique/>
      </w:docPartObj>
    </w:sdtPr>
    <w:sdtEndPr>
      <w:rPr>
        <w:rFonts w:asciiTheme="minorHAnsi" w:hAnsiTheme="minorHAnsi"/>
        <w:noProof/>
        <w:sz w:val="16"/>
        <w:szCs w:val="16"/>
      </w:rPr>
    </w:sdtEndPr>
    <w:sdtContent>
      <w:p w14:paraId="7964163D" w14:textId="64BA24B0" w:rsidR="00327B24" w:rsidRPr="00D11B2F" w:rsidRDefault="00327B24">
        <w:pPr>
          <w:pStyle w:val="Footer"/>
          <w:jc w:val="center"/>
          <w:rPr>
            <w:rFonts w:asciiTheme="minorHAnsi" w:hAnsiTheme="minorHAnsi"/>
            <w:sz w:val="16"/>
            <w:szCs w:val="16"/>
          </w:rPr>
        </w:pPr>
        <w:r w:rsidRPr="00D11B2F">
          <w:rPr>
            <w:rFonts w:asciiTheme="minorHAnsi" w:hAnsiTheme="minorHAnsi"/>
            <w:sz w:val="16"/>
            <w:szCs w:val="16"/>
          </w:rPr>
          <w:fldChar w:fldCharType="begin"/>
        </w:r>
        <w:r w:rsidRPr="00D11B2F">
          <w:rPr>
            <w:rFonts w:asciiTheme="minorHAnsi" w:hAnsiTheme="minorHAnsi"/>
            <w:sz w:val="16"/>
            <w:szCs w:val="16"/>
          </w:rPr>
          <w:instrText xml:space="preserve"> PAGE   \* MERGEFORMAT </w:instrText>
        </w:r>
        <w:r w:rsidRPr="00D11B2F">
          <w:rPr>
            <w:rFonts w:asciiTheme="minorHAnsi" w:hAnsiTheme="minorHAnsi"/>
            <w:sz w:val="16"/>
            <w:szCs w:val="16"/>
          </w:rPr>
          <w:fldChar w:fldCharType="separate"/>
        </w:r>
        <w:r w:rsidR="00D4638C">
          <w:rPr>
            <w:rFonts w:asciiTheme="minorHAnsi" w:hAnsiTheme="minorHAnsi"/>
            <w:noProof/>
            <w:sz w:val="16"/>
            <w:szCs w:val="16"/>
          </w:rPr>
          <w:t>8</w:t>
        </w:r>
        <w:r w:rsidRPr="00D11B2F">
          <w:rPr>
            <w:rFonts w:asciiTheme="minorHAnsi" w:hAnsiTheme="minorHAnsi"/>
            <w:noProof/>
            <w:sz w:val="16"/>
            <w:szCs w:val="16"/>
          </w:rPr>
          <w:fldChar w:fldCharType="end"/>
        </w:r>
      </w:p>
    </w:sdtContent>
  </w:sdt>
  <w:p w14:paraId="0EA8DB7A" w14:textId="77777777" w:rsidR="00327B24" w:rsidRDefault="00327B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25DFC" w14:textId="77777777" w:rsidR="00654852" w:rsidRDefault="006548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8114BF" w14:textId="77777777" w:rsidR="002C0966" w:rsidRDefault="002C0966" w:rsidP="002E1FE1">
      <w:pPr>
        <w:spacing w:after="0" w:line="240" w:lineRule="auto"/>
      </w:pPr>
      <w:r>
        <w:separator/>
      </w:r>
    </w:p>
  </w:footnote>
  <w:footnote w:type="continuationSeparator" w:id="0">
    <w:p w14:paraId="215EB593" w14:textId="77777777" w:rsidR="002C0966" w:rsidRDefault="002C0966" w:rsidP="002E1FE1">
      <w:pPr>
        <w:spacing w:after="0" w:line="240" w:lineRule="auto"/>
      </w:pPr>
      <w:r>
        <w:continuationSeparator/>
      </w:r>
    </w:p>
  </w:footnote>
  <w:footnote w:id="1">
    <w:p w14:paraId="69B56FA3" w14:textId="515BA9FA" w:rsidR="00327B24" w:rsidRPr="0074453E" w:rsidRDefault="00327B24" w:rsidP="0074453E">
      <w:pPr>
        <w:pStyle w:val="FootnoteText"/>
        <w:spacing w:after="120"/>
        <w:ind w:firstLine="720"/>
        <w:jc w:val="both"/>
        <w:rPr>
          <w:rFonts w:ascii="Cambria" w:hAnsi="Cambria"/>
          <w:sz w:val="16"/>
          <w:szCs w:val="16"/>
        </w:rPr>
      </w:pPr>
      <w:bookmarkStart w:id="0" w:name="_GoBack"/>
      <w:r w:rsidRPr="0074453E">
        <w:rPr>
          <w:rStyle w:val="FootnoteReference"/>
          <w:rFonts w:ascii="Cambria" w:hAnsi="Cambria"/>
          <w:sz w:val="16"/>
          <w:szCs w:val="16"/>
        </w:rPr>
        <w:footnoteRef/>
      </w:r>
      <w:r w:rsidRPr="0074453E">
        <w:rPr>
          <w:rFonts w:ascii="Cambria" w:hAnsi="Cambria"/>
          <w:sz w:val="16"/>
          <w:szCs w:val="16"/>
        </w:rPr>
        <w:t xml:space="preserve"> </w:t>
      </w:r>
      <w:r w:rsidR="0036496C" w:rsidRPr="0074453E">
        <w:rPr>
          <w:rFonts w:ascii="Cambria" w:hAnsi="Cambria"/>
          <w:sz w:val="16"/>
          <w:szCs w:val="16"/>
        </w:rPr>
        <w:t xml:space="preserve">IACHR, Press release No. </w:t>
      </w:r>
      <w:r w:rsidRPr="0074453E">
        <w:rPr>
          <w:rFonts w:ascii="Cambria" w:hAnsi="Cambria"/>
          <w:sz w:val="16"/>
          <w:szCs w:val="16"/>
        </w:rPr>
        <w:t xml:space="preserve">92/11 - </w:t>
      </w:r>
      <w:hyperlink r:id="rId1" w:history="1">
        <w:r w:rsidRPr="0074453E">
          <w:rPr>
            <w:rStyle w:val="Hyperlink"/>
            <w:rFonts w:ascii="Cambria" w:hAnsi="Cambria"/>
            <w:color w:val="auto"/>
            <w:sz w:val="16"/>
            <w:szCs w:val="16"/>
          </w:rPr>
          <w:t xml:space="preserve">IACHR Publishes Report on Case Jessica </w:t>
        </w:r>
        <w:proofErr w:type="spellStart"/>
        <w:r w:rsidRPr="0074453E">
          <w:rPr>
            <w:rStyle w:val="Hyperlink"/>
            <w:rFonts w:ascii="Cambria" w:hAnsi="Cambria"/>
            <w:color w:val="auto"/>
            <w:sz w:val="16"/>
            <w:szCs w:val="16"/>
          </w:rPr>
          <w:t>Lenahan</w:t>
        </w:r>
        <w:proofErr w:type="spellEnd"/>
        <w:r w:rsidRPr="0074453E">
          <w:rPr>
            <w:rStyle w:val="Hyperlink"/>
            <w:rFonts w:ascii="Cambria" w:hAnsi="Cambria"/>
            <w:color w:val="auto"/>
            <w:sz w:val="16"/>
            <w:szCs w:val="16"/>
          </w:rPr>
          <w:t xml:space="preserve"> of the United States</w:t>
        </w:r>
      </w:hyperlink>
      <w:r w:rsidRPr="0074453E">
        <w:rPr>
          <w:rFonts w:ascii="Cambria" w:hAnsi="Cambria"/>
          <w:sz w:val="16"/>
          <w:szCs w:val="16"/>
        </w:rPr>
        <w:t xml:space="preserve">. Washington, D.C., August 17, 2011. </w:t>
      </w:r>
    </w:p>
  </w:footnote>
  <w:footnote w:id="2">
    <w:p w14:paraId="234687DE" w14:textId="3BE48438" w:rsidR="00327B24" w:rsidRPr="00AC433A" w:rsidRDefault="00327B24" w:rsidP="0074453E">
      <w:pPr>
        <w:pStyle w:val="FootnoteText"/>
        <w:spacing w:after="120"/>
        <w:ind w:firstLine="720"/>
        <w:jc w:val="both"/>
        <w:rPr>
          <w:rFonts w:ascii="Cambria" w:hAnsi="Cambria"/>
          <w:sz w:val="16"/>
          <w:szCs w:val="16"/>
        </w:rPr>
      </w:pPr>
      <w:r w:rsidRPr="0074453E">
        <w:rPr>
          <w:rStyle w:val="FootnoteReference"/>
          <w:rFonts w:ascii="Cambria" w:hAnsi="Cambria"/>
          <w:sz w:val="16"/>
          <w:szCs w:val="16"/>
        </w:rPr>
        <w:footnoteRef/>
      </w:r>
      <w:r w:rsidRPr="0074453E">
        <w:rPr>
          <w:rFonts w:ascii="Cambria" w:hAnsi="Cambria"/>
          <w:sz w:val="16"/>
          <w:szCs w:val="16"/>
        </w:rPr>
        <w:t xml:space="preserve"> IACHR, 153</w:t>
      </w:r>
      <w:r w:rsidRPr="0074453E">
        <w:rPr>
          <w:rFonts w:ascii="Cambria" w:hAnsi="Cambria"/>
          <w:sz w:val="16"/>
          <w:szCs w:val="16"/>
          <w:vertAlign w:val="superscript"/>
        </w:rPr>
        <w:t>rd</w:t>
      </w:r>
      <w:r w:rsidRPr="0074453E">
        <w:rPr>
          <w:rFonts w:ascii="Cambria" w:hAnsi="Cambria"/>
          <w:sz w:val="16"/>
          <w:szCs w:val="16"/>
        </w:rPr>
        <w:t xml:space="preserve"> Period of Sessions, Hearing – </w:t>
      </w:r>
      <w:hyperlink r:id="rId2" w:history="1">
        <w:r w:rsidRPr="0074453E">
          <w:rPr>
            <w:rStyle w:val="Hyperlink"/>
            <w:rFonts w:ascii="Cambria" w:hAnsi="Cambria"/>
            <w:color w:val="auto"/>
            <w:sz w:val="16"/>
            <w:szCs w:val="16"/>
          </w:rPr>
          <w:t xml:space="preserve">“Case 12.626 – Jessica </w:t>
        </w:r>
        <w:proofErr w:type="spellStart"/>
        <w:r w:rsidRPr="0074453E">
          <w:rPr>
            <w:rStyle w:val="Hyperlink"/>
            <w:rFonts w:ascii="Cambria" w:hAnsi="Cambria"/>
            <w:color w:val="auto"/>
            <w:sz w:val="16"/>
            <w:szCs w:val="16"/>
          </w:rPr>
          <w:t>Lenahan</w:t>
        </w:r>
        <w:proofErr w:type="spellEnd"/>
        <w:r w:rsidRPr="0074453E">
          <w:rPr>
            <w:rStyle w:val="Hyperlink"/>
            <w:rFonts w:ascii="Cambria" w:hAnsi="Cambria"/>
            <w:color w:val="auto"/>
            <w:sz w:val="16"/>
            <w:szCs w:val="16"/>
          </w:rPr>
          <w:t xml:space="preserve"> (Gonzales), United States (Follow-up on Recommendations)”</w:t>
        </w:r>
      </w:hyperlink>
      <w:r w:rsidRPr="0074453E">
        <w:rPr>
          <w:rFonts w:ascii="Cambria" w:hAnsi="Cambria"/>
          <w:sz w:val="16"/>
          <w:szCs w:val="16"/>
        </w:rPr>
        <w:t xml:space="preserve">, October 27, 2014; IACHR, Press release </w:t>
      </w:r>
      <w:r w:rsidR="00727386" w:rsidRPr="0074453E">
        <w:rPr>
          <w:rFonts w:ascii="Cambria" w:hAnsi="Cambria"/>
          <w:sz w:val="16"/>
          <w:szCs w:val="16"/>
        </w:rPr>
        <w:t xml:space="preserve">No. </w:t>
      </w:r>
      <w:r w:rsidRPr="0074453E">
        <w:rPr>
          <w:rFonts w:ascii="Cambria" w:hAnsi="Cambria"/>
          <w:sz w:val="16"/>
          <w:szCs w:val="16"/>
        </w:rPr>
        <w:t xml:space="preserve">131A/14 - </w:t>
      </w:r>
      <w:hyperlink r:id="rId3" w:history="1">
        <w:r w:rsidRPr="0074453E">
          <w:rPr>
            <w:rStyle w:val="Hyperlink"/>
            <w:rFonts w:ascii="Cambria" w:hAnsi="Cambria"/>
            <w:color w:val="auto"/>
            <w:sz w:val="16"/>
            <w:szCs w:val="16"/>
          </w:rPr>
          <w:t>Report on the 153rd Session of the IACHR</w:t>
        </w:r>
      </w:hyperlink>
      <w:r w:rsidRPr="0074453E">
        <w:rPr>
          <w:rFonts w:ascii="Cambria" w:hAnsi="Cambria"/>
          <w:sz w:val="16"/>
          <w:szCs w:val="16"/>
        </w:rPr>
        <w:t xml:space="preserve">. Washington, D.C., December 29, 2014. </w:t>
      </w:r>
    </w:p>
  </w:footnote>
  <w:footnote w:id="3">
    <w:p w14:paraId="12F08B3D" w14:textId="6654E50A" w:rsidR="0074453E" w:rsidRPr="007B0FF3" w:rsidRDefault="0074453E" w:rsidP="007B0FF3">
      <w:pPr>
        <w:pStyle w:val="FootnoteText"/>
        <w:spacing w:after="120"/>
        <w:ind w:firstLine="720"/>
        <w:jc w:val="both"/>
        <w:rPr>
          <w:rFonts w:ascii="Cambria" w:hAnsi="Cambria"/>
          <w:sz w:val="16"/>
          <w:szCs w:val="16"/>
        </w:rPr>
      </w:pPr>
      <w:r w:rsidRPr="007B0FF3">
        <w:rPr>
          <w:rStyle w:val="FootnoteReference"/>
          <w:rFonts w:ascii="Cambria" w:hAnsi="Cambria"/>
          <w:sz w:val="16"/>
          <w:szCs w:val="16"/>
        </w:rPr>
        <w:footnoteRef/>
      </w:r>
      <w:r w:rsidRPr="007B0FF3">
        <w:rPr>
          <w:rFonts w:ascii="Cambria" w:hAnsi="Cambria"/>
          <w:sz w:val="16"/>
          <w:szCs w:val="16"/>
        </w:rPr>
        <w:t xml:space="preserve"> IACHR, 2012 Annual Report, </w:t>
      </w:r>
      <w:hyperlink r:id="rId4" w:history="1">
        <w:r w:rsidRPr="007B0FF3">
          <w:rPr>
            <w:rStyle w:val="Hyperlink"/>
            <w:rFonts w:ascii="Cambria" w:hAnsi="Cambria"/>
            <w:color w:val="auto"/>
            <w:sz w:val="16"/>
            <w:szCs w:val="16"/>
          </w:rPr>
          <w:t>Chapter III, Section D: Status of compliance with the recommendations of the IACHR</w:t>
        </w:r>
      </w:hyperlink>
      <w:r w:rsidRPr="007B0FF3">
        <w:rPr>
          <w:rFonts w:ascii="Cambria" w:hAnsi="Cambria"/>
          <w:sz w:val="16"/>
          <w:szCs w:val="16"/>
        </w:rPr>
        <w:t xml:space="preserve">, para. 647. </w:t>
      </w:r>
    </w:p>
  </w:footnote>
  <w:footnote w:id="4">
    <w:p w14:paraId="4043E194" w14:textId="54A94C56" w:rsidR="00971519" w:rsidRPr="00971519" w:rsidRDefault="00971519" w:rsidP="007B0FF3">
      <w:pPr>
        <w:pStyle w:val="FootnoteText"/>
        <w:spacing w:after="120"/>
        <w:ind w:firstLine="720"/>
        <w:jc w:val="both"/>
        <w:rPr>
          <w:rFonts w:ascii="Cambria" w:hAnsi="Cambria"/>
          <w:sz w:val="16"/>
          <w:szCs w:val="16"/>
        </w:rPr>
      </w:pPr>
      <w:r w:rsidRPr="007B0FF3">
        <w:rPr>
          <w:rStyle w:val="FootnoteReference"/>
          <w:rFonts w:ascii="Cambria" w:hAnsi="Cambria"/>
          <w:sz w:val="16"/>
          <w:szCs w:val="16"/>
        </w:rPr>
        <w:footnoteRef/>
      </w:r>
      <w:r w:rsidRPr="007B0FF3">
        <w:rPr>
          <w:rFonts w:ascii="Cambria" w:hAnsi="Cambria"/>
          <w:sz w:val="16"/>
          <w:szCs w:val="16"/>
        </w:rPr>
        <w:t xml:space="preserve"> IACHR, Press release No. 131A/14 - </w:t>
      </w:r>
      <w:hyperlink r:id="rId5" w:history="1">
        <w:r w:rsidRPr="007B0FF3">
          <w:rPr>
            <w:rStyle w:val="Hyperlink"/>
            <w:rFonts w:ascii="Cambria" w:hAnsi="Cambria"/>
            <w:color w:val="auto"/>
            <w:sz w:val="16"/>
            <w:szCs w:val="16"/>
          </w:rPr>
          <w:t>Report on the 153rd Session of the IACHR</w:t>
        </w:r>
      </w:hyperlink>
      <w:r w:rsidRPr="007B0FF3">
        <w:rPr>
          <w:rFonts w:ascii="Cambria" w:hAnsi="Cambria"/>
          <w:sz w:val="16"/>
          <w:szCs w:val="16"/>
        </w:rPr>
        <w:t xml:space="preserve">. Washington, D.C., December 29, 2014. </w:t>
      </w:r>
    </w:p>
  </w:footnote>
  <w:footnote w:id="5">
    <w:p w14:paraId="3059678B" w14:textId="1AA9BCAB" w:rsidR="00327B24" w:rsidRPr="00F04D5D" w:rsidRDefault="00327B24" w:rsidP="00F04D5D">
      <w:pPr>
        <w:pStyle w:val="FootnoteText"/>
        <w:spacing w:after="120"/>
        <w:ind w:firstLine="720"/>
        <w:jc w:val="both"/>
        <w:rPr>
          <w:rFonts w:ascii="Cambria" w:hAnsi="Cambria"/>
          <w:sz w:val="16"/>
          <w:szCs w:val="16"/>
        </w:rPr>
      </w:pPr>
      <w:r w:rsidRPr="00F04D5D">
        <w:rPr>
          <w:rStyle w:val="FootnoteReference"/>
          <w:rFonts w:ascii="Cambria" w:hAnsi="Cambria"/>
          <w:sz w:val="16"/>
          <w:szCs w:val="16"/>
        </w:rPr>
        <w:footnoteRef/>
      </w:r>
      <w:r w:rsidRPr="00F04D5D">
        <w:rPr>
          <w:rFonts w:ascii="Cambria" w:hAnsi="Cambria"/>
          <w:sz w:val="16"/>
          <w:szCs w:val="16"/>
        </w:rPr>
        <w:t xml:space="preserve"> </w:t>
      </w:r>
      <w:proofErr w:type="spellStart"/>
      <w:r w:rsidRPr="00F04D5D">
        <w:rPr>
          <w:rFonts w:ascii="Cambria" w:hAnsi="Cambria"/>
          <w:sz w:val="16"/>
          <w:szCs w:val="16"/>
        </w:rPr>
        <w:t>IACtHR</w:t>
      </w:r>
      <w:proofErr w:type="spellEnd"/>
      <w:r w:rsidRPr="00F04D5D">
        <w:rPr>
          <w:rFonts w:ascii="Cambria" w:hAnsi="Cambria"/>
          <w:sz w:val="16"/>
          <w:szCs w:val="16"/>
        </w:rPr>
        <w:t xml:space="preserve">. </w:t>
      </w:r>
      <w:hyperlink r:id="rId6" w:history="1">
        <w:r w:rsidRPr="00F04D5D">
          <w:rPr>
            <w:rStyle w:val="Hyperlink"/>
            <w:rFonts w:ascii="Cambria" w:hAnsi="Cambria"/>
            <w:color w:val="auto"/>
            <w:sz w:val="16"/>
            <w:szCs w:val="16"/>
          </w:rPr>
          <w:t xml:space="preserve">Case </w:t>
        </w:r>
        <w:proofErr w:type="spellStart"/>
        <w:r w:rsidRPr="00F04D5D">
          <w:rPr>
            <w:rStyle w:val="Hyperlink"/>
            <w:rFonts w:ascii="Cambria" w:hAnsi="Cambria"/>
            <w:color w:val="auto"/>
            <w:sz w:val="16"/>
            <w:szCs w:val="16"/>
          </w:rPr>
          <w:t>Albán</w:t>
        </w:r>
        <w:proofErr w:type="spellEnd"/>
        <w:r w:rsidRPr="00F04D5D">
          <w:rPr>
            <w:rStyle w:val="Hyperlink"/>
            <w:rFonts w:ascii="Cambria" w:hAnsi="Cambria"/>
            <w:color w:val="auto"/>
            <w:sz w:val="16"/>
            <w:szCs w:val="16"/>
          </w:rPr>
          <w:t xml:space="preserve"> Cornejo and others. Vs. Ecuador, Decision of November 22, 2007</w:t>
        </w:r>
      </w:hyperlink>
      <w:r w:rsidRPr="00F04D5D">
        <w:rPr>
          <w:rFonts w:ascii="Cambria" w:hAnsi="Cambria"/>
          <w:sz w:val="16"/>
          <w:szCs w:val="16"/>
        </w:rPr>
        <w:t>. Series C No. 171, para. 62.</w:t>
      </w:r>
    </w:p>
  </w:footnote>
  <w:footnote w:id="6">
    <w:p w14:paraId="2373699B" w14:textId="370E681F" w:rsidR="009B14F4" w:rsidRPr="00F04D5D" w:rsidRDefault="009B14F4" w:rsidP="00F04D5D">
      <w:pPr>
        <w:pStyle w:val="FootnoteText"/>
        <w:spacing w:after="120"/>
        <w:ind w:firstLine="720"/>
        <w:jc w:val="both"/>
        <w:rPr>
          <w:rFonts w:ascii="Cambria" w:hAnsi="Cambria"/>
          <w:sz w:val="16"/>
          <w:szCs w:val="16"/>
        </w:rPr>
      </w:pPr>
      <w:r w:rsidRPr="00F04D5D">
        <w:rPr>
          <w:rStyle w:val="FootnoteReference"/>
          <w:rFonts w:ascii="Cambria" w:hAnsi="Cambria"/>
          <w:sz w:val="16"/>
          <w:szCs w:val="16"/>
        </w:rPr>
        <w:footnoteRef/>
      </w:r>
      <w:r w:rsidRPr="00F04D5D">
        <w:rPr>
          <w:rFonts w:ascii="Cambria" w:hAnsi="Cambria"/>
          <w:sz w:val="16"/>
          <w:szCs w:val="16"/>
        </w:rPr>
        <w:t xml:space="preserve"> IACHR, Press release No. 131A/14 - </w:t>
      </w:r>
      <w:hyperlink r:id="rId7" w:history="1">
        <w:r w:rsidRPr="00F04D5D">
          <w:rPr>
            <w:rStyle w:val="Hyperlink"/>
            <w:rFonts w:ascii="Cambria" w:hAnsi="Cambria"/>
            <w:color w:val="auto"/>
            <w:sz w:val="16"/>
            <w:szCs w:val="16"/>
          </w:rPr>
          <w:t>Report on the 153rd Session of the IACHR</w:t>
        </w:r>
      </w:hyperlink>
      <w:r w:rsidRPr="00F04D5D">
        <w:rPr>
          <w:rFonts w:ascii="Cambria" w:hAnsi="Cambria"/>
          <w:sz w:val="16"/>
          <w:szCs w:val="16"/>
        </w:rPr>
        <w:t xml:space="preserve">. Washington, D.C., December 29, 2014. </w:t>
      </w:r>
    </w:p>
  </w:footnote>
  <w:footnote w:id="7">
    <w:p w14:paraId="7D3E27A8" w14:textId="01C9567B" w:rsidR="009B14F4" w:rsidRPr="00F04D5D" w:rsidRDefault="009B14F4" w:rsidP="00F04D5D">
      <w:pPr>
        <w:pStyle w:val="FootnoteText"/>
        <w:spacing w:after="120"/>
        <w:ind w:firstLine="720"/>
        <w:jc w:val="both"/>
        <w:rPr>
          <w:rFonts w:ascii="Cambria" w:hAnsi="Cambria"/>
          <w:sz w:val="16"/>
          <w:szCs w:val="16"/>
        </w:rPr>
      </w:pPr>
      <w:r w:rsidRPr="00F04D5D">
        <w:rPr>
          <w:rStyle w:val="FootnoteReference"/>
          <w:rFonts w:ascii="Cambria" w:hAnsi="Cambria"/>
          <w:sz w:val="16"/>
          <w:szCs w:val="16"/>
        </w:rPr>
        <w:footnoteRef/>
      </w:r>
      <w:r w:rsidRPr="00F04D5D">
        <w:rPr>
          <w:rFonts w:ascii="Cambria" w:hAnsi="Cambria"/>
          <w:sz w:val="16"/>
          <w:szCs w:val="16"/>
        </w:rPr>
        <w:t xml:space="preserve"> IACHR, 2012 Annual Report, </w:t>
      </w:r>
      <w:hyperlink r:id="rId8" w:history="1">
        <w:r w:rsidRPr="00F04D5D">
          <w:rPr>
            <w:rStyle w:val="Hyperlink"/>
            <w:rFonts w:ascii="Cambria" w:hAnsi="Cambria"/>
            <w:color w:val="auto"/>
            <w:sz w:val="16"/>
            <w:szCs w:val="16"/>
          </w:rPr>
          <w:t>Chapter III, Section D: Status of compliance with the recommendations of the IACHR</w:t>
        </w:r>
      </w:hyperlink>
      <w:r w:rsidRPr="00F04D5D">
        <w:rPr>
          <w:rFonts w:ascii="Cambria" w:hAnsi="Cambria"/>
          <w:sz w:val="16"/>
          <w:szCs w:val="16"/>
        </w:rPr>
        <w:t xml:space="preserve">, para. 647. </w:t>
      </w:r>
    </w:p>
  </w:footnote>
  <w:footnote w:id="8">
    <w:p w14:paraId="7A3D1BFF" w14:textId="2899DE40" w:rsidR="004A6BCA" w:rsidRPr="00F04D5D" w:rsidRDefault="004A6BCA" w:rsidP="00F04D5D">
      <w:pPr>
        <w:pStyle w:val="FootnoteText"/>
        <w:spacing w:after="120"/>
        <w:ind w:firstLine="720"/>
        <w:jc w:val="both"/>
        <w:rPr>
          <w:rFonts w:ascii="Cambria" w:hAnsi="Cambria"/>
          <w:sz w:val="16"/>
          <w:szCs w:val="16"/>
        </w:rPr>
      </w:pPr>
      <w:r w:rsidRPr="00F04D5D">
        <w:rPr>
          <w:rStyle w:val="FootnoteReference"/>
          <w:rFonts w:ascii="Cambria" w:hAnsi="Cambria"/>
          <w:sz w:val="16"/>
          <w:szCs w:val="16"/>
        </w:rPr>
        <w:footnoteRef/>
      </w:r>
      <w:r w:rsidRPr="00F04D5D">
        <w:rPr>
          <w:rFonts w:ascii="Cambria" w:hAnsi="Cambria"/>
          <w:sz w:val="16"/>
          <w:szCs w:val="16"/>
        </w:rPr>
        <w:t xml:space="preserve"> IACHR, 2013 Annual Report, </w:t>
      </w:r>
      <w:hyperlink r:id="rId9" w:history="1">
        <w:r w:rsidRPr="00F04D5D">
          <w:rPr>
            <w:rStyle w:val="Hyperlink"/>
            <w:rFonts w:ascii="Cambria" w:hAnsi="Cambria"/>
            <w:color w:val="auto"/>
            <w:sz w:val="16"/>
            <w:szCs w:val="16"/>
          </w:rPr>
          <w:t>Chapter II, Section D: Status of compliance with the recommendations of the IACHR</w:t>
        </w:r>
      </w:hyperlink>
      <w:r w:rsidRPr="00F04D5D">
        <w:rPr>
          <w:rFonts w:ascii="Cambria" w:hAnsi="Cambria"/>
          <w:sz w:val="16"/>
          <w:szCs w:val="16"/>
        </w:rPr>
        <w:t xml:space="preserve">, para. 1143. </w:t>
      </w:r>
    </w:p>
  </w:footnote>
  <w:footnote w:id="9">
    <w:p w14:paraId="5E18412D" w14:textId="0F588DA2" w:rsidR="004A6BCA" w:rsidRPr="00F04D5D" w:rsidRDefault="004A6BCA" w:rsidP="00F04D5D">
      <w:pPr>
        <w:pStyle w:val="FootnoteText"/>
        <w:spacing w:after="120"/>
        <w:ind w:firstLine="720"/>
        <w:jc w:val="both"/>
        <w:rPr>
          <w:rFonts w:ascii="Cambria" w:hAnsi="Cambria"/>
          <w:sz w:val="16"/>
          <w:szCs w:val="16"/>
        </w:rPr>
      </w:pPr>
      <w:r w:rsidRPr="00F04D5D">
        <w:rPr>
          <w:rStyle w:val="FootnoteReference"/>
          <w:rFonts w:ascii="Cambria" w:hAnsi="Cambria"/>
          <w:sz w:val="16"/>
          <w:szCs w:val="16"/>
        </w:rPr>
        <w:footnoteRef/>
      </w:r>
      <w:r w:rsidRPr="00F04D5D">
        <w:rPr>
          <w:rFonts w:ascii="Cambria" w:hAnsi="Cambria"/>
          <w:sz w:val="16"/>
          <w:szCs w:val="16"/>
        </w:rPr>
        <w:t xml:space="preserve"> IACHR, 2012 Annual Report, </w:t>
      </w:r>
      <w:hyperlink r:id="rId10" w:history="1">
        <w:r w:rsidRPr="00F04D5D">
          <w:rPr>
            <w:rStyle w:val="Hyperlink"/>
            <w:rFonts w:ascii="Cambria" w:hAnsi="Cambria"/>
            <w:color w:val="auto"/>
            <w:sz w:val="16"/>
            <w:szCs w:val="16"/>
          </w:rPr>
          <w:t>Chapter III, Section D: Status of compliance with the recommendations of the IACHR</w:t>
        </w:r>
      </w:hyperlink>
      <w:r w:rsidRPr="00F04D5D">
        <w:rPr>
          <w:rFonts w:ascii="Cambria" w:hAnsi="Cambria"/>
          <w:sz w:val="16"/>
          <w:szCs w:val="16"/>
        </w:rPr>
        <w:t>, para. 647.</w:t>
      </w:r>
    </w:p>
  </w:footnote>
  <w:footnote w:id="10">
    <w:p w14:paraId="42212CA4" w14:textId="197A2B3E" w:rsidR="004A6BCA" w:rsidRPr="00F04D5D" w:rsidRDefault="004A6BCA" w:rsidP="00F04D5D">
      <w:pPr>
        <w:pStyle w:val="FootnoteText"/>
        <w:spacing w:after="120"/>
        <w:ind w:firstLine="720"/>
        <w:jc w:val="both"/>
        <w:rPr>
          <w:rFonts w:ascii="Cambria" w:hAnsi="Cambria"/>
          <w:sz w:val="16"/>
          <w:szCs w:val="16"/>
        </w:rPr>
      </w:pPr>
      <w:r w:rsidRPr="00F04D5D">
        <w:rPr>
          <w:rStyle w:val="FootnoteReference"/>
          <w:rFonts w:ascii="Cambria" w:hAnsi="Cambria"/>
          <w:sz w:val="16"/>
          <w:szCs w:val="16"/>
        </w:rPr>
        <w:footnoteRef/>
      </w:r>
      <w:r w:rsidRPr="00F04D5D">
        <w:rPr>
          <w:rFonts w:ascii="Cambria" w:hAnsi="Cambria"/>
          <w:sz w:val="16"/>
          <w:szCs w:val="16"/>
        </w:rPr>
        <w:t xml:space="preserve"> IACHR, Press release No. 131A/14 - </w:t>
      </w:r>
      <w:hyperlink r:id="rId11" w:history="1">
        <w:r w:rsidRPr="00F04D5D">
          <w:rPr>
            <w:rStyle w:val="Hyperlink"/>
            <w:rFonts w:ascii="Cambria" w:hAnsi="Cambria"/>
            <w:color w:val="auto"/>
            <w:sz w:val="16"/>
            <w:szCs w:val="16"/>
          </w:rPr>
          <w:t>Report on the 153rd Session of the IACHR</w:t>
        </w:r>
      </w:hyperlink>
      <w:r w:rsidRPr="00F04D5D">
        <w:rPr>
          <w:rFonts w:ascii="Cambria" w:hAnsi="Cambria"/>
          <w:sz w:val="16"/>
          <w:szCs w:val="16"/>
        </w:rPr>
        <w:t>. Washington, D.C., December 29, 2014.</w:t>
      </w:r>
    </w:p>
  </w:footnote>
  <w:footnote w:id="11">
    <w:p w14:paraId="32805409" w14:textId="000B8F0A" w:rsidR="004A6BCA" w:rsidRDefault="004A6BCA" w:rsidP="00F04D5D">
      <w:pPr>
        <w:pStyle w:val="FootnoteText"/>
        <w:spacing w:after="120"/>
        <w:ind w:firstLine="720"/>
        <w:jc w:val="both"/>
      </w:pPr>
      <w:r w:rsidRPr="00F04D5D">
        <w:rPr>
          <w:rStyle w:val="FootnoteReference"/>
          <w:rFonts w:ascii="Cambria" w:hAnsi="Cambria"/>
          <w:sz w:val="16"/>
          <w:szCs w:val="16"/>
        </w:rPr>
        <w:footnoteRef/>
      </w:r>
      <w:r w:rsidRPr="00F04D5D">
        <w:rPr>
          <w:rFonts w:ascii="Cambria" w:hAnsi="Cambria"/>
          <w:sz w:val="16"/>
          <w:szCs w:val="16"/>
        </w:rPr>
        <w:t xml:space="preserve"> IACHR, 2012 Annual Report, </w:t>
      </w:r>
      <w:hyperlink r:id="rId12" w:history="1">
        <w:r w:rsidRPr="00F04D5D">
          <w:rPr>
            <w:rStyle w:val="Hyperlink"/>
            <w:rFonts w:ascii="Cambria" w:hAnsi="Cambria"/>
            <w:color w:val="auto"/>
            <w:sz w:val="16"/>
            <w:szCs w:val="16"/>
          </w:rPr>
          <w:t>Chapter III, Section D: Status of compliance with the recommendations of the IACHR</w:t>
        </w:r>
      </w:hyperlink>
      <w:r w:rsidRPr="00F04D5D">
        <w:rPr>
          <w:rFonts w:ascii="Cambria" w:hAnsi="Cambria"/>
          <w:sz w:val="16"/>
          <w:szCs w:val="16"/>
        </w:rPr>
        <w:t>, para. 647.</w:t>
      </w:r>
    </w:p>
  </w:footnote>
  <w:footnote w:id="12">
    <w:p w14:paraId="30D316D6" w14:textId="315CEC36" w:rsidR="004A6BCA" w:rsidRPr="00F04D5D" w:rsidRDefault="004A6BCA" w:rsidP="00F04D5D">
      <w:pPr>
        <w:pStyle w:val="FootnoteText"/>
        <w:spacing w:after="120"/>
        <w:ind w:firstLine="720"/>
        <w:jc w:val="both"/>
        <w:rPr>
          <w:rFonts w:ascii="Cambria" w:hAnsi="Cambria"/>
          <w:sz w:val="16"/>
          <w:szCs w:val="16"/>
        </w:rPr>
      </w:pPr>
      <w:r w:rsidRPr="00F04D5D">
        <w:rPr>
          <w:rStyle w:val="FootnoteReference"/>
          <w:rFonts w:ascii="Cambria" w:hAnsi="Cambria"/>
          <w:sz w:val="16"/>
          <w:szCs w:val="16"/>
        </w:rPr>
        <w:footnoteRef/>
      </w:r>
      <w:r w:rsidRPr="00F04D5D">
        <w:rPr>
          <w:rFonts w:ascii="Cambria" w:hAnsi="Cambria"/>
          <w:sz w:val="16"/>
          <w:szCs w:val="16"/>
        </w:rPr>
        <w:t xml:space="preserve"> IACHR, 2013 Annual Report, </w:t>
      </w:r>
      <w:hyperlink r:id="rId13" w:history="1">
        <w:r w:rsidRPr="00F04D5D">
          <w:rPr>
            <w:rStyle w:val="Hyperlink"/>
            <w:rFonts w:ascii="Cambria" w:hAnsi="Cambria"/>
            <w:color w:val="auto"/>
            <w:sz w:val="16"/>
            <w:szCs w:val="16"/>
          </w:rPr>
          <w:t>Chapter II, Section D: Status of compliance with the recommendations of the IACHR</w:t>
        </w:r>
      </w:hyperlink>
      <w:r w:rsidRPr="00F04D5D">
        <w:rPr>
          <w:rFonts w:ascii="Cambria" w:hAnsi="Cambria"/>
          <w:sz w:val="16"/>
          <w:szCs w:val="16"/>
        </w:rPr>
        <w:t>, para. 1143.</w:t>
      </w:r>
    </w:p>
  </w:footnote>
  <w:footnote w:id="13">
    <w:p w14:paraId="7647B828" w14:textId="77777777" w:rsidR="00327B24" w:rsidRPr="00F04D5D" w:rsidRDefault="00327B24" w:rsidP="00F04D5D">
      <w:pPr>
        <w:pStyle w:val="FootnoteText"/>
        <w:spacing w:after="120"/>
        <w:ind w:firstLine="720"/>
        <w:jc w:val="both"/>
        <w:rPr>
          <w:rFonts w:ascii="Cambria" w:hAnsi="Cambria"/>
          <w:sz w:val="16"/>
          <w:szCs w:val="16"/>
        </w:rPr>
      </w:pPr>
      <w:r w:rsidRPr="00F04D5D">
        <w:rPr>
          <w:rStyle w:val="FootnoteReference"/>
          <w:rFonts w:ascii="Cambria" w:hAnsi="Cambria"/>
          <w:sz w:val="16"/>
          <w:szCs w:val="16"/>
        </w:rPr>
        <w:footnoteRef/>
      </w:r>
      <w:r w:rsidRPr="00F04D5D">
        <w:rPr>
          <w:rFonts w:ascii="Cambria" w:hAnsi="Cambria"/>
          <w:sz w:val="16"/>
          <w:szCs w:val="16"/>
        </w:rPr>
        <w:t xml:space="preserve"> </w:t>
      </w:r>
      <w:proofErr w:type="spellStart"/>
      <w:r w:rsidRPr="00F04D5D">
        <w:rPr>
          <w:rFonts w:ascii="Cambria" w:hAnsi="Cambria"/>
          <w:sz w:val="16"/>
          <w:szCs w:val="16"/>
        </w:rPr>
        <w:t>IACtHR</w:t>
      </w:r>
      <w:proofErr w:type="spellEnd"/>
      <w:r w:rsidRPr="00F04D5D">
        <w:rPr>
          <w:rFonts w:ascii="Cambria" w:hAnsi="Cambria"/>
          <w:sz w:val="16"/>
          <w:szCs w:val="16"/>
        </w:rPr>
        <w:t xml:space="preserve">, </w:t>
      </w:r>
      <w:hyperlink r:id="rId14" w:history="1">
        <w:r w:rsidRPr="00F04D5D">
          <w:rPr>
            <w:rStyle w:val="Hyperlink"/>
            <w:rFonts w:ascii="Cambria" w:hAnsi="Cambria"/>
            <w:color w:val="auto"/>
            <w:sz w:val="16"/>
            <w:szCs w:val="16"/>
          </w:rPr>
          <w:t xml:space="preserve">Case of La </w:t>
        </w:r>
        <w:proofErr w:type="spellStart"/>
        <w:r w:rsidRPr="00F04D5D">
          <w:rPr>
            <w:rStyle w:val="Hyperlink"/>
            <w:rFonts w:ascii="Cambria" w:hAnsi="Cambria"/>
            <w:color w:val="auto"/>
            <w:sz w:val="16"/>
            <w:szCs w:val="16"/>
          </w:rPr>
          <w:t>Cantuta</w:t>
        </w:r>
        <w:proofErr w:type="spellEnd"/>
        <w:r w:rsidRPr="00F04D5D">
          <w:rPr>
            <w:rStyle w:val="Hyperlink"/>
            <w:rFonts w:ascii="Cambria" w:hAnsi="Cambria"/>
            <w:color w:val="auto"/>
            <w:sz w:val="16"/>
            <w:szCs w:val="16"/>
          </w:rPr>
          <w:t xml:space="preserve"> </w:t>
        </w:r>
        <w:proofErr w:type="gramStart"/>
        <w:r w:rsidRPr="00F04D5D">
          <w:rPr>
            <w:rStyle w:val="Hyperlink"/>
            <w:rFonts w:ascii="Cambria" w:hAnsi="Cambria"/>
            <w:color w:val="auto"/>
            <w:sz w:val="16"/>
            <w:szCs w:val="16"/>
          </w:rPr>
          <w:t>Vs</w:t>
        </w:r>
        <w:proofErr w:type="gramEnd"/>
        <w:r w:rsidRPr="00F04D5D">
          <w:rPr>
            <w:rStyle w:val="Hyperlink"/>
            <w:rFonts w:ascii="Cambria" w:hAnsi="Cambria"/>
            <w:color w:val="auto"/>
            <w:sz w:val="16"/>
            <w:szCs w:val="16"/>
          </w:rPr>
          <w:t>. Peru, Judgement of November 29, 2006</w:t>
        </w:r>
      </w:hyperlink>
      <w:r w:rsidRPr="00F04D5D">
        <w:rPr>
          <w:rFonts w:ascii="Cambria" w:hAnsi="Cambria"/>
          <w:sz w:val="16"/>
          <w:szCs w:val="16"/>
        </w:rPr>
        <w:t xml:space="preserve">. Series C No. 162, paras. 199-200. </w:t>
      </w:r>
    </w:p>
  </w:footnote>
  <w:footnote w:id="14">
    <w:p w14:paraId="3870D9CE" w14:textId="77777777" w:rsidR="00327B24" w:rsidRPr="00F04D5D" w:rsidRDefault="00327B24" w:rsidP="00F04D5D">
      <w:pPr>
        <w:pStyle w:val="FootnoteText"/>
        <w:spacing w:after="120"/>
        <w:ind w:firstLine="720"/>
        <w:jc w:val="both"/>
        <w:rPr>
          <w:rFonts w:ascii="Cambria" w:hAnsi="Cambria"/>
          <w:sz w:val="16"/>
          <w:szCs w:val="16"/>
        </w:rPr>
      </w:pPr>
      <w:r w:rsidRPr="00F04D5D">
        <w:rPr>
          <w:rStyle w:val="FootnoteReference"/>
          <w:rFonts w:ascii="Cambria" w:hAnsi="Cambria"/>
          <w:sz w:val="16"/>
          <w:szCs w:val="16"/>
        </w:rPr>
        <w:footnoteRef/>
      </w:r>
      <w:r w:rsidRPr="00F04D5D">
        <w:rPr>
          <w:rFonts w:ascii="Cambria" w:hAnsi="Cambria"/>
          <w:sz w:val="16"/>
          <w:szCs w:val="16"/>
        </w:rPr>
        <w:t xml:space="preserve"> IACHR, </w:t>
      </w:r>
      <w:hyperlink r:id="rId15" w:history="1">
        <w:r w:rsidRPr="00F04D5D">
          <w:rPr>
            <w:rStyle w:val="Hyperlink"/>
            <w:rFonts w:ascii="Cambria" w:hAnsi="Cambria"/>
            <w:color w:val="auto"/>
            <w:sz w:val="16"/>
            <w:szCs w:val="16"/>
          </w:rPr>
          <w:t>Principal Guidelines for a Comprehensive Reparations Policy</w:t>
        </w:r>
      </w:hyperlink>
      <w:r w:rsidRPr="00F04D5D">
        <w:rPr>
          <w:rFonts w:ascii="Cambria" w:hAnsi="Cambria"/>
          <w:sz w:val="16"/>
          <w:szCs w:val="16"/>
        </w:rPr>
        <w:t>, 19 February 2008, OEA/</w:t>
      </w:r>
      <w:proofErr w:type="spellStart"/>
      <w:r w:rsidRPr="00F04D5D">
        <w:rPr>
          <w:rFonts w:ascii="Cambria" w:hAnsi="Cambria"/>
          <w:sz w:val="16"/>
          <w:szCs w:val="16"/>
        </w:rPr>
        <w:t>Ser</w:t>
      </w:r>
      <w:proofErr w:type="spellEnd"/>
      <w:r w:rsidRPr="00F04D5D">
        <w:rPr>
          <w:rFonts w:ascii="Cambria" w:hAnsi="Cambria"/>
          <w:sz w:val="16"/>
          <w:szCs w:val="16"/>
        </w:rPr>
        <w:t xml:space="preserve">/L/V/II.131, doc. 1, para. </w:t>
      </w:r>
      <w:proofErr w:type="gramStart"/>
      <w:r w:rsidRPr="00F04D5D">
        <w:rPr>
          <w:rFonts w:ascii="Cambria" w:hAnsi="Cambria"/>
          <w:sz w:val="16"/>
          <w:szCs w:val="16"/>
        </w:rPr>
        <w:t>1</w:t>
      </w:r>
      <w:proofErr w:type="gramEnd"/>
      <w:r w:rsidRPr="00F04D5D">
        <w:rPr>
          <w:rFonts w:ascii="Cambria" w:hAnsi="Cambria"/>
          <w:sz w:val="16"/>
          <w:szCs w:val="16"/>
        </w:rPr>
        <w:t xml:space="preserve">; UNGA, </w:t>
      </w:r>
      <w:hyperlink r:id="rId16" w:history="1">
        <w:r w:rsidRPr="00F04D5D">
          <w:rPr>
            <w:rStyle w:val="Hyperlink"/>
            <w:rFonts w:ascii="Cambria" w:hAnsi="Cambria"/>
            <w:color w:val="auto"/>
            <w:sz w:val="16"/>
            <w:szCs w:val="16"/>
          </w:rPr>
          <w:t>Resolution 60/147 Basic Principles and Guidelines on the Right to a Remedy and Reparation for Victims of Gross Violations of International Human Rights Law and Serious Violations of International Humanitarian Law</w:t>
        </w:r>
      </w:hyperlink>
      <w:r w:rsidRPr="00F04D5D">
        <w:rPr>
          <w:rFonts w:ascii="Cambria" w:hAnsi="Cambria"/>
          <w:sz w:val="16"/>
          <w:szCs w:val="16"/>
        </w:rPr>
        <w:t xml:space="preserve">, 16 December 2005. A/RES/60/147. </w:t>
      </w:r>
    </w:p>
  </w:footnote>
  <w:footnote w:id="15">
    <w:p w14:paraId="5C6096AA" w14:textId="77777777" w:rsidR="00327B24" w:rsidRPr="00F04D5D" w:rsidRDefault="00327B24" w:rsidP="00F04D5D">
      <w:pPr>
        <w:pStyle w:val="FootnoteText"/>
        <w:spacing w:after="120"/>
        <w:ind w:firstLine="720"/>
        <w:jc w:val="both"/>
        <w:rPr>
          <w:rFonts w:ascii="Cambria" w:hAnsi="Cambria"/>
          <w:sz w:val="16"/>
          <w:szCs w:val="16"/>
        </w:rPr>
      </w:pPr>
      <w:r w:rsidRPr="00F04D5D">
        <w:rPr>
          <w:rStyle w:val="FootnoteReference"/>
          <w:rFonts w:ascii="Cambria" w:hAnsi="Cambria"/>
          <w:sz w:val="16"/>
          <w:szCs w:val="16"/>
        </w:rPr>
        <w:footnoteRef/>
      </w:r>
      <w:r w:rsidRPr="00F04D5D">
        <w:rPr>
          <w:rFonts w:ascii="Cambria" w:hAnsi="Cambria"/>
          <w:sz w:val="16"/>
          <w:szCs w:val="16"/>
        </w:rPr>
        <w:t xml:space="preserve"> </w:t>
      </w:r>
      <w:proofErr w:type="spellStart"/>
      <w:r w:rsidRPr="00F04D5D">
        <w:rPr>
          <w:rFonts w:ascii="Cambria" w:hAnsi="Cambria"/>
          <w:sz w:val="16"/>
          <w:szCs w:val="16"/>
        </w:rPr>
        <w:t>IACtHR</w:t>
      </w:r>
      <w:proofErr w:type="spellEnd"/>
      <w:r w:rsidRPr="00F04D5D">
        <w:rPr>
          <w:rFonts w:ascii="Cambria" w:hAnsi="Cambria"/>
          <w:sz w:val="16"/>
          <w:szCs w:val="16"/>
        </w:rPr>
        <w:t xml:space="preserve">, </w:t>
      </w:r>
      <w:hyperlink r:id="rId17" w:history="1">
        <w:r w:rsidRPr="00F04D5D">
          <w:rPr>
            <w:rStyle w:val="Hyperlink"/>
            <w:rFonts w:ascii="Cambria" w:hAnsi="Cambria"/>
            <w:color w:val="auto"/>
            <w:sz w:val="16"/>
            <w:szCs w:val="16"/>
          </w:rPr>
          <w:t xml:space="preserve">Case of La </w:t>
        </w:r>
        <w:proofErr w:type="spellStart"/>
        <w:r w:rsidRPr="00F04D5D">
          <w:rPr>
            <w:rStyle w:val="Hyperlink"/>
            <w:rFonts w:ascii="Cambria" w:hAnsi="Cambria"/>
            <w:color w:val="auto"/>
            <w:sz w:val="16"/>
            <w:szCs w:val="16"/>
          </w:rPr>
          <w:t>Cantuta</w:t>
        </w:r>
        <w:proofErr w:type="spellEnd"/>
        <w:r w:rsidRPr="00F04D5D">
          <w:rPr>
            <w:rStyle w:val="Hyperlink"/>
            <w:rFonts w:ascii="Cambria" w:hAnsi="Cambria"/>
            <w:color w:val="auto"/>
            <w:sz w:val="16"/>
            <w:szCs w:val="16"/>
          </w:rPr>
          <w:t xml:space="preserve"> </w:t>
        </w:r>
        <w:proofErr w:type="gramStart"/>
        <w:r w:rsidRPr="00F04D5D">
          <w:rPr>
            <w:rStyle w:val="Hyperlink"/>
            <w:rFonts w:ascii="Cambria" w:hAnsi="Cambria"/>
            <w:color w:val="auto"/>
            <w:sz w:val="16"/>
            <w:szCs w:val="16"/>
          </w:rPr>
          <w:t>Vs</w:t>
        </w:r>
        <w:proofErr w:type="gramEnd"/>
        <w:r w:rsidRPr="00F04D5D">
          <w:rPr>
            <w:rStyle w:val="Hyperlink"/>
            <w:rFonts w:ascii="Cambria" w:hAnsi="Cambria"/>
            <w:color w:val="auto"/>
            <w:sz w:val="16"/>
            <w:szCs w:val="16"/>
          </w:rPr>
          <w:t>. Peru, Judgement of November 29, 2006</w:t>
        </w:r>
      </w:hyperlink>
      <w:r w:rsidRPr="00F04D5D">
        <w:rPr>
          <w:rFonts w:ascii="Cambria" w:hAnsi="Cambria"/>
          <w:sz w:val="16"/>
          <w:szCs w:val="16"/>
        </w:rPr>
        <w:t>. Series C No. 162, para. 200.</w:t>
      </w:r>
    </w:p>
  </w:footnote>
  <w:footnote w:id="16">
    <w:p w14:paraId="66E27DB9" w14:textId="5FDC3AB3" w:rsidR="004A6BCA" w:rsidRPr="00F04D5D" w:rsidRDefault="004A6BCA" w:rsidP="00F04D5D">
      <w:pPr>
        <w:pStyle w:val="FootnoteText"/>
        <w:spacing w:after="120"/>
        <w:ind w:firstLine="720"/>
        <w:jc w:val="both"/>
        <w:rPr>
          <w:rFonts w:ascii="Cambria" w:hAnsi="Cambria"/>
          <w:sz w:val="16"/>
          <w:szCs w:val="16"/>
        </w:rPr>
      </w:pPr>
      <w:r w:rsidRPr="00F04D5D">
        <w:rPr>
          <w:rStyle w:val="FootnoteReference"/>
          <w:rFonts w:ascii="Cambria" w:hAnsi="Cambria"/>
          <w:sz w:val="16"/>
          <w:szCs w:val="16"/>
        </w:rPr>
        <w:footnoteRef/>
      </w:r>
      <w:r w:rsidRPr="00F04D5D">
        <w:rPr>
          <w:rFonts w:ascii="Cambria" w:hAnsi="Cambria"/>
          <w:sz w:val="16"/>
          <w:szCs w:val="16"/>
        </w:rPr>
        <w:t xml:space="preserve"> IACHR, 2012 Annual Report, </w:t>
      </w:r>
      <w:hyperlink r:id="rId18" w:history="1">
        <w:r w:rsidRPr="00F04D5D">
          <w:rPr>
            <w:rStyle w:val="Hyperlink"/>
            <w:rFonts w:ascii="Cambria" w:hAnsi="Cambria"/>
            <w:color w:val="auto"/>
            <w:sz w:val="16"/>
            <w:szCs w:val="16"/>
          </w:rPr>
          <w:t>Chapter III, Section D: Status of compliance with the recommendations of the IACHR</w:t>
        </w:r>
      </w:hyperlink>
      <w:r w:rsidRPr="00F04D5D">
        <w:rPr>
          <w:rFonts w:ascii="Cambria" w:hAnsi="Cambria"/>
          <w:sz w:val="16"/>
          <w:szCs w:val="16"/>
        </w:rPr>
        <w:t>, para. 648.</w:t>
      </w:r>
    </w:p>
  </w:footnote>
  <w:footnote w:id="17">
    <w:p w14:paraId="66A2823D" w14:textId="77777777" w:rsidR="00327B24" w:rsidRPr="00CF7CD4" w:rsidRDefault="00327B24" w:rsidP="00F04D5D">
      <w:pPr>
        <w:pStyle w:val="FootnoteText"/>
        <w:spacing w:after="120"/>
        <w:ind w:firstLine="720"/>
        <w:jc w:val="both"/>
        <w:rPr>
          <w:rFonts w:ascii="Cambria" w:hAnsi="Cambria"/>
          <w:sz w:val="16"/>
          <w:szCs w:val="16"/>
        </w:rPr>
      </w:pPr>
      <w:r w:rsidRPr="00F04D5D">
        <w:rPr>
          <w:rStyle w:val="FootnoteReference"/>
          <w:rFonts w:ascii="Cambria" w:hAnsi="Cambria"/>
          <w:sz w:val="16"/>
          <w:szCs w:val="16"/>
        </w:rPr>
        <w:footnoteRef/>
      </w:r>
      <w:r w:rsidRPr="00F04D5D">
        <w:rPr>
          <w:rFonts w:ascii="Cambria" w:hAnsi="Cambria"/>
          <w:sz w:val="16"/>
          <w:szCs w:val="16"/>
        </w:rPr>
        <w:t xml:space="preserve"> John Aguilar, “</w:t>
      </w:r>
      <w:hyperlink r:id="rId19" w:history="1">
        <w:r w:rsidRPr="00F04D5D">
          <w:rPr>
            <w:rStyle w:val="Hyperlink"/>
            <w:rFonts w:ascii="Cambria" w:hAnsi="Cambria"/>
            <w:color w:val="auto"/>
            <w:sz w:val="16"/>
            <w:szCs w:val="16"/>
          </w:rPr>
          <w:t>Douglas County pioneers new way to reduce fatalities from domestic violence</w:t>
        </w:r>
      </w:hyperlink>
      <w:r w:rsidRPr="00F04D5D">
        <w:rPr>
          <w:rFonts w:ascii="Cambria" w:hAnsi="Cambria"/>
          <w:sz w:val="16"/>
          <w:szCs w:val="16"/>
        </w:rPr>
        <w:t xml:space="preserve">”, The Denver Post (2017).  </w:t>
      </w:r>
    </w:p>
  </w:footnote>
  <w:footnote w:id="18">
    <w:p w14:paraId="348D18E3" w14:textId="36966ED0" w:rsidR="004A6BCA" w:rsidRPr="00F04D5D" w:rsidRDefault="004A6BCA" w:rsidP="00F04D5D">
      <w:pPr>
        <w:pStyle w:val="FootnoteText"/>
        <w:spacing w:after="120"/>
        <w:ind w:firstLine="720"/>
        <w:jc w:val="both"/>
        <w:rPr>
          <w:rFonts w:ascii="Cambria" w:hAnsi="Cambria"/>
          <w:sz w:val="16"/>
          <w:szCs w:val="16"/>
        </w:rPr>
      </w:pPr>
      <w:r w:rsidRPr="00F04D5D">
        <w:rPr>
          <w:rStyle w:val="FootnoteReference"/>
          <w:rFonts w:ascii="Cambria" w:hAnsi="Cambria"/>
          <w:sz w:val="16"/>
          <w:szCs w:val="16"/>
        </w:rPr>
        <w:footnoteRef/>
      </w:r>
      <w:r w:rsidRPr="00F04D5D">
        <w:rPr>
          <w:rFonts w:ascii="Cambria" w:hAnsi="Cambria"/>
          <w:sz w:val="16"/>
          <w:szCs w:val="16"/>
        </w:rPr>
        <w:t xml:space="preserve"> IACHR, 2012 Annual Report, </w:t>
      </w:r>
      <w:hyperlink r:id="rId20" w:history="1">
        <w:r w:rsidRPr="00F04D5D">
          <w:rPr>
            <w:rStyle w:val="Hyperlink"/>
            <w:rFonts w:ascii="Cambria" w:hAnsi="Cambria"/>
            <w:color w:val="auto"/>
            <w:sz w:val="16"/>
            <w:szCs w:val="16"/>
          </w:rPr>
          <w:t>Chapter III, Section D: Status of compliance with the recommendations of the IACHR</w:t>
        </w:r>
      </w:hyperlink>
      <w:r w:rsidRPr="00F04D5D">
        <w:rPr>
          <w:rFonts w:ascii="Cambria" w:hAnsi="Cambria"/>
          <w:sz w:val="16"/>
          <w:szCs w:val="16"/>
        </w:rPr>
        <w:t>, para. 649.</w:t>
      </w:r>
    </w:p>
  </w:footnote>
  <w:footnote w:id="19">
    <w:p w14:paraId="04AE34BE" w14:textId="612E997E" w:rsidR="00B445FF" w:rsidRPr="00F04D5D" w:rsidRDefault="00B445FF" w:rsidP="00F04D5D">
      <w:pPr>
        <w:pStyle w:val="FootnoteText"/>
        <w:spacing w:after="120"/>
        <w:ind w:firstLine="720"/>
        <w:jc w:val="both"/>
        <w:rPr>
          <w:rFonts w:ascii="Cambria" w:hAnsi="Cambria"/>
          <w:sz w:val="16"/>
          <w:szCs w:val="16"/>
        </w:rPr>
      </w:pPr>
      <w:r w:rsidRPr="00F04D5D">
        <w:rPr>
          <w:rStyle w:val="FootnoteReference"/>
          <w:rFonts w:ascii="Cambria" w:hAnsi="Cambria"/>
          <w:sz w:val="16"/>
          <w:szCs w:val="16"/>
        </w:rPr>
        <w:footnoteRef/>
      </w:r>
      <w:r w:rsidRPr="00F04D5D">
        <w:rPr>
          <w:rFonts w:ascii="Cambria" w:hAnsi="Cambria"/>
          <w:sz w:val="16"/>
          <w:szCs w:val="16"/>
        </w:rPr>
        <w:t xml:space="preserve"> IACHR, 2012 Annual Report, </w:t>
      </w:r>
      <w:hyperlink r:id="rId21" w:history="1">
        <w:r w:rsidRPr="00F04D5D">
          <w:rPr>
            <w:rStyle w:val="Hyperlink"/>
            <w:rFonts w:ascii="Cambria" w:hAnsi="Cambria"/>
            <w:color w:val="auto"/>
            <w:sz w:val="16"/>
            <w:szCs w:val="16"/>
          </w:rPr>
          <w:t>Chapter III, Section D: Status of compliance with the recommendations of the IACHR</w:t>
        </w:r>
      </w:hyperlink>
      <w:r w:rsidRPr="00F04D5D">
        <w:rPr>
          <w:rFonts w:ascii="Cambria" w:hAnsi="Cambria"/>
          <w:sz w:val="16"/>
          <w:szCs w:val="16"/>
        </w:rPr>
        <w:t>, para. 649.</w:t>
      </w:r>
    </w:p>
  </w:footnote>
  <w:footnote w:id="20">
    <w:p w14:paraId="63CDF205" w14:textId="4838AF7F" w:rsidR="009D54A5" w:rsidRDefault="009D54A5" w:rsidP="00F04D5D">
      <w:pPr>
        <w:pStyle w:val="FootnoteText"/>
        <w:spacing w:after="120"/>
        <w:ind w:firstLine="720"/>
        <w:jc w:val="both"/>
      </w:pPr>
      <w:r w:rsidRPr="00F04D5D">
        <w:rPr>
          <w:rStyle w:val="FootnoteReference"/>
          <w:rFonts w:ascii="Cambria" w:hAnsi="Cambria"/>
          <w:sz w:val="16"/>
          <w:szCs w:val="16"/>
        </w:rPr>
        <w:footnoteRef/>
      </w:r>
      <w:r w:rsidRPr="00F04D5D">
        <w:rPr>
          <w:rFonts w:ascii="Cambria" w:hAnsi="Cambria"/>
          <w:sz w:val="16"/>
          <w:szCs w:val="16"/>
        </w:rPr>
        <w:t xml:space="preserve"> IACHR, 2013 Annual Report, </w:t>
      </w:r>
      <w:hyperlink r:id="rId22" w:history="1">
        <w:r w:rsidRPr="00F04D5D">
          <w:rPr>
            <w:rStyle w:val="Hyperlink"/>
            <w:rFonts w:ascii="Cambria" w:hAnsi="Cambria"/>
            <w:color w:val="auto"/>
            <w:sz w:val="16"/>
            <w:szCs w:val="16"/>
          </w:rPr>
          <w:t>Chapter II, Section D: Status of compliance with the recommendations of the IACHR</w:t>
        </w:r>
      </w:hyperlink>
      <w:r w:rsidRPr="00F04D5D">
        <w:rPr>
          <w:rFonts w:ascii="Cambria" w:hAnsi="Cambria"/>
          <w:sz w:val="16"/>
          <w:szCs w:val="16"/>
        </w:rPr>
        <w:t>, para. 1145.</w:t>
      </w:r>
    </w:p>
  </w:footnote>
  <w:footnote w:id="21">
    <w:p w14:paraId="33D9ACC6" w14:textId="77777777" w:rsidR="00B362A4" w:rsidRPr="00F04D5D" w:rsidRDefault="00B362A4" w:rsidP="00730997">
      <w:pPr>
        <w:pStyle w:val="FootnoteText"/>
        <w:spacing w:after="120"/>
        <w:ind w:firstLine="720"/>
        <w:jc w:val="both"/>
        <w:rPr>
          <w:rFonts w:ascii="Cambria" w:hAnsi="Cambria"/>
          <w:sz w:val="16"/>
          <w:szCs w:val="16"/>
        </w:rPr>
      </w:pPr>
      <w:r w:rsidRPr="00F04D5D">
        <w:rPr>
          <w:rStyle w:val="FootnoteReference"/>
          <w:rFonts w:ascii="Cambria" w:hAnsi="Cambria"/>
          <w:sz w:val="16"/>
          <w:szCs w:val="16"/>
        </w:rPr>
        <w:footnoteRef/>
      </w:r>
      <w:r w:rsidRPr="00F04D5D">
        <w:rPr>
          <w:rFonts w:ascii="Cambria" w:hAnsi="Cambria"/>
          <w:sz w:val="16"/>
          <w:szCs w:val="16"/>
        </w:rPr>
        <w:t xml:space="preserve"> Cornell Law School, </w:t>
      </w:r>
      <w:hyperlink r:id="rId23" w:history="1">
        <w:r w:rsidRPr="00F04D5D">
          <w:rPr>
            <w:rStyle w:val="Hyperlink"/>
            <w:rFonts w:ascii="Cambria" w:hAnsi="Cambria"/>
            <w:color w:val="auto"/>
            <w:sz w:val="16"/>
            <w:szCs w:val="16"/>
          </w:rPr>
          <w:t xml:space="preserve">Freedom from Domestic Violence as </w:t>
        </w:r>
        <w:proofErr w:type="gramStart"/>
        <w:r w:rsidRPr="00F04D5D">
          <w:rPr>
            <w:rStyle w:val="Hyperlink"/>
            <w:rFonts w:ascii="Cambria" w:hAnsi="Cambria"/>
            <w:color w:val="auto"/>
            <w:sz w:val="16"/>
            <w:szCs w:val="16"/>
          </w:rPr>
          <w:t>a Fundamental Human Right Resolutions</w:t>
        </w:r>
        <w:proofErr w:type="gramEnd"/>
        <w:r w:rsidRPr="00F04D5D">
          <w:rPr>
            <w:rStyle w:val="Hyperlink"/>
            <w:rFonts w:ascii="Cambria" w:hAnsi="Cambria"/>
            <w:color w:val="auto"/>
            <w:sz w:val="16"/>
            <w:szCs w:val="16"/>
          </w:rPr>
          <w:t>, Presidential Proclamations, and Other Statements of Principle</w:t>
        </w:r>
      </w:hyperlink>
      <w:r w:rsidRPr="00F04D5D">
        <w:rPr>
          <w:rFonts w:ascii="Cambria" w:hAnsi="Cambria"/>
          <w:sz w:val="16"/>
          <w:szCs w:val="16"/>
        </w:rPr>
        <w:t>.</w:t>
      </w:r>
    </w:p>
  </w:footnote>
  <w:footnote w:id="22">
    <w:p w14:paraId="5527A9B6" w14:textId="6159B682" w:rsidR="009D54A5" w:rsidRDefault="009D54A5" w:rsidP="00730997">
      <w:pPr>
        <w:pStyle w:val="FootnoteText"/>
        <w:spacing w:after="120"/>
        <w:ind w:firstLine="720"/>
        <w:jc w:val="both"/>
      </w:pPr>
      <w:r w:rsidRPr="00F04D5D">
        <w:rPr>
          <w:rStyle w:val="FootnoteReference"/>
          <w:rFonts w:ascii="Cambria" w:hAnsi="Cambria"/>
          <w:sz w:val="16"/>
          <w:szCs w:val="16"/>
        </w:rPr>
        <w:footnoteRef/>
      </w:r>
      <w:r w:rsidRPr="00F04D5D">
        <w:rPr>
          <w:rFonts w:ascii="Cambria" w:hAnsi="Cambria"/>
          <w:sz w:val="16"/>
          <w:szCs w:val="16"/>
        </w:rPr>
        <w:t xml:space="preserve"> IACHR, 2012 Annual Report, </w:t>
      </w:r>
      <w:hyperlink r:id="rId24" w:history="1">
        <w:r w:rsidRPr="00F04D5D">
          <w:rPr>
            <w:rStyle w:val="Hyperlink"/>
            <w:rFonts w:ascii="Cambria" w:hAnsi="Cambria"/>
            <w:color w:val="auto"/>
            <w:sz w:val="16"/>
            <w:szCs w:val="16"/>
          </w:rPr>
          <w:t>Chapter III, Section D: Status of compliance with the recommendations of the IACHR</w:t>
        </w:r>
      </w:hyperlink>
      <w:r w:rsidRPr="00F04D5D">
        <w:rPr>
          <w:rFonts w:ascii="Cambria" w:hAnsi="Cambria"/>
          <w:sz w:val="16"/>
          <w:szCs w:val="16"/>
        </w:rPr>
        <w:t>, para. 649.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6269F" w14:textId="77777777" w:rsidR="00654852" w:rsidRDefault="006548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64119" w14:textId="687D9FCF" w:rsidR="00B508AA" w:rsidRPr="00ED1EBA" w:rsidRDefault="00B508AA" w:rsidP="00B508AA">
    <w:pPr>
      <w:pStyle w:val="Header"/>
      <w:rPr>
        <w:rFonts w:ascii="Arial" w:hAnsi="Arial" w:cs="Arial"/>
        <w:color w:val="3B3838" w:themeColor="background2" w:themeShade="40"/>
        <w:szCs w:val="28"/>
      </w:rPr>
    </w:pPr>
    <w:r>
      <w:rPr>
        <w:rFonts w:asciiTheme="minorHAnsi" w:hAnsiTheme="minorHAnsi" w:cstheme="minorBidi"/>
        <w:noProof/>
        <w:sz w:val="20"/>
        <w:szCs w:val="24"/>
      </w:rPr>
      <w:drawing>
        <wp:anchor distT="0" distB="0" distL="114300" distR="114300" simplePos="0" relativeHeight="251675648" behindDoc="0" locked="0" layoutInCell="1" allowOverlap="1" wp14:anchorId="44FC9ED6" wp14:editId="7BCFA86F">
          <wp:simplePos x="0" y="0"/>
          <wp:positionH relativeFrom="column">
            <wp:posOffset>1123950</wp:posOffset>
          </wp:positionH>
          <wp:positionV relativeFrom="paragraph">
            <wp:posOffset>-115570</wp:posOffset>
          </wp:positionV>
          <wp:extent cx="923925" cy="353695"/>
          <wp:effectExtent l="0" t="0" r="9525" b="8255"/>
          <wp:wrapSquare wrapText="bothSides"/>
          <wp:docPr id="1" name="Picture 1" descr="CID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H-en"/>
                  <pic:cNvPicPr>
                    <a:picLocks noChangeAspect="1" noChangeArrowheads="1"/>
                  </pic:cNvPicPr>
                </pic:nvPicPr>
                <pic:blipFill>
                  <a:blip r:embed="rId1">
                    <a:extLst>
                      <a:ext uri="{28A0092B-C50C-407E-A947-70E740481C1C}">
                        <a14:useLocalDpi xmlns:a14="http://schemas.microsoft.com/office/drawing/2010/main" val="0"/>
                      </a:ext>
                    </a:extLst>
                  </a:blip>
                  <a:srcRect r="41916" b="5110"/>
                  <a:stretch>
                    <a:fillRect/>
                  </a:stretch>
                </pic:blipFill>
                <pic:spPr bwMode="auto">
                  <a:xfrm>
                    <a:off x="0" y="0"/>
                    <a:ext cx="923925" cy="35369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3B3838" w:themeColor="background2" w:themeShade="40"/>
        <w:szCs w:val="28"/>
      </w:rPr>
      <w:t xml:space="preserve">                       </w:t>
    </w:r>
    <w:r w:rsidRPr="00ED1EBA">
      <w:rPr>
        <w:rFonts w:ascii="Arial" w:hAnsi="Arial" w:cs="Arial"/>
        <w:noProof/>
        <w:color w:val="3B3838" w:themeColor="background2" w:themeShade="40"/>
        <w:szCs w:val="28"/>
      </w:rPr>
      <w:t>Inter-American Commission on Human Rights</w:t>
    </w:r>
  </w:p>
  <w:p w14:paraId="2FDC2F41" w14:textId="77777777" w:rsidR="00B508AA" w:rsidRPr="00B508AA" w:rsidRDefault="00B508AA" w:rsidP="00B508AA">
    <w:pPr>
      <w:pStyle w:val="Header"/>
      <w:rPr>
        <w:rFonts w:ascii="Arial" w:hAnsi="Arial" w:cs="Arial"/>
        <w:b/>
        <w:bCs/>
        <w:color w:val="404040" w:themeColor="text1" w:themeTint="BF"/>
        <w:sz w:val="44"/>
        <w:szCs w:val="44"/>
      </w:rPr>
    </w:pPr>
    <w:r>
      <w:rPr>
        <w:rFonts w:ascii="Arial" w:hAnsi="Arial" w:cs="Arial"/>
        <w:b/>
        <w:bCs/>
        <w:noProof/>
        <w:color w:val="000000" w:themeColor="text1"/>
        <w:sz w:val="44"/>
        <w:szCs w:val="44"/>
      </w:rPr>
      <mc:AlternateContent>
        <mc:Choice Requires="wps">
          <w:drawing>
            <wp:anchor distT="0" distB="0" distL="114300" distR="114300" simplePos="0" relativeHeight="251674624" behindDoc="0" locked="0" layoutInCell="1" allowOverlap="1" wp14:anchorId="2D0D9BEB" wp14:editId="7E234EE6">
              <wp:simplePos x="0" y="0"/>
              <wp:positionH relativeFrom="column">
                <wp:posOffset>-5610</wp:posOffset>
              </wp:positionH>
              <wp:positionV relativeFrom="paragraph">
                <wp:posOffset>167882</wp:posOffset>
              </wp:positionV>
              <wp:extent cx="6148358"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AD629F" id="Straight Connector 2"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3.2pt" to="48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" strokecolor="#272727 [2749]" strokeweight="1.2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36873" w14:textId="2105B3BA" w:rsidR="00F97BF7" w:rsidRPr="00F97BF7" w:rsidRDefault="00F97BF7" w:rsidP="00F97BF7">
    <w:pPr>
      <w:tabs>
        <w:tab w:val="center" w:pos="4680"/>
        <w:tab w:val="right" w:pos="9360"/>
      </w:tabs>
      <w:spacing w:after="0" w:line="216" w:lineRule="auto"/>
      <w:rPr>
        <w:rFonts w:ascii="Arial" w:hAnsi="Arial" w:cs="Arial"/>
        <w:color w:val="3B3838"/>
        <w:sz w:val="28"/>
        <w:szCs w:val="28"/>
        <w:lang w:val="es-ES"/>
      </w:rPr>
    </w:pPr>
    <w:r w:rsidRPr="00F97BF7">
      <w:rPr>
        <w:rFonts w:ascii="Arial" w:hAnsi="Arial" w:cs="Arial"/>
        <w:noProof/>
        <w:color w:val="3B3838"/>
        <w:sz w:val="44"/>
        <w:szCs w:val="28"/>
      </w:rPr>
      <mc:AlternateContent>
        <mc:Choice Requires="wps">
          <w:drawing>
            <wp:anchor distT="0" distB="0" distL="114300" distR="114300" simplePos="0" relativeHeight="251670528" behindDoc="1" locked="0" layoutInCell="1" allowOverlap="1" wp14:anchorId="2FFFD90B" wp14:editId="0536457B">
              <wp:simplePos x="0" y="0"/>
              <wp:positionH relativeFrom="column">
                <wp:posOffset>1071880</wp:posOffset>
              </wp:positionH>
              <wp:positionV relativeFrom="paragraph">
                <wp:posOffset>-63500</wp:posOffset>
              </wp:positionV>
              <wp:extent cx="1447332" cy="605918"/>
              <wp:effectExtent l="0" t="0" r="635" b="3810"/>
              <wp:wrapNone/>
              <wp:docPr id="5" name="Text Box 5"/>
              <wp:cNvGraphicFramePr/>
              <a:graphic xmlns:a="http://schemas.openxmlformats.org/drawingml/2006/main">
                <a:graphicData uri="http://schemas.microsoft.com/office/word/2010/wordprocessingShape">
                  <wps:wsp>
                    <wps:cNvSpPr txBox="1"/>
                    <wps:spPr>
                      <a:xfrm>
                        <a:off x="0" y="0"/>
                        <a:ext cx="1447332" cy="605918"/>
                      </a:xfrm>
                      <a:prstGeom prst="rect">
                        <a:avLst/>
                      </a:prstGeom>
                      <a:solidFill>
                        <a:sysClr val="window" lastClr="FFFFFF"/>
                      </a:solidFill>
                      <a:ln w="6350">
                        <a:noFill/>
                      </a:ln>
                    </wps:spPr>
                    <wps:txbx>
                      <w:txbxContent>
                        <w:p w14:paraId="032AB423" w14:textId="77777777" w:rsidR="00F97BF7" w:rsidRPr="00F97BF7" w:rsidRDefault="00F97BF7" w:rsidP="00F97BF7">
                          <w:pPr>
                            <w:rPr>
                              <w:rFonts w:ascii="Arial" w:hAnsi="Arial" w:cs="Arial"/>
                              <w:b/>
                              <w:bCs/>
                              <w:color w:val="767171"/>
                              <w:sz w:val="80"/>
                              <w:szCs w:val="80"/>
                              <w:lang w:val="es-ES"/>
                            </w:rPr>
                          </w:pPr>
                          <w:r w:rsidRPr="00F97BF7">
                            <w:rPr>
                              <w:rFonts w:ascii="Arial" w:hAnsi="Arial" w:cs="Arial"/>
                              <w:b/>
                              <w:bCs/>
                              <w:color w:val="767171"/>
                              <w:sz w:val="80"/>
                              <w:szCs w:val="80"/>
                              <w:lang w:val="es-ES"/>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FFD90B" id="_x0000_t202" coordsize="21600,21600" o:spt="202" path="m,l,21600r21600,l21600,xe">
              <v:stroke joinstyle="miter"/>
              <v:path gradientshapeok="t" o:connecttype="rect"/>
            </v:shapetype>
            <v:shape id="Text Box 5" o:spid="_x0000_s1026" type="#_x0000_t202" style="position:absolute;margin-left:84.4pt;margin-top:-5pt;width:113.95pt;height:47.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" fillcolor="window" stroked="f" strokeweight=".5pt">
              <v:textbox>
                <w:txbxContent>
                  <w:p w14:paraId="032AB423" w14:textId="77777777" w:rsidR="00F97BF7" w:rsidRPr="00F97BF7" w:rsidRDefault="00F97BF7" w:rsidP="00F97BF7">
                    <w:pPr>
                      <w:rPr>
                        <w:rFonts w:ascii="Arial" w:hAnsi="Arial" w:cs="Arial"/>
                        <w:b/>
                        <w:bCs/>
                        <w:color w:val="767171"/>
                        <w:sz w:val="80"/>
                        <w:szCs w:val="80"/>
                        <w:lang w:val="es-ES"/>
                      </w:rPr>
                    </w:pPr>
                    <w:r w:rsidRPr="00F97BF7">
                      <w:rPr>
                        <w:rFonts w:ascii="Arial" w:hAnsi="Arial" w:cs="Arial"/>
                        <w:b/>
                        <w:bCs/>
                        <w:color w:val="767171"/>
                        <w:sz w:val="80"/>
                        <w:szCs w:val="80"/>
                        <w:lang w:val="es-ES"/>
                      </w:rPr>
                      <w:t>2020</w:t>
                    </w:r>
                  </w:p>
                </w:txbxContent>
              </v:textbox>
            </v:shape>
          </w:pict>
        </mc:Fallback>
      </mc:AlternateContent>
    </w:r>
    <w:r w:rsidRPr="00F97BF7">
      <w:rPr>
        <w:noProof/>
        <w:sz w:val="24"/>
        <w:szCs w:val="24"/>
      </w:rPr>
      <w:drawing>
        <wp:anchor distT="0" distB="0" distL="114300" distR="114300" simplePos="0" relativeHeight="251665408" behindDoc="0" locked="0" layoutInCell="1" allowOverlap="1" wp14:anchorId="0904407D" wp14:editId="5E9F517B">
          <wp:simplePos x="0" y="0"/>
          <wp:positionH relativeFrom="column">
            <wp:posOffset>3752850</wp:posOffset>
          </wp:positionH>
          <wp:positionV relativeFrom="paragraph">
            <wp:posOffset>29210</wp:posOffset>
          </wp:positionV>
          <wp:extent cx="2381250" cy="561975"/>
          <wp:effectExtent l="0" t="0" r="0" b="0"/>
          <wp:wrapSquare wrapText="bothSides"/>
          <wp:docPr id="8" name="Picture 8" descr="CID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H-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561975"/>
                  </a:xfrm>
                  <a:prstGeom prst="rect">
                    <a:avLst/>
                  </a:prstGeom>
                  <a:noFill/>
                </pic:spPr>
              </pic:pic>
            </a:graphicData>
          </a:graphic>
          <wp14:sizeRelH relativeFrom="page">
            <wp14:pctWidth>0</wp14:pctWidth>
          </wp14:sizeRelH>
          <wp14:sizeRelV relativeFrom="page">
            <wp14:pctHeight>0</wp14:pctHeight>
          </wp14:sizeRelV>
        </wp:anchor>
      </w:drawing>
    </w:r>
    <w:r w:rsidRPr="00F97BF7">
      <w:rPr>
        <w:noProof/>
        <w:sz w:val="44"/>
        <w:szCs w:val="28"/>
      </w:rPr>
      <w:t xml:space="preserve">ANNUAL </w:t>
    </w:r>
  </w:p>
  <w:p w14:paraId="6E9B033A" w14:textId="77777777" w:rsidR="00F97BF7" w:rsidRPr="00F97BF7" w:rsidRDefault="00F97BF7" w:rsidP="00F97BF7">
    <w:pPr>
      <w:tabs>
        <w:tab w:val="left" w:pos="1925"/>
      </w:tabs>
      <w:spacing w:after="0" w:line="216" w:lineRule="auto"/>
      <w:rPr>
        <w:rFonts w:ascii="Arial" w:hAnsi="Arial" w:cs="Arial"/>
        <w:b/>
        <w:bCs/>
        <w:color w:val="404040"/>
        <w:sz w:val="38"/>
        <w:szCs w:val="38"/>
        <w:lang w:val="es-ES"/>
      </w:rPr>
    </w:pPr>
    <w:r w:rsidRPr="00F97BF7">
      <w:rPr>
        <w:rFonts w:ascii="Arial" w:hAnsi="Arial" w:cs="Arial"/>
        <w:b/>
        <w:bCs/>
        <w:color w:val="404040"/>
        <w:sz w:val="38"/>
        <w:szCs w:val="38"/>
        <w:lang w:val="es-ES"/>
      </w:rPr>
      <w:t>REPORT</w:t>
    </w:r>
  </w:p>
  <w:p w14:paraId="2B4750BB" w14:textId="2B0FD527" w:rsidR="00327B24" w:rsidRPr="00F97BF7" w:rsidRDefault="00F97BF7" w:rsidP="00F97BF7">
    <w:pPr>
      <w:tabs>
        <w:tab w:val="center" w:pos="4680"/>
        <w:tab w:val="right" w:pos="9360"/>
      </w:tabs>
      <w:spacing w:after="0" w:line="240" w:lineRule="auto"/>
      <w:rPr>
        <w:rFonts w:ascii="Arial" w:hAnsi="Arial" w:cs="Arial"/>
        <w:b/>
        <w:bCs/>
        <w:color w:val="404040"/>
        <w:sz w:val="44"/>
        <w:szCs w:val="44"/>
        <w:lang w:val="es-ES"/>
      </w:rPr>
    </w:pPr>
    <w:r w:rsidRPr="00F97BF7">
      <w:rPr>
        <w:rFonts w:ascii="Arial" w:hAnsi="Arial" w:cs="Arial"/>
        <w:b/>
        <w:bCs/>
        <w:noProof/>
        <w:color w:val="000000"/>
        <w:sz w:val="44"/>
        <w:szCs w:val="44"/>
      </w:rPr>
      <mc:AlternateContent>
        <mc:Choice Requires="wps">
          <w:drawing>
            <wp:anchor distT="0" distB="0" distL="114300" distR="114300" simplePos="0" relativeHeight="251672576" behindDoc="0" locked="0" layoutInCell="1" allowOverlap="1" wp14:anchorId="0E1421EE" wp14:editId="35665B50">
              <wp:simplePos x="0" y="0"/>
              <wp:positionH relativeFrom="column">
                <wp:posOffset>-5610</wp:posOffset>
              </wp:positionH>
              <wp:positionV relativeFrom="paragraph">
                <wp:posOffset>167882</wp:posOffset>
              </wp:positionV>
              <wp:extent cx="6148358" cy="0"/>
              <wp:effectExtent l="0" t="0" r="11430" b="12700"/>
              <wp:wrapNone/>
              <wp:docPr id="6" name="Straight Connector 6"/>
              <wp:cNvGraphicFramePr/>
              <a:graphic xmlns:a="http://schemas.openxmlformats.org/drawingml/2006/main">
                <a:graphicData uri="http://schemas.microsoft.com/office/word/2010/wordprocessingShape">
                  <wps:wsp>
                    <wps:cNvCnPr/>
                    <wps:spPr>
                      <a:xfrm>
                        <a:off x="0" y="0"/>
                        <a:ext cx="6148358" cy="0"/>
                      </a:xfrm>
                      <a:prstGeom prst="line">
                        <a:avLst/>
                      </a:prstGeom>
                      <a:noFill/>
                      <a:ln w="15875" cap="flat" cmpd="sng" algn="ctr">
                        <a:solidFill>
                          <a:sysClr val="windowText" lastClr="000000">
                            <a:lumMod val="85000"/>
                            <a:lumOff val="15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238ED6E" id="Straight Connector 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3.2pt" to="48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" strokecolor="#262626"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5366C"/>
    <w:multiLevelType w:val="hybridMultilevel"/>
    <w:tmpl w:val="4900E6B4"/>
    <w:lvl w:ilvl="0" w:tplc="07CEA2B8">
      <w:start w:val="1"/>
      <w:numFmt w:val="decimal"/>
      <w:lvlText w:val="%1."/>
      <w:lvlJc w:val="left"/>
      <w:pPr>
        <w:ind w:left="0" w:firstLine="720"/>
      </w:pPr>
      <w:rPr>
        <w:rFonts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F6840"/>
    <w:multiLevelType w:val="hybridMultilevel"/>
    <w:tmpl w:val="509018EA"/>
    <w:lvl w:ilvl="0" w:tplc="1D70DBA2">
      <w:start w:val="1"/>
      <w:numFmt w:val="decimal"/>
      <w:lvlText w:val="%1."/>
      <w:lvlJc w:val="left"/>
      <w:pPr>
        <w:tabs>
          <w:tab w:val="num" w:pos="720"/>
        </w:tabs>
        <w:ind w:left="0" w:firstLine="720"/>
      </w:pPr>
      <w:rPr>
        <w:rFonts w:cs="Times New Roman" w:hint="default"/>
        <w:b w:val="0"/>
        <w:i w:val="0"/>
        <w:strike w:val="0"/>
        <w:sz w:val="20"/>
        <w:szCs w:val="20"/>
      </w:rPr>
    </w:lvl>
    <w:lvl w:ilvl="1" w:tplc="04090005">
      <w:start w:val="1"/>
      <w:numFmt w:val="bullet"/>
      <w:lvlText w:val=""/>
      <w:lvlJc w:val="left"/>
      <w:pPr>
        <w:tabs>
          <w:tab w:val="num" w:pos="1440"/>
        </w:tabs>
        <w:ind w:left="1440" w:hanging="360"/>
      </w:pPr>
      <w:rPr>
        <w:rFonts w:ascii="Wingdings" w:hAnsi="Wingdings" w:hint="default"/>
      </w:rPr>
    </w:lvl>
    <w:lvl w:ilvl="2" w:tplc="E16A2C48">
      <w:start w:val="1"/>
      <w:numFmt w:val="decimal"/>
      <w:lvlText w:val="%3."/>
      <w:lvlJc w:val="left"/>
      <w:pPr>
        <w:tabs>
          <w:tab w:val="num" w:pos="1980"/>
        </w:tabs>
        <w:ind w:left="1260" w:firstLine="720"/>
      </w:pPr>
      <w:rPr>
        <w:rFonts w:hint="default"/>
        <w:b w:val="0"/>
        <w:i w:val="0"/>
        <w:sz w:val="20"/>
        <w:szCs w:val="20"/>
      </w:rPr>
    </w:lvl>
    <w:lvl w:ilvl="3" w:tplc="FA309624">
      <w:start w:val="1"/>
      <w:numFmt w:val="decimal"/>
      <w:lvlText w:val="%4."/>
      <w:lvlJc w:val="left"/>
      <w:pPr>
        <w:tabs>
          <w:tab w:val="num" w:pos="720"/>
        </w:tabs>
        <w:ind w:left="0" w:firstLine="720"/>
      </w:pPr>
      <w:rPr>
        <w:rFonts w:ascii="Univers" w:hAnsi="Univers" w:hint="default"/>
        <w:b w:val="0"/>
        <w:i w:val="0"/>
        <w:sz w:val="20"/>
        <w:szCs w:val="20"/>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006CEA"/>
    <w:multiLevelType w:val="hybridMultilevel"/>
    <w:tmpl w:val="F6F018E8"/>
    <w:lvl w:ilvl="0" w:tplc="D102DF84">
      <w:start w:val="1"/>
      <w:numFmt w:val="upperRoman"/>
      <w:lvlText w:val="%1."/>
      <w:lvlJc w:val="left"/>
      <w:pPr>
        <w:tabs>
          <w:tab w:val="num" w:pos="1440"/>
        </w:tabs>
        <w:ind w:left="1440" w:hanging="720"/>
      </w:pPr>
      <w:rPr>
        <w:rFonts w:hint="default"/>
      </w:rPr>
    </w:lvl>
    <w:lvl w:ilvl="1" w:tplc="D5FCD5FE">
      <w:start w:val="1"/>
      <w:numFmt w:val="decimal"/>
      <w:lvlText w:val="%2."/>
      <w:lvlJc w:val="left"/>
      <w:pPr>
        <w:tabs>
          <w:tab w:val="num" w:pos="840"/>
        </w:tabs>
        <w:ind w:left="840" w:hanging="360"/>
      </w:pPr>
      <w:rPr>
        <w:rFonts w:ascii="Univers" w:hAnsi="Univers" w:hint="default"/>
        <w:b w:val="0"/>
        <w:sz w:val="20"/>
        <w:szCs w:val="20"/>
      </w:rPr>
    </w:lvl>
    <w:lvl w:ilvl="2" w:tplc="0409001B">
      <w:start w:val="1"/>
      <w:numFmt w:val="lowerRoman"/>
      <w:lvlText w:val="%3."/>
      <w:lvlJc w:val="right"/>
      <w:pPr>
        <w:tabs>
          <w:tab w:val="num" w:pos="2520"/>
        </w:tabs>
        <w:ind w:left="2520" w:hanging="180"/>
      </w:pPr>
    </w:lvl>
    <w:lvl w:ilvl="3" w:tplc="7FEC2162">
      <w:start w:val="1"/>
      <w:numFmt w:val="upperLetter"/>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AA04824"/>
    <w:multiLevelType w:val="hybridMultilevel"/>
    <w:tmpl w:val="BEF2E9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401234"/>
    <w:multiLevelType w:val="hybridMultilevel"/>
    <w:tmpl w:val="1E04D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01F10"/>
    <w:multiLevelType w:val="hybridMultilevel"/>
    <w:tmpl w:val="A600C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9D0063"/>
    <w:multiLevelType w:val="hybridMultilevel"/>
    <w:tmpl w:val="C39821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981772"/>
    <w:multiLevelType w:val="hybridMultilevel"/>
    <w:tmpl w:val="66789EB8"/>
    <w:lvl w:ilvl="0" w:tplc="A238F03A">
      <w:start w:val="1"/>
      <w:numFmt w:val="decimal"/>
      <w:lvlText w:val="%1."/>
      <w:lvlJc w:val="left"/>
      <w:pPr>
        <w:ind w:left="0" w:firstLine="720"/>
      </w:pPr>
      <w:rPr>
        <w:rFonts w:hint="default"/>
        <w:b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7254D1"/>
    <w:multiLevelType w:val="hybridMultilevel"/>
    <w:tmpl w:val="F468E514"/>
    <w:lvl w:ilvl="0" w:tplc="4BCC3F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A6136C"/>
    <w:multiLevelType w:val="hybridMultilevel"/>
    <w:tmpl w:val="8A9E7AB4"/>
    <w:lvl w:ilvl="0" w:tplc="E4FE7782">
      <w:start w:val="644"/>
      <w:numFmt w:val="decimal"/>
      <w:lvlText w:val="%1."/>
      <w:lvlJc w:val="left"/>
      <w:pPr>
        <w:tabs>
          <w:tab w:val="num" w:pos="270"/>
        </w:tabs>
        <w:ind w:left="-360" w:firstLine="720"/>
      </w:pPr>
      <w:rPr>
        <w:rFonts w:hint="default"/>
        <w:b w:val="0"/>
        <w:i w:val="0"/>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FA622E"/>
    <w:multiLevelType w:val="hybridMultilevel"/>
    <w:tmpl w:val="9A9016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6B3E2E"/>
    <w:multiLevelType w:val="hybridMultilevel"/>
    <w:tmpl w:val="762AB6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C126F6"/>
    <w:multiLevelType w:val="hybridMultilevel"/>
    <w:tmpl w:val="66789EB8"/>
    <w:lvl w:ilvl="0" w:tplc="A238F03A">
      <w:start w:val="1"/>
      <w:numFmt w:val="decimal"/>
      <w:lvlText w:val="%1."/>
      <w:lvlJc w:val="left"/>
      <w:pPr>
        <w:ind w:left="0" w:firstLine="720"/>
      </w:pPr>
      <w:rPr>
        <w:rFonts w:hint="default"/>
        <w:b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BD6AF8"/>
    <w:multiLevelType w:val="hybridMultilevel"/>
    <w:tmpl w:val="D748A26E"/>
    <w:lvl w:ilvl="0" w:tplc="31B66F82">
      <w:start w:val="1485"/>
      <w:numFmt w:val="decimal"/>
      <w:lvlText w:val="%1."/>
      <w:lvlJc w:val="left"/>
      <w:pPr>
        <w:tabs>
          <w:tab w:val="num" w:pos="270"/>
        </w:tabs>
        <w:ind w:left="-360" w:firstLine="720"/>
      </w:pPr>
      <w:rPr>
        <w:rFonts w:hint="default"/>
        <w:b w:val="0"/>
        <w:i w:val="0"/>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7760A5"/>
    <w:multiLevelType w:val="hybridMultilevel"/>
    <w:tmpl w:val="51DCEB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422AD2"/>
    <w:multiLevelType w:val="hybridMultilevel"/>
    <w:tmpl w:val="63682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2B735F"/>
    <w:multiLevelType w:val="hybridMultilevel"/>
    <w:tmpl w:val="8D3A5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E755A4"/>
    <w:multiLevelType w:val="multilevel"/>
    <w:tmpl w:val="58BA3E20"/>
    <w:lvl w:ilvl="0">
      <w:start w:val="3"/>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8" w15:restartNumberingAfterBreak="0">
    <w:nsid w:val="353C09AA"/>
    <w:multiLevelType w:val="hybridMultilevel"/>
    <w:tmpl w:val="C28AA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6E68D3"/>
    <w:multiLevelType w:val="hybridMultilevel"/>
    <w:tmpl w:val="FE220CEE"/>
    <w:lvl w:ilvl="0" w:tplc="9F6461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CB6838"/>
    <w:multiLevelType w:val="hybridMultilevel"/>
    <w:tmpl w:val="2BF47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D7469A"/>
    <w:multiLevelType w:val="hybridMultilevel"/>
    <w:tmpl w:val="206C162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847E0C"/>
    <w:multiLevelType w:val="hybridMultilevel"/>
    <w:tmpl w:val="28164DE2"/>
    <w:lvl w:ilvl="0" w:tplc="67D6F24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C64B34"/>
    <w:multiLevelType w:val="hybridMultilevel"/>
    <w:tmpl w:val="9D961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6F5940"/>
    <w:multiLevelType w:val="hybridMultilevel"/>
    <w:tmpl w:val="7812B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7662E5"/>
    <w:multiLevelType w:val="hybridMultilevel"/>
    <w:tmpl w:val="66789EB8"/>
    <w:lvl w:ilvl="0" w:tplc="A238F03A">
      <w:start w:val="1"/>
      <w:numFmt w:val="decimal"/>
      <w:lvlText w:val="%1."/>
      <w:lvlJc w:val="left"/>
      <w:pPr>
        <w:ind w:left="0" w:firstLine="720"/>
      </w:pPr>
      <w:rPr>
        <w:rFonts w:hint="default"/>
        <w:b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8A1C5F"/>
    <w:multiLevelType w:val="hybridMultilevel"/>
    <w:tmpl w:val="4FF00D3A"/>
    <w:lvl w:ilvl="0" w:tplc="5D7EFE92">
      <w:start w:val="3"/>
      <w:numFmt w:val="lowerRoman"/>
      <w:lvlText w:val="%1."/>
      <w:lvlJc w:val="left"/>
      <w:pPr>
        <w:tabs>
          <w:tab w:val="num" w:pos="1080"/>
        </w:tabs>
        <w:ind w:left="1080" w:hanging="720"/>
      </w:pPr>
      <w:rPr>
        <w:rFonts w:hint="default"/>
      </w:rPr>
    </w:lvl>
    <w:lvl w:ilvl="1" w:tplc="7C22A470">
      <w:start w:val="2"/>
      <w:numFmt w:val="decimal"/>
      <w:lvlText w:val="%2."/>
      <w:lvlJc w:val="left"/>
      <w:pPr>
        <w:tabs>
          <w:tab w:val="num" w:pos="1440"/>
        </w:tabs>
        <w:ind w:left="1440" w:hanging="360"/>
      </w:pPr>
      <w:rPr>
        <w:rFonts w:hint="default"/>
      </w:rPr>
    </w:lvl>
    <w:lvl w:ilvl="2" w:tplc="BD364614">
      <w:start w:val="6"/>
      <w:numFmt w:val="upp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5994AC0"/>
    <w:multiLevelType w:val="hybridMultilevel"/>
    <w:tmpl w:val="CE44BA3E"/>
    <w:lvl w:ilvl="0" w:tplc="A9441E86">
      <w:start w:val="1"/>
      <w:numFmt w:val="decimal"/>
      <w:lvlText w:val="%1."/>
      <w:lvlJc w:val="left"/>
      <w:pPr>
        <w:tabs>
          <w:tab w:val="num" w:pos="1140"/>
        </w:tabs>
        <w:ind w:left="1140" w:hanging="780"/>
      </w:pPr>
      <w:rPr>
        <w:rFonts w:cs="Times New Roman" w:hint="default"/>
      </w:rPr>
    </w:lvl>
    <w:lvl w:ilvl="1" w:tplc="4E381CF4">
      <w:start w:val="1"/>
      <w:numFmt w:val="decimal"/>
      <w:lvlText w:val="%2."/>
      <w:lvlJc w:val="left"/>
      <w:pPr>
        <w:tabs>
          <w:tab w:val="num" w:pos="1440"/>
        </w:tabs>
        <w:ind w:left="1440" w:hanging="360"/>
      </w:pPr>
      <w:rPr>
        <w:rFonts w:cs="Times New Roman" w:hint="default"/>
      </w:rPr>
    </w:lvl>
    <w:lvl w:ilvl="2" w:tplc="5554DFFA">
      <w:start w:val="9"/>
      <w:numFmt w:val="upperRoman"/>
      <w:lvlText w:val="%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887185F"/>
    <w:multiLevelType w:val="hybridMultilevel"/>
    <w:tmpl w:val="70087106"/>
    <w:lvl w:ilvl="0" w:tplc="67D6F24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2F290C"/>
    <w:multiLevelType w:val="hybridMultilevel"/>
    <w:tmpl w:val="FC840178"/>
    <w:lvl w:ilvl="0" w:tplc="ACDAC7AC">
      <w:start w:val="2313"/>
      <w:numFmt w:val="decimal"/>
      <w:lvlText w:val="%1."/>
      <w:lvlJc w:val="left"/>
      <w:pPr>
        <w:tabs>
          <w:tab w:val="num" w:pos="360"/>
        </w:tabs>
        <w:ind w:left="-360" w:firstLine="720"/>
      </w:pPr>
      <w:rPr>
        <w:rFonts w:cs="Times New Roman"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D86A94"/>
    <w:multiLevelType w:val="hybridMultilevel"/>
    <w:tmpl w:val="75FCD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0A07D1"/>
    <w:multiLevelType w:val="hybridMultilevel"/>
    <w:tmpl w:val="ABBA8D18"/>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E9528F"/>
    <w:multiLevelType w:val="hybridMultilevel"/>
    <w:tmpl w:val="F4B426D6"/>
    <w:lvl w:ilvl="0" w:tplc="BD5E4074">
      <w:start w:val="1"/>
      <w:numFmt w:val="decimal"/>
      <w:lvlText w:val="%1."/>
      <w:lvlJc w:val="left"/>
      <w:pPr>
        <w:ind w:left="0" w:firstLine="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606FA5"/>
    <w:multiLevelType w:val="hybridMultilevel"/>
    <w:tmpl w:val="66789EB8"/>
    <w:lvl w:ilvl="0" w:tplc="A238F03A">
      <w:start w:val="1"/>
      <w:numFmt w:val="decimal"/>
      <w:lvlText w:val="%1."/>
      <w:lvlJc w:val="left"/>
      <w:pPr>
        <w:ind w:left="0" w:firstLine="720"/>
      </w:pPr>
      <w:rPr>
        <w:rFonts w:hint="default"/>
        <w:b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92294D"/>
    <w:multiLevelType w:val="hybridMultilevel"/>
    <w:tmpl w:val="4122408A"/>
    <w:lvl w:ilvl="0" w:tplc="648CEC9A">
      <w:start w:val="1"/>
      <w:numFmt w:val="decimal"/>
      <w:lvlText w:val="%1."/>
      <w:lvlJc w:val="left"/>
      <w:pPr>
        <w:ind w:left="0" w:firstLine="72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C11C6F"/>
    <w:multiLevelType w:val="hybridMultilevel"/>
    <w:tmpl w:val="66789EB8"/>
    <w:lvl w:ilvl="0" w:tplc="A238F03A">
      <w:start w:val="1"/>
      <w:numFmt w:val="decimal"/>
      <w:lvlText w:val="%1."/>
      <w:lvlJc w:val="left"/>
      <w:pPr>
        <w:ind w:left="0" w:firstLine="720"/>
      </w:pPr>
      <w:rPr>
        <w:rFonts w:hint="default"/>
        <w:b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E4563C"/>
    <w:multiLevelType w:val="hybridMultilevel"/>
    <w:tmpl w:val="49BAF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143CC9"/>
    <w:multiLevelType w:val="hybridMultilevel"/>
    <w:tmpl w:val="79F4021C"/>
    <w:lvl w:ilvl="0" w:tplc="11FE8D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2D5BA0"/>
    <w:multiLevelType w:val="hybridMultilevel"/>
    <w:tmpl w:val="A4C0ED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9E2531"/>
    <w:multiLevelType w:val="hybridMultilevel"/>
    <w:tmpl w:val="C5A85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A10A05"/>
    <w:multiLevelType w:val="hybridMultilevel"/>
    <w:tmpl w:val="0A48AF12"/>
    <w:lvl w:ilvl="0" w:tplc="30440B9E">
      <w:start w:val="1203"/>
      <w:numFmt w:val="decimal"/>
      <w:lvlText w:val="%1."/>
      <w:lvlJc w:val="left"/>
      <w:pPr>
        <w:tabs>
          <w:tab w:val="num" w:pos="270"/>
        </w:tabs>
        <w:ind w:left="-360" w:firstLine="720"/>
      </w:pPr>
      <w:rPr>
        <w:rFonts w:hint="default"/>
        <w:b w:val="0"/>
        <w:i w:val="0"/>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E538A4"/>
    <w:multiLevelType w:val="hybridMultilevel"/>
    <w:tmpl w:val="2FF2C3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94624A"/>
    <w:multiLevelType w:val="hybridMultilevel"/>
    <w:tmpl w:val="49C22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72283E"/>
    <w:multiLevelType w:val="hybridMultilevel"/>
    <w:tmpl w:val="F412184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
  </w:num>
  <w:num w:numId="3">
    <w:abstractNumId w:val="27"/>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42"/>
  </w:num>
  <w:num w:numId="7">
    <w:abstractNumId w:val="27"/>
  </w:num>
  <w:num w:numId="8">
    <w:abstractNumId w:val="29"/>
  </w:num>
  <w:num w:numId="9">
    <w:abstractNumId w:val="19"/>
  </w:num>
  <w:num w:numId="10">
    <w:abstractNumId w:val="26"/>
  </w:num>
  <w:num w:numId="11">
    <w:abstractNumId w:val="9"/>
  </w:num>
  <w:num w:numId="12">
    <w:abstractNumId w:val="40"/>
  </w:num>
  <w:num w:numId="13">
    <w:abstractNumId w:val="13"/>
  </w:num>
  <w:num w:numId="14">
    <w:abstractNumId w:val="37"/>
  </w:num>
  <w:num w:numId="15">
    <w:abstractNumId w:val="14"/>
  </w:num>
  <w:num w:numId="16">
    <w:abstractNumId w:val="41"/>
  </w:num>
  <w:num w:numId="17">
    <w:abstractNumId w:val="6"/>
  </w:num>
  <w:num w:numId="18">
    <w:abstractNumId w:val="11"/>
  </w:num>
  <w:num w:numId="19">
    <w:abstractNumId w:val="21"/>
  </w:num>
  <w:num w:numId="20">
    <w:abstractNumId w:val="10"/>
  </w:num>
  <w:num w:numId="21">
    <w:abstractNumId w:val="28"/>
  </w:num>
  <w:num w:numId="22">
    <w:abstractNumId w:val="22"/>
  </w:num>
  <w:num w:numId="23">
    <w:abstractNumId w:val="38"/>
  </w:num>
  <w:num w:numId="24">
    <w:abstractNumId w:val="23"/>
  </w:num>
  <w:num w:numId="25">
    <w:abstractNumId w:val="39"/>
  </w:num>
  <w:num w:numId="26">
    <w:abstractNumId w:val="15"/>
  </w:num>
  <w:num w:numId="27">
    <w:abstractNumId w:val="30"/>
  </w:num>
  <w:num w:numId="28">
    <w:abstractNumId w:val="43"/>
  </w:num>
  <w:num w:numId="29">
    <w:abstractNumId w:val="24"/>
  </w:num>
  <w:num w:numId="30">
    <w:abstractNumId w:val="25"/>
  </w:num>
  <w:num w:numId="31">
    <w:abstractNumId w:val="20"/>
  </w:num>
  <w:num w:numId="32">
    <w:abstractNumId w:val="32"/>
  </w:num>
  <w:num w:numId="33">
    <w:abstractNumId w:val="0"/>
  </w:num>
  <w:num w:numId="34">
    <w:abstractNumId w:val="18"/>
  </w:num>
  <w:num w:numId="35">
    <w:abstractNumId w:val="4"/>
  </w:num>
  <w:num w:numId="36">
    <w:abstractNumId w:val="5"/>
  </w:num>
  <w:num w:numId="37">
    <w:abstractNumId w:val="8"/>
  </w:num>
  <w:num w:numId="38">
    <w:abstractNumId w:val="34"/>
  </w:num>
  <w:num w:numId="39">
    <w:abstractNumId w:val="36"/>
  </w:num>
  <w:num w:numId="40">
    <w:abstractNumId w:val="16"/>
  </w:num>
  <w:num w:numId="41">
    <w:abstractNumId w:val="35"/>
  </w:num>
  <w:num w:numId="42">
    <w:abstractNumId w:val="12"/>
  </w:num>
  <w:num w:numId="43">
    <w:abstractNumId w:val="33"/>
  </w:num>
  <w:num w:numId="44">
    <w:abstractNumId w:val="7"/>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3089C73-C9BC-4786-920D-F0A0B2628D6F}"/>
    <w:docVar w:name="dgnword-eventsink" w:val="330144744"/>
  </w:docVars>
  <w:rsids>
    <w:rsidRoot w:val="002E1FE1"/>
    <w:rsid w:val="00037FE2"/>
    <w:rsid w:val="00040AD5"/>
    <w:rsid w:val="00041DD3"/>
    <w:rsid w:val="000421AB"/>
    <w:rsid w:val="00043C28"/>
    <w:rsid w:val="0005140B"/>
    <w:rsid w:val="00067731"/>
    <w:rsid w:val="000679FF"/>
    <w:rsid w:val="0007164B"/>
    <w:rsid w:val="0007171B"/>
    <w:rsid w:val="00074B93"/>
    <w:rsid w:val="000773A9"/>
    <w:rsid w:val="0008243B"/>
    <w:rsid w:val="000A50DB"/>
    <w:rsid w:val="000B0516"/>
    <w:rsid w:val="000B0DCB"/>
    <w:rsid w:val="000B27AB"/>
    <w:rsid w:val="000B7804"/>
    <w:rsid w:val="000C5F8E"/>
    <w:rsid w:val="000D1B9B"/>
    <w:rsid w:val="000E0FB9"/>
    <w:rsid w:val="000E1224"/>
    <w:rsid w:val="000E13D3"/>
    <w:rsid w:val="000E3B7C"/>
    <w:rsid w:val="000F0901"/>
    <w:rsid w:val="000F2151"/>
    <w:rsid w:val="000F3240"/>
    <w:rsid w:val="000F55F5"/>
    <w:rsid w:val="000F78D6"/>
    <w:rsid w:val="00101524"/>
    <w:rsid w:val="00101FF3"/>
    <w:rsid w:val="00103682"/>
    <w:rsid w:val="00106835"/>
    <w:rsid w:val="00112758"/>
    <w:rsid w:val="00115DEF"/>
    <w:rsid w:val="00127C35"/>
    <w:rsid w:val="001409E0"/>
    <w:rsid w:val="00141D71"/>
    <w:rsid w:val="0015453B"/>
    <w:rsid w:val="00154E54"/>
    <w:rsid w:val="0017736A"/>
    <w:rsid w:val="00192556"/>
    <w:rsid w:val="0019316F"/>
    <w:rsid w:val="001956BE"/>
    <w:rsid w:val="0019608D"/>
    <w:rsid w:val="001A0CF0"/>
    <w:rsid w:val="001B0C68"/>
    <w:rsid w:val="001B371A"/>
    <w:rsid w:val="001B40A2"/>
    <w:rsid w:val="001C7DDC"/>
    <w:rsid w:val="001D0D78"/>
    <w:rsid w:val="001E3B97"/>
    <w:rsid w:val="001E6CEB"/>
    <w:rsid w:val="001F3D58"/>
    <w:rsid w:val="001F5FD9"/>
    <w:rsid w:val="00206BC2"/>
    <w:rsid w:val="002075E3"/>
    <w:rsid w:val="0021002C"/>
    <w:rsid w:val="00212A12"/>
    <w:rsid w:val="00215ECA"/>
    <w:rsid w:val="00222A66"/>
    <w:rsid w:val="00224D81"/>
    <w:rsid w:val="00227684"/>
    <w:rsid w:val="00230162"/>
    <w:rsid w:val="00231E9A"/>
    <w:rsid w:val="00243C0F"/>
    <w:rsid w:val="00262984"/>
    <w:rsid w:val="0026430A"/>
    <w:rsid w:val="00265B9C"/>
    <w:rsid w:val="00271308"/>
    <w:rsid w:val="00271F2D"/>
    <w:rsid w:val="00281813"/>
    <w:rsid w:val="002863EE"/>
    <w:rsid w:val="0029668F"/>
    <w:rsid w:val="002A582D"/>
    <w:rsid w:val="002B3104"/>
    <w:rsid w:val="002B4008"/>
    <w:rsid w:val="002B5098"/>
    <w:rsid w:val="002B6BAC"/>
    <w:rsid w:val="002C0966"/>
    <w:rsid w:val="002D5EDB"/>
    <w:rsid w:val="002D7C09"/>
    <w:rsid w:val="002E1FE1"/>
    <w:rsid w:val="002E69D1"/>
    <w:rsid w:val="002E6AA3"/>
    <w:rsid w:val="002F238E"/>
    <w:rsid w:val="002F7D04"/>
    <w:rsid w:val="00303D44"/>
    <w:rsid w:val="003047F0"/>
    <w:rsid w:val="00305E45"/>
    <w:rsid w:val="00316A48"/>
    <w:rsid w:val="003253B2"/>
    <w:rsid w:val="00327B24"/>
    <w:rsid w:val="00342665"/>
    <w:rsid w:val="00361D8D"/>
    <w:rsid w:val="003646AE"/>
    <w:rsid w:val="0036496C"/>
    <w:rsid w:val="00370DE1"/>
    <w:rsid w:val="00371264"/>
    <w:rsid w:val="0037212A"/>
    <w:rsid w:val="00375F69"/>
    <w:rsid w:val="003773CC"/>
    <w:rsid w:val="00381C86"/>
    <w:rsid w:val="00393A51"/>
    <w:rsid w:val="003B419B"/>
    <w:rsid w:val="003B7B6C"/>
    <w:rsid w:val="003D3404"/>
    <w:rsid w:val="003D494F"/>
    <w:rsid w:val="003D612A"/>
    <w:rsid w:val="003D71D7"/>
    <w:rsid w:val="003E6202"/>
    <w:rsid w:val="003F3026"/>
    <w:rsid w:val="004032DD"/>
    <w:rsid w:val="00420D24"/>
    <w:rsid w:val="00424A66"/>
    <w:rsid w:val="00430C71"/>
    <w:rsid w:val="0044194A"/>
    <w:rsid w:val="00443E77"/>
    <w:rsid w:val="00446579"/>
    <w:rsid w:val="0045074A"/>
    <w:rsid w:val="00462CA2"/>
    <w:rsid w:val="00474986"/>
    <w:rsid w:val="00475192"/>
    <w:rsid w:val="00491243"/>
    <w:rsid w:val="0049698D"/>
    <w:rsid w:val="004A61EB"/>
    <w:rsid w:val="004A6BCA"/>
    <w:rsid w:val="004B48D8"/>
    <w:rsid w:val="004B5E87"/>
    <w:rsid w:val="004C0D46"/>
    <w:rsid w:val="004C4130"/>
    <w:rsid w:val="004C5F44"/>
    <w:rsid w:val="004C604E"/>
    <w:rsid w:val="004D78AE"/>
    <w:rsid w:val="004F105D"/>
    <w:rsid w:val="004F3A30"/>
    <w:rsid w:val="00501359"/>
    <w:rsid w:val="0050240D"/>
    <w:rsid w:val="00505B08"/>
    <w:rsid w:val="005060DB"/>
    <w:rsid w:val="0051552E"/>
    <w:rsid w:val="005252B3"/>
    <w:rsid w:val="005273D9"/>
    <w:rsid w:val="005305E4"/>
    <w:rsid w:val="0054206F"/>
    <w:rsid w:val="00564E3F"/>
    <w:rsid w:val="0059272A"/>
    <w:rsid w:val="00595DAC"/>
    <w:rsid w:val="005976E1"/>
    <w:rsid w:val="005C3939"/>
    <w:rsid w:val="005D3B7D"/>
    <w:rsid w:val="005F70D6"/>
    <w:rsid w:val="0060063B"/>
    <w:rsid w:val="00601CDE"/>
    <w:rsid w:val="00603155"/>
    <w:rsid w:val="006072C0"/>
    <w:rsid w:val="0061098C"/>
    <w:rsid w:val="00621C20"/>
    <w:rsid w:val="00624051"/>
    <w:rsid w:val="0064399B"/>
    <w:rsid w:val="00654852"/>
    <w:rsid w:val="006620E7"/>
    <w:rsid w:val="006633A8"/>
    <w:rsid w:val="00670764"/>
    <w:rsid w:val="0067446D"/>
    <w:rsid w:val="006802DF"/>
    <w:rsid w:val="00695B2D"/>
    <w:rsid w:val="006A09C8"/>
    <w:rsid w:val="006A2249"/>
    <w:rsid w:val="006B7784"/>
    <w:rsid w:val="006C0AC9"/>
    <w:rsid w:val="006C74F5"/>
    <w:rsid w:val="006E0EA3"/>
    <w:rsid w:val="006E1615"/>
    <w:rsid w:val="006E76EE"/>
    <w:rsid w:val="00700AA2"/>
    <w:rsid w:val="007029D9"/>
    <w:rsid w:val="007102C7"/>
    <w:rsid w:val="00715EAA"/>
    <w:rsid w:val="00717A23"/>
    <w:rsid w:val="00727386"/>
    <w:rsid w:val="00727E59"/>
    <w:rsid w:val="00730997"/>
    <w:rsid w:val="0074453E"/>
    <w:rsid w:val="00746CFC"/>
    <w:rsid w:val="007526EC"/>
    <w:rsid w:val="00753D0D"/>
    <w:rsid w:val="0077007D"/>
    <w:rsid w:val="007878A4"/>
    <w:rsid w:val="007A222B"/>
    <w:rsid w:val="007B0FF3"/>
    <w:rsid w:val="007B1B2D"/>
    <w:rsid w:val="007B2201"/>
    <w:rsid w:val="007B47BE"/>
    <w:rsid w:val="007B549E"/>
    <w:rsid w:val="007B6EDB"/>
    <w:rsid w:val="007C4683"/>
    <w:rsid w:val="007C4F91"/>
    <w:rsid w:val="007E7C4C"/>
    <w:rsid w:val="007F4C35"/>
    <w:rsid w:val="008032FA"/>
    <w:rsid w:val="0080526A"/>
    <w:rsid w:val="00810FF8"/>
    <w:rsid w:val="0083105A"/>
    <w:rsid w:val="008373E0"/>
    <w:rsid w:val="0084192E"/>
    <w:rsid w:val="00842172"/>
    <w:rsid w:val="00846A12"/>
    <w:rsid w:val="00854124"/>
    <w:rsid w:val="00866CA3"/>
    <w:rsid w:val="0087054A"/>
    <w:rsid w:val="008740BF"/>
    <w:rsid w:val="00886D90"/>
    <w:rsid w:val="00894E8C"/>
    <w:rsid w:val="008A441F"/>
    <w:rsid w:val="008A77BE"/>
    <w:rsid w:val="008C78CF"/>
    <w:rsid w:val="008D429A"/>
    <w:rsid w:val="008D5185"/>
    <w:rsid w:val="008D7AD0"/>
    <w:rsid w:val="008E1346"/>
    <w:rsid w:val="008E2511"/>
    <w:rsid w:val="008E74C6"/>
    <w:rsid w:val="008F0A93"/>
    <w:rsid w:val="008F247D"/>
    <w:rsid w:val="008F29B0"/>
    <w:rsid w:val="00903002"/>
    <w:rsid w:val="0090792E"/>
    <w:rsid w:val="0091190C"/>
    <w:rsid w:val="00914154"/>
    <w:rsid w:val="00923C63"/>
    <w:rsid w:val="0092556F"/>
    <w:rsid w:val="009272B6"/>
    <w:rsid w:val="00927ADE"/>
    <w:rsid w:val="009317F5"/>
    <w:rsid w:val="00942A99"/>
    <w:rsid w:val="00954824"/>
    <w:rsid w:val="00955520"/>
    <w:rsid w:val="0096268C"/>
    <w:rsid w:val="0096688D"/>
    <w:rsid w:val="00966FD6"/>
    <w:rsid w:val="00971519"/>
    <w:rsid w:val="00972CB4"/>
    <w:rsid w:val="00976B01"/>
    <w:rsid w:val="00980FCF"/>
    <w:rsid w:val="00993228"/>
    <w:rsid w:val="009935E3"/>
    <w:rsid w:val="009B14F4"/>
    <w:rsid w:val="009B1E9B"/>
    <w:rsid w:val="009C5D85"/>
    <w:rsid w:val="009D4B55"/>
    <w:rsid w:val="009D4E16"/>
    <w:rsid w:val="009D54A5"/>
    <w:rsid w:val="00A01E3E"/>
    <w:rsid w:val="00A04F85"/>
    <w:rsid w:val="00A1506E"/>
    <w:rsid w:val="00A156C7"/>
    <w:rsid w:val="00A23523"/>
    <w:rsid w:val="00A31589"/>
    <w:rsid w:val="00A315E9"/>
    <w:rsid w:val="00A43128"/>
    <w:rsid w:val="00A501F0"/>
    <w:rsid w:val="00A54FF4"/>
    <w:rsid w:val="00A6523E"/>
    <w:rsid w:val="00A76AC8"/>
    <w:rsid w:val="00A80F64"/>
    <w:rsid w:val="00A810E0"/>
    <w:rsid w:val="00A81133"/>
    <w:rsid w:val="00A83E09"/>
    <w:rsid w:val="00A83EFF"/>
    <w:rsid w:val="00A8502D"/>
    <w:rsid w:val="00A90E34"/>
    <w:rsid w:val="00A9113F"/>
    <w:rsid w:val="00A974CA"/>
    <w:rsid w:val="00AA1637"/>
    <w:rsid w:val="00AB1DA7"/>
    <w:rsid w:val="00AC3C47"/>
    <w:rsid w:val="00AC433A"/>
    <w:rsid w:val="00AC538B"/>
    <w:rsid w:val="00AC7086"/>
    <w:rsid w:val="00AC7B5C"/>
    <w:rsid w:val="00AC7D5B"/>
    <w:rsid w:val="00AD3A48"/>
    <w:rsid w:val="00AD5EF8"/>
    <w:rsid w:val="00AE3794"/>
    <w:rsid w:val="00AE5087"/>
    <w:rsid w:val="00B0367E"/>
    <w:rsid w:val="00B077EC"/>
    <w:rsid w:val="00B11229"/>
    <w:rsid w:val="00B11279"/>
    <w:rsid w:val="00B11EFB"/>
    <w:rsid w:val="00B13E78"/>
    <w:rsid w:val="00B15A22"/>
    <w:rsid w:val="00B2295A"/>
    <w:rsid w:val="00B27FD9"/>
    <w:rsid w:val="00B3325C"/>
    <w:rsid w:val="00B34B3C"/>
    <w:rsid w:val="00B35F77"/>
    <w:rsid w:val="00B362A4"/>
    <w:rsid w:val="00B37839"/>
    <w:rsid w:val="00B445FF"/>
    <w:rsid w:val="00B508AA"/>
    <w:rsid w:val="00B56B94"/>
    <w:rsid w:val="00B5791F"/>
    <w:rsid w:val="00B777E4"/>
    <w:rsid w:val="00B809E7"/>
    <w:rsid w:val="00B85477"/>
    <w:rsid w:val="00B8656F"/>
    <w:rsid w:val="00B97AAC"/>
    <w:rsid w:val="00BB47D4"/>
    <w:rsid w:val="00BC5513"/>
    <w:rsid w:val="00BC56B1"/>
    <w:rsid w:val="00BD0503"/>
    <w:rsid w:val="00BD42A4"/>
    <w:rsid w:val="00BE0982"/>
    <w:rsid w:val="00BF2A31"/>
    <w:rsid w:val="00C120A0"/>
    <w:rsid w:val="00C13341"/>
    <w:rsid w:val="00C2395A"/>
    <w:rsid w:val="00C365A8"/>
    <w:rsid w:val="00C50849"/>
    <w:rsid w:val="00C519F7"/>
    <w:rsid w:val="00C603EE"/>
    <w:rsid w:val="00C6346C"/>
    <w:rsid w:val="00C70AE2"/>
    <w:rsid w:val="00C70FE6"/>
    <w:rsid w:val="00C772D8"/>
    <w:rsid w:val="00C87C00"/>
    <w:rsid w:val="00C951AB"/>
    <w:rsid w:val="00CA1137"/>
    <w:rsid w:val="00CA12BF"/>
    <w:rsid w:val="00CA6576"/>
    <w:rsid w:val="00CB6692"/>
    <w:rsid w:val="00CC3876"/>
    <w:rsid w:val="00CF7CD4"/>
    <w:rsid w:val="00D017A6"/>
    <w:rsid w:val="00D048B9"/>
    <w:rsid w:val="00D11B2F"/>
    <w:rsid w:val="00D1394A"/>
    <w:rsid w:val="00D30DED"/>
    <w:rsid w:val="00D30F24"/>
    <w:rsid w:val="00D345E1"/>
    <w:rsid w:val="00D37C67"/>
    <w:rsid w:val="00D4638C"/>
    <w:rsid w:val="00D47D40"/>
    <w:rsid w:val="00D51594"/>
    <w:rsid w:val="00D519EA"/>
    <w:rsid w:val="00D60CAB"/>
    <w:rsid w:val="00D74A97"/>
    <w:rsid w:val="00D80723"/>
    <w:rsid w:val="00D835E7"/>
    <w:rsid w:val="00D95407"/>
    <w:rsid w:val="00DA0E8E"/>
    <w:rsid w:val="00DA2EE1"/>
    <w:rsid w:val="00DA7C52"/>
    <w:rsid w:val="00DB2382"/>
    <w:rsid w:val="00DB4E4D"/>
    <w:rsid w:val="00DB513D"/>
    <w:rsid w:val="00DD1BDA"/>
    <w:rsid w:val="00DD47B8"/>
    <w:rsid w:val="00DD6EE8"/>
    <w:rsid w:val="00DE0A69"/>
    <w:rsid w:val="00DF0AD3"/>
    <w:rsid w:val="00DF2883"/>
    <w:rsid w:val="00E03152"/>
    <w:rsid w:val="00E10371"/>
    <w:rsid w:val="00E13E7E"/>
    <w:rsid w:val="00E34EC2"/>
    <w:rsid w:val="00E361F6"/>
    <w:rsid w:val="00E46A96"/>
    <w:rsid w:val="00E51100"/>
    <w:rsid w:val="00E5279F"/>
    <w:rsid w:val="00E56927"/>
    <w:rsid w:val="00E63CD5"/>
    <w:rsid w:val="00E760CB"/>
    <w:rsid w:val="00E963A7"/>
    <w:rsid w:val="00EA3AD9"/>
    <w:rsid w:val="00EB4C48"/>
    <w:rsid w:val="00EC0DF2"/>
    <w:rsid w:val="00EC438D"/>
    <w:rsid w:val="00EC4E2D"/>
    <w:rsid w:val="00ED1854"/>
    <w:rsid w:val="00ED4F97"/>
    <w:rsid w:val="00ED7DF8"/>
    <w:rsid w:val="00EE2DD7"/>
    <w:rsid w:val="00EE3626"/>
    <w:rsid w:val="00EE5099"/>
    <w:rsid w:val="00F04D5D"/>
    <w:rsid w:val="00F053D4"/>
    <w:rsid w:val="00F30B19"/>
    <w:rsid w:val="00F325AD"/>
    <w:rsid w:val="00F60BA7"/>
    <w:rsid w:val="00F61C05"/>
    <w:rsid w:val="00F750F3"/>
    <w:rsid w:val="00F80272"/>
    <w:rsid w:val="00F840E1"/>
    <w:rsid w:val="00F845FF"/>
    <w:rsid w:val="00F87CAB"/>
    <w:rsid w:val="00F910E3"/>
    <w:rsid w:val="00F9374C"/>
    <w:rsid w:val="00F97BF7"/>
    <w:rsid w:val="00FA01B1"/>
    <w:rsid w:val="00FA05D1"/>
    <w:rsid w:val="00FA5C1C"/>
    <w:rsid w:val="00FB04F3"/>
    <w:rsid w:val="00FB1891"/>
    <w:rsid w:val="00FB20FE"/>
    <w:rsid w:val="00FB599B"/>
    <w:rsid w:val="00FB76A3"/>
    <w:rsid w:val="00FC2840"/>
    <w:rsid w:val="00FC5A60"/>
    <w:rsid w:val="00FC690A"/>
    <w:rsid w:val="00FD4835"/>
    <w:rsid w:val="00FF1BBF"/>
    <w:rsid w:val="00FF3D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746BD99"/>
  <w15:docId w15:val="{9AAC26D4-3087-4684-BE64-2ED853987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FE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2E1FE1"/>
    <w:pPr>
      <w:spacing w:after="0" w:line="240" w:lineRule="auto"/>
    </w:pPr>
    <w:rPr>
      <w:rFonts w:ascii="Times New Roman" w:hAnsi="Times New Roman"/>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rsid w:val="002E1FE1"/>
    <w:rPr>
      <w:rFonts w:ascii="Times New Roman" w:eastAsia="Calibri" w:hAnsi="Times New Roman" w:cs="Times New Roman"/>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link w:val="Appelnotedebasde"/>
    <w:uiPriority w:val="99"/>
    <w:unhideWhenUsed/>
    <w:qFormat/>
    <w:rsid w:val="002E1FE1"/>
    <w:rPr>
      <w:vertAlign w:val="superscript"/>
    </w:rPr>
  </w:style>
  <w:style w:type="paragraph" w:customStyle="1" w:styleId="Appelnotedebasde">
    <w:name w:val="Appel note de bas de..."/>
    <w:basedOn w:val="Normal"/>
    <w:link w:val="FootnoteReference"/>
    <w:uiPriority w:val="99"/>
    <w:rsid w:val="002E1FE1"/>
    <w:pPr>
      <w:spacing w:after="160" w:line="240" w:lineRule="exact"/>
    </w:pPr>
    <w:rPr>
      <w:rFonts w:asciiTheme="minorHAnsi" w:eastAsiaTheme="minorHAnsi" w:hAnsiTheme="minorHAnsi" w:cstheme="minorBidi"/>
      <w:vertAlign w:val="superscript"/>
    </w:rPr>
  </w:style>
  <w:style w:type="paragraph" w:styleId="ListParagraph">
    <w:name w:val="List Paragraph"/>
    <w:aliases w:val="Párrafo de lista1,List Paragraph1,Colorful List - Accent 11,List Paragraph11"/>
    <w:basedOn w:val="Normal"/>
    <w:link w:val="ListParagraphChar"/>
    <w:uiPriority w:val="34"/>
    <w:qFormat/>
    <w:rsid w:val="002E1FE1"/>
    <w:pPr>
      <w:ind w:left="720"/>
      <w:contextualSpacing/>
    </w:pPr>
  </w:style>
  <w:style w:type="character" w:styleId="Hyperlink">
    <w:name w:val="Hyperlink"/>
    <w:basedOn w:val="DefaultParagraphFont"/>
    <w:uiPriority w:val="99"/>
    <w:unhideWhenUsed/>
    <w:rsid w:val="00112758"/>
    <w:rPr>
      <w:color w:val="0563C1" w:themeColor="hyperlink"/>
      <w:u w:val="single"/>
    </w:rPr>
  </w:style>
  <w:style w:type="paragraph" w:styleId="Header">
    <w:name w:val="header"/>
    <w:basedOn w:val="Normal"/>
    <w:link w:val="HeaderChar"/>
    <w:uiPriority w:val="99"/>
    <w:unhideWhenUsed/>
    <w:rsid w:val="007F4C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C35"/>
    <w:rPr>
      <w:rFonts w:ascii="Calibri" w:eastAsia="Calibri" w:hAnsi="Calibri" w:cs="Times New Roman"/>
    </w:rPr>
  </w:style>
  <w:style w:type="character" w:styleId="FollowedHyperlink">
    <w:name w:val="FollowedHyperlink"/>
    <w:basedOn w:val="DefaultParagraphFont"/>
    <w:uiPriority w:val="99"/>
    <w:semiHidden/>
    <w:unhideWhenUsed/>
    <w:rsid w:val="00C365A8"/>
    <w:rPr>
      <w:color w:val="954F72" w:themeColor="followedHyperlink"/>
      <w:u w:val="single"/>
    </w:rPr>
  </w:style>
  <w:style w:type="paragraph" w:customStyle="1" w:styleId="Default">
    <w:name w:val="Default"/>
    <w:rsid w:val="0050240D"/>
    <w:pPr>
      <w:autoSpaceDE w:val="0"/>
      <w:autoSpaceDN w:val="0"/>
      <w:adjustRightInd w:val="0"/>
      <w:spacing w:after="0" w:line="240" w:lineRule="auto"/>
    </w:pPr>
    <w:rPr>
      <w:rFonts w:ascii="Calibri" w:hAnsi="Calibri" w:cs="Calibri"/>
      <w:color w:val="000000"/>
      <w:sz w:val="24"/>
      <w:szCs w:val="24"/>
      <w:lang w:val="es-US"/>
    </w:rPr>
  </w:style>
  <w:style w:type="paragraph" w:styleId="BlockText">
    <w:name w:val="Block Text"/>
    <w:basedOn w:val="Normal"/>
    <w:rsid w:val="0050240D"/>
    <w:pPr>
      <w:spacing w:before="100" w:beforeAutospacing="1" w:after="100" w:afterAutospacing="1" w:line="240" w:lineRule="auto"/>
      <w:ind w:firstLine="720"/>
      <w:jc w:val="both"/>
    </w:pPr>
    <w:rPr>
      <w:rFonts w:ascii="Times New Roman" w:eastAsia="Times New Roman" w:hAnsi="Times New Roman"/>
      <w:sz w:val="24"/>
      <w:szCs w:val="24"/>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50240D"/>
    <w:rPr>
      <w:rFonts w:ascii="Calibri" w:eastAsia="Calibri" w:hAnsi="Calibri" w:cs="Times New Roman"/>
    </w:rPr>
  </w:style>
  <w:style w:type="table" w:styleId="TableGrid">
    <w:name w:val="Table Grid"/>
    <w:basedOn w:val="TableNormal"/>
    <w:uiPriority w:val="59"/>
    <w:rsid w:val="00C2395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51594"/>
    <w:rPr>
      <w:sz w:val="16"/>
      <w:szCs w:val="16"/>
    </w:rPr>
  </w:style>
  <w:style w:type="paragraph" w:styleId="CommentText">
    <w:name w:val="annotation text"/>
    <w:basedOn w:val="Normal"/>
    <w:link w:val="CommentTextChar"/>
    <w:uiPriority w:val="99"/>
    <w:semiHidden/>
    <w:unhideWhenUsed/>
    <w:rsid w:val="00D51594"/>
    <w:pPr>
      <w:spacing w:line="240" w:lineRule="auto"/>
    </w:pPr>
    <w:rPr>
      <w:sz w:val="20"/>
      <w:szCs w:val="20"/>
    </w:rPr>
  </w:style>
  <w:style w:type="character" w:customStyle="1" w:styleId="CommentTextChar">
    <w:name w:val="Comment Text Char"/>
    <w:basedOn w:val="DefaultParagraphFont"/>
    <w:link w:val="CommentText"/>
    <w:uiPriority w:val="99"/>
    <w:semiHidden/>
    <w:rsid w:val="00D5159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51594"/>
    <w:rPr>
      <w:b/>
      <w:bCs/>
    </w:rPr>
  </w:style>
  <w:style w:type="character" w:customStyle="1" w:styleId="CommentSubjectChar">
    <w:name w:val="Comment Subject Char"/>
    <w:basedOn w:val="CommentTextChar"/>
    <w:link w:val="CommentSubject"/>
    <w:uiPriority w:val="99"/>
    <w:semiHidden/>
    <w:rsid w:val="00D51594"/>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D515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1594"/>
    <w:rPr>
      <w:rFonts w:ascii="Segoe UI" w:eastAsia="Calibri" w:hAnsi="Segoe UI" w:cs="Segoe UI"/>
      <w:sz w:val="18"/>
      <w:szCs w:val="18"/>
    </w:rPr>
  </w:style>
  <w:style w:type="paragraph" w:styleId="Footer">
    <w:name w:val="footer"/>
    <w:basedOn w:val="Normal"/>
    <w:link w:val="FooterChar"/>
    <w:uiPriority w:val="99"/>
    <w:unhideWhenUsed/>
    <w:rsid w:val="00894E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4E8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028961">
      <w:bodyDiv w:val="1"/>
      <w:marLeft w:val="0"/>
      <w:marRight w:val="0"/>
      <w:marTop w:val="0"/>
      <w:marBottom w:val="0"/>
      <w:divBdr>
        <w:top w:val="none" w:sz="0" w:space="0" w:color="auto"/>
        <w:left w:val="none" w:sz="0" w:space="0" w:color="auto"/>
        <w:bottom w:val="none" w:sz="0" w:space="0" w:color="auto"/>
        <w:right w:val="none" w:sz="0" w:space="0" w:color="auto"/>
      </w:divBdr>
      <w:divsChild>
        <w:div w:id="909535137">
          <w:marLeft w:val="0"/>
          <w:marRight w:val="0"/>
          <w:marTop w:val="0"/>
          <w:marBottom w:val="0"/>
          <w:divBdr>
            <w:top w:val="none" w:sz="0" w:space="0" w:color="auto"/>
            <w:left w:val="none" w:sz="0" w:space="0" w:color="auto"/>
            <w:bottom w:val="none" w:sz="0" w:space="0" w:color="auto"/>
            <w:right w:val="none" w:sz="0" w:space="0" w:color="auto"/>
          </w:divBdr>
        </w:div>
      </w:divsChild>
    </w:div>
    <w:div w:id="467211172">
      <w:bodyDiv w:val="1"/>
      <w:marLeft w:val="0"/>
      <w:marRight w:val="0"/>
      <w:marTop w:val="0"/>
      <w:marBottom w:val="0"/>
      <w:divBdr>
        <w:top w:val="none" w:sz="0" w:space="0" w:color="auto"/>
        <w:left w:val="none" w:sz="0" w:space="0" w:color="auto"/>
        <w:bottom w:val="none" w:sz="0" w:space="0" w:color="auto"/>
        <w:right w:val="none" w:sz="0" w:space="0" w:color="auto"/>
      </w:divBdr>
      <w:divsChild>
        <w:div w:id="193036114">
          <w:marLeft w:val="0"/>
          <w:marRight w:val="0"/>
          <w:marTop w:val="0"/>
          <w:marBottom w:val="0"/>
          <w:divBdr>
            <w:top w:val="none" w:sz="0" w:space="0" w:color="auto"/>
            <w:left w:val="none" w:sz="0" w:space="0" w:color="auto"/>
            <w:bottom w:val="none" w:sz="0" w:space="0" w:color="auto"/>
            <w:right w:val="none" w:sz="0" w:space="0" w:color="auto"/>
          </w:divBdr>
        </w:div>
      </w:divsChild>
    </w:div>
    <w:div w:id="106248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as.org/en/iachr/decisions/2011/USPU12626EN.doc"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idh.org/annualrep/2007eng/USA1490.05eng.htm"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www.oas.org/en/iachr/docs/annual/2012/Chap.3.D.doc" TargetMode="External"/><Relationship Id="rId13" Type="http://schemas.openxmlformats.org/officeDocument/2006/relationships/hyperlink" Target="http://www.oas.org/en/iachr/docs/annual/2013/docs-en/AnnualReport-Chap2-D.pdf" TargetMode="External"/><Relationship Id="rId18" Type="http://schemas.openxmlformats.org/officeDocument/2006/relationships/hyperlink" Target="http://www.oas.org/en/iachr/docs/annual/2012/Chap.3.D.doc" TargetMode="External"/><Relationship Id="rId3" Type="http://schemas.openxmlformats.org/officeDocument/2006/relationships/hyperlink" Target="http://www.oas.org/en/iachr/media_center/PReleases/2014/131A.asp" TargetMode="External"/><Relationship Id="rId21" Type="http://schemas.openxmlformats.org/officeDocument/2006/relationships/hyperlink" Target="http://www.oas.org/en/iachr/docs/annual/2012/Chap.3.D.doc" TargetMode="External"/><Relationship Id="rId7" Type="http://schemas.openxmlformats.org/officeDocument/2006/relationships/hyperlink" Target="http://www.oas.org/en/iachr/media_center/PReleases/2014/131A.asp" TargetMode="External"/><Relationship Id="rId12" Type="http://schemas.openxmlformats.org/officeDocument/2006/relationships/hyperlink" Target="http://www.oas.org/en/iachr/docs/annual/2012/Chap.3.D.doc" TargetMode="External"/><Relationship Id="rId17" Type="http://schemas.openxmlformats.org/officeDocument/2006/relationships/hyperlink" Target="http://www.corteidh.or.cr/docs/casos/articulos/seriec_162_ing.pdf" TargetMode="External"/><Relationship Id="rId2" Type="http://schemas.openxmlformats.org/officeDocument/2006/relationships/hyperlink" Target="http://www.oas.org/es/cidh/multimedia/sesiones/153/default.asp" TargetMode="External"/><Relationship Id="rId16" Type="http://schemas.openxmlformats.org/officeDocument/2006/relationships/hyperlink" Target="http://legal.un.org/avl/pdf/ha/ga_60-147/ga_60-147_ph_e.pdf" TargetMode="External"/><Relationship Id="rId20" Type="http://schemas.openxmlformats.org/officeDocument/2006/relationships/hyperlink" Target="http://www.oas.org/en/iachr/docs/annual/2012/Chap.3.D.doc" TargetMode="External"/><Relationship Id="rId1" Type="http://schemas.openxmlformats.org/officeDocument/2006/relationships/hyperlink" Target="http://www.oas.org/en/iachr/media_center/preleases/2011/092.asp" TargetMode="External"/><Relationship Id="rId6" Type="http://schemas.openxmlformats.org/officeDocument/2006/relationships/hyperlink" Target="http://www.corteidh.or.cr/docs/casos/articulos/seriec_171_ing.pdf" TargetMode="External"/><Relationship Id="rId11" Type="http://schemas.openxmlformats.org/officeDocument/2006/relationships/hyperlink" Target="http://www.oas.org/en/iachr/media_center/PReleases/2014/131A.asp" TargetMode="External"/><Relationship Id="rId24" Type="http://schemas.openxmlformats.org/officeDocument/2006/relationships/hyperlink" Target="http://www.oas.org/en/iachr/docs/annual/2012/Chap.3.D.doc" TargetMode="External"/><Relationship Id="rId5" Type="http://schemas.openxmlformats.org/officeDocument/2006/relationships/hyperlink" Target="http://www.oas.org/en/iachr/media_center/PReleases/2014/131A.asp" TargetMode="External"/><Relationship Id="rId15" Type="http://schemas.openxmlformats.org/officeDocument/2006/relationships/hyperlink" Target="http://www.cidh.org/pdf%20files/Lineamientos%20Reparacion%20Administrativa%2014%20mar%202008%20ENG%20final.pdf" TargetMode="External"/><Relationship Id="rId23" Type="http://schemas.openxmlformats.org/officeDocument/2006/relationships/hyperlink" Target="https://www.lawschool.cornell.edu/Clinical-Programs/global-gender-justice/DV-Resolutions.cfm" TargetMode="External"/><Relationship Id="rId10" Type="http://schemas.openxmlformats.org/officeDocument/2006/relationships/hyperlink" Target="http://www.oas.org/en/iachr/docs/annual/2012/Chap.3.D.doc" TargetMode="External"/><Relationship Id="rId19" Type="http://schemas.openxmlformats.org/officeDocument/2006/relationships/hyperlink" Target="https://www.denverpost.com/2017/01/01/douglas-county-reduce-domestic-violence-fatalities/" TargetMode="External"/><Relationship Id="rId4" Type="http://schemas.openxmlformats.org/officeDocument/2006/relationships/hyperlink" Target="http://www.oas.org/en/iachr/docs/annual/2012/Chap.3.D.doc" TargetMode="External"/><Relationship Id="rId9" Type="http://schemas.openxmlformats.org/officeDocument/2006/relationships/hyperlink" Target="http://www.oas.org/en/iachr/docs/annual/2013/docs-en/AnnualReport-Chap2-D.pdf" TargetMode="External"/><Relationship Id="rId14" Type="http://schemas.openxmlformats.org/officeDocument/2006/relationships/hyperlink" Target="http://www.corteidh.or.cr/docs/casos/articulos/seriec_162_ing.pdf" TargetMode="External"/><Relationship Id="rId22" Type="http://schemas.openxmlformats.org/officeDocument/2006/relationships/hyperlink" Target="http://www.oas.org/en/iachr/docs/annual/2013/docs-en/AnnualReport-Chap2-D.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BC025-DE48-4351-8015-773C00932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8</Pages>
  <Words>4220</Words>
  <Characters>24059</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CIDH Intern 17 (Rocha, Thais)</dc:creator>
  <cp:lastModifiedBy>Paez, Suzdal</cp:lastModifiedBy>
  <cp:revision>30</cp:revision>
  <dcterms:created xsi:type="dcterms:W3CDTF">2020-12-08T17:25:00Z</dcterms:created>
  <dcterms:modified xsi:type="dcterms:W3CDTF">2021-03-25T22:31:00Z</dcterms:modified>
</cp:coreProperties>
</file>