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4D" w:rsidRPr="007328D0" w:rsidRDefault="00F5767C" w:rsidP="007328D0">
      <w:pPr>
        <w:pStyle w:val="Header"/>
        <w:jc w:val="center"/>
        <w:rPr>
          <w:rFonts w:ascii="Cambria" w:hAnsi="Cambria"/>
          <w:sz w:val="20"/>
          <w:szCs w:val="20"/>
        </w:rPr>
      </w:pPr>
      <w:r w:rsidRPr="007328D0">
        <w:rPr>
          <w:rFonts w:ascii="Cambria" w:hAnsi="Cambria"/>
          <w:b/>
          <w:sz w:val="20"/>
          <w:szCs w:val="20"/>
        </w:rPr>
        <w:t xml:space="preserve">FOLLOW-UP FACTSHEET OF REPORT </w:t>
      </w:r>
      <w:r w:rsidR="00DE464D" w:rsidRPr="007328D0">
        <w:rPr>
          <w:rFonts w:ascii="Cambria" w:hAnsi="Cambria"/>
          <w:b/>
          <w:sz w:val="20"/>
          <w:szCs w:val="20"/>
        </w:rPr>
        <w:t>No. 97/03</w:t>
      </w:r>
    </w:p>
    <w:p w:rsidR="00DE464D" w:rsidRPr="007328D0" w:rsidRDefault="00F5767C" w:rsidP="007328D0">
      <w:pPr>
        <w:spacing w:after="0" w:line="240" w:lineRule="auto"/>
        <w:ind w:left="180"/>
        <w:jc w:val="center"/>
        <w:rPr>
          <w:rFonts w:ascii="Cambria" w:hAnsi="Cambria"/>
          <w:b/>
          <w:sz w:val="20"/>
          <w:szCs w:val="20"/>
        </w:rPr>
      </w:pPr>
      <w:r w:rsidRPr="007328D0">
        <w:rPr>
          <w:rFonts w:ascii="Cambria" w:hAnsi="Cambria"/>
          <w:b/>
          <w:sz w:val="20"/>
          <w:szCs w:val="20"/>
        </w:rPr>
        <w:t xml:space="preserve">CASE </w:t>
      </w:r>
      <w:r w:rsidR="00DE464D" w:rsidRPr="007328D0">
        <w:rPr>
          <w:rFonts w:ascii="Cambria" w:hAnsi="Cambria"/>
          <w:b/>
          <w:sz w:val="20"/>
          <w:szCs w:val="20"/>
        </w:rPr>
        <w:t>11.193</w:t>
      </w:r>
    </w:p>
    <w:p w:rsidR="00DE464D" w:rsidRPr="007328D0" w:rsidRDefault="00F5767C" w:rsidP="007328D0">
      <w:pPr>
        <w:spacing w:after="0" w:line="240" w:lineRule="auto"/>
        <w:ind w:left="180"/>
        <w:jc w:val="center"/>
        <w:rPr>
          <w:rFonts w:ascii="Cambria" w:hAnsi="Cambria"/>
          <w:b/>
          <w:sz w:val="20"/>
          <w:szCs w:val="20"/>
        </w:rPr>
      </w:pPr>
      <w:r w:rsidRPr="007328D0">
        <w:rPr>
          <w:rFonts w:ascii="Cambria" w:hAnsi="Cambria"/>
          <w:b/>
          <w:sz w:val="20"/>
          <w:szCs w:val="20"/>
        </w:rPr>
        <w:t>GARY T. GRAHAM, NOW KNOWN AS SHAKA SANKOFA</w:t>
      </w:r>
    </w:p>
    <w:p w:rsidR="00DE464D" w:rsidRPr="007328D0" w:rsidRDefault="00DE464D" w:rsidP="007328D0">
      <w:pPr>
        <w:spacing w:after="0" w:line="240" w:lineRule="auto"/>
        <w:jc w:val="center"/>
        <w:rPr>
          <w:rFonts w:ascii="Cambria" w:hAnsi="Cambria"/>
          <w:b/>
          <w:sz w:val="20"/>
          <w:szCs w:val="20"/>
        </w:rPr>
      </w:pPr>
      <w:r w:rsidRPr="007328D0">
        <w:rPr>
          <w:rFonts w:ascii="Cambria" w:hAnsi="Cambria"/>
          <w:b/>
          <w:sz w:val="20"/>
          <w:szCs w:val="20"/>
        </w:rPr>
        <w:t>(United States)</w:t>
      </w:r>
    </w:p>
    <w:p w:rsidR="00DE464D" w:rsidRPr="007328D0" w:rsidRDefault="00DE464D" w:rsidP="007328D0">
      <w:pPr>
        <w:spacing w:after="0" w:line="240" w:lineRule="auto"/>
        <w:jc w:val="center"/>
        <w:rPr>
          <w:rFonts w:ascii="Cambria" w:hAnsi="Cambria"/>
          <w:sz w:val="20"/>
          <w:szCs w:val="20"/>
        </w:rPr>
      </w:pPr>
    </w:p>
    <w:p w:rsidR="00DE464D" w:rsidRPr="007328D0" w:rsidRDefault="00DE464D" w:rsidP="007328D0">
      <w:pPr>
        <w:numPr>
          <w:ilvl w:val="0"/>
          <w:numId w:val="1"/>
        </w:numPr>
        <w:spacing w:after="0" w:line="240" w:lineRule="auto"/>
        <w:ind w:left="1440"/>
        <w:rPr>
          <w:rFonts w:ascii="Cambria" w:hAnsi="Cambria" w:cs="Calibri Light"/>
          <w:b/>
          <w:sz w:val="20"/>
          <w:szCs w:val="20"/>
        </w:rPr>
      </w:pPr>
      <w:r w:rsidRPr="007328D0">
        <w:rPr>
          <w:rFonts w:ascii="Cambria" w:hAnsi="Cambria" w:cs="Calibri Light"/>
          <w:b/>
          <w:sz w:val="20"/>
          <w:szCs w:val="20"/>
        </w:rPr>
        <w:t xml:space="preserve">Summary of Case  </w:t>
      </w:r>
    </w:p>
    <w:p w:rsidR="00DE464D" w:rsidRPr="007328D0" w:rsidRDefault="00DE464D" w:rsidP="007328D0">
      <w:pPr>
        <w:spacing w:after="0" w:line="240" w:lineRule="auto"/>
        <w:ind w:left="1080"/>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93771" w:rsidRPr="007328D0" w:rsidTr="00E77E51">
        <w:trPr>
          <w:jc w:val="center"/>
        </w:trPr>
        <w:tc>
          <w:tcPr>
            <w:tcW w:w="9576" w:type="dxa"/>
            <w:shd w:val="clear" w:color="auto" w:fill="F2F2F2"/>
          </w:tcPr>
          <w:p w:rsidR="00DE464D" w:rsidRPr="007328D0" w:rsidRDefault="00DE464D" w:rsidP="007328D0">
            <w:pPr>
              <w:spacing w:before="120" w:after="0" w:line="240" w:lineRule="auto"/>
              <w:jc w:val="both"/>
              <w:rPr>
                <w:rFonts w:ascii="Cambria" w:hAnsi="Cambria"/>
                <w:b/>
                <w:sz w:val="20"/>
                <w:szCs w:val="20"/>
              </w:rPr>
            </w:pPr>
            <w:r w:rsidRPr="007328D0">
              <w:rPr>
                <w:rFonts w:ascii="Cambria" w:hAnsi="Cambria"/>
                <w:b/>
                <w:sz w:val="20"/>
                <w:szCs w:val="20"/>
              </w:rPr>
              <w:t xml:space="preserve">Victim (s): </w:t>
            </w:r>
            <w:r w:rsidRPr="007328D0">
              <w:rPr>
                <w:rFonts w:ascii="Cambria" w:hAnsi="Cambria"/>
                <w:sz w:val="20"/>
                <w:szCs w:val="20"/>
              </w:rPr>
              <w:t>Shaka Sankofa (formerly Gary Graham)</w:t>
            </w:r>
          </w:p>
          <w:p w:rsidR="00DE464D" w:rsidRPr="007328D0" w:rsidRDefault="00165232" w:rsidP="007328D0">
            <w:pPr>
              <w:spacing w:after="0" w:line="240" w:lineRule="auto"/>
              <w:jc w:val="both"/>
              <w:rPr>
                <w:rFonts w:ascii="Cambria" w:hAnsi="Cambria"/>
                <w:b/>
                <w:sz w:val="20"/>
                <w:szCs w:val="20"/>
              </w:rPr>
            </w:pPr>
            <w:r w:rsidRPr="007328D0">
              <w:rPr>
                <w:rFonts w:ascii="Cambria" w:hAnsi="Cambria"/>
                <w:b/>
                <w:sz w:val="20"/>
                <w:szCs w:val="20"/>
              </w:rPr>
              <w:t xml:space="preserve">Petitioner </w:t>
            </w:r>
            <w:r w:rsidR="00DE464D" w:rsidRPr="007328D0">
              <w:rPr>
                <w:rFonts w:ascii="Cambria" w:hAnsi="Cambria"/>
                <w:b/>
                <w:sz w:val="20"/>
                <w:szCs w:val="20"/>
              </w:rPr>
              <w:t>(s):</w:t>
            </w:r>
            <w:r w:rsidR="00DE464D" w:rsidRPr="007328D0">
              <w:rPr>
                <w:rFonts w:ascii="Cambria" w:hAnsi="Cambria"/>
                <w:sz w:val="20"/>
                <w:szCs w:val="20"/>
              </w:rPr>
              <w:t xml:space="preserve"> </w:t>
            </w:r>
            <w:r w:rsidR="002D3614" w:rsidRPr="007328D0">
              <w:rPr>
                <w:rFonts w:ascii="Cambria" w:hAnsi="Cambria"/>
                <w:sz w:val="20"/>
                <w:szCs w:val="20"/>
              </w:rPr>
              <w:t>International Human Rights Law Clinic, American University</w:t>
            </w:r>
            <w:r w:rsidR="00D315CF" w:rsidRPr="007328D0">
              <w:rPr>
                <w:rFonts w:ascii="Cambria" w:hAnsi="Cambria"/>
                <w:sz w:val="20"/>
                <w:szCs w:val="20"/>
              </w:rPr>
              <w:t>,</w:t>
            </w:r>
            <w:r w:rsidR="002D3614" w:rsidRPr="007328D0">
              <w:rPr>
                <w:rFonts w:ascii="Cambria" w:hAnsi="Cambria"/>
                <w:sz w:val="20"/>
                <w:szCs w:val="20"/>
              </w:rPr>
              <w:t xml:space="preserve"> Washington College of Law</w:t>
            </w:r>
          </w:p>
          <w:p w:rsidR="00DE464D" w:rsidRPr="007328D0" w:rsidRDefault="00DE464D" w:rsidP="007328D0">
            <w:pPr>
              <w:spacing w:after="0" w:line="240" w:lineRule="auto"/>
              <w:jc w:val="both"/>
              <w:rPr>
                <w:rFonts w:ascii="Cambria" w:hAnsi="Cambria"/>
                <w:sz w:val="20"/>
                <w:szCs w:val="20"/>
              </w:rPr>
            </w:pPr>
            <w:r w:rsidRPr="007328D0">
              <w:rPr>
                <w:rFonts w:ascii="Cambria" w:hAnsi="Cambria"/>
                <w:b/>
                <w:sz w:val="20"/>
                <w:szCs w:val="20"/>
              </w:rPr>
              <w:t xml:space="preserve">State: </w:t>
            </w:r>
            <w:r w:rsidRPr="007328D0">
              <w:rPr>
                <w:rFonts w:ascii="Cambria" w:hAnsi="Cambria"/>
                <w:sz w:val="20"/>
                <w:szCs w:val="20"/>
              </w:rPr>
              <w:t>United States</w:t>
            </w:r>
          </w:p>
          <w:p w:rsidR="00DE464D" w:rsidRPr="007328D0" w:rsidRDefault="00DE464D" w:rsidP="007328D0">
            <w:pPr>
              <w:spacing w:after="0" w:line="240" w:lineRule="auto"/>
              <w:jc w:val="both"/>
              <w:rPr>
                <w:rFonts w:ascii="Cambria" w:hAnsi="Cambria"/>
                <w:sz w:val="20"/>
                <w:szCs w:val="20"/>
              </w:rPr>
            </w:pPr>
            <w:r w:rsidRPr="007328D0">
              <w:rPr>
                <w:rFonts w:ascii="Cambria" w:hAnsi="Cambria"/>
                <w:b/>
                <w:sz w:val="20"/>
                <w:szCs w:val="20"/>
              </w:rPr>
              <w:t xml:space="preserve">Merits Report No.: </w:t>
            </w:r>
            <w:hyperlink r:id="rId8" w:history="1">
              <w:r w:rsidRPr="007328D0">
                <w:rPr>
                  <w:rStyle w:val="Hyperlink"/>
                  <w:rFonts w:ascii="Cambria" w:hAnsi="Cambria"/>
                  <w:color w:val="auto"/>
                  <w:sz w:val="20"/>
                  <w:szCs w:val="20"/>
                </w:rPr>
                <w:t>97/03</w:t>
              </w:r>
            </w:hyperlink>
            <w:r w:rsidRPr="007328D0">
              <w:rPr>
                <w:rFonts w:ascii="Cambria" w:hAnsi="Cambria"/>
                <w:sz w:val="20"/>
                <w:szCs w:val="20"/>
              </w:rPr>
              <w:t>, published on December 29, 2003</w:t>
            </w:r>
          </w:p>
          <w:p w:rsidR="00DE464D" w:rsidRPr="007328D0" w:rsidRDefault="00DE464D" w:rsidP="007328D0">
            <w:pPr>
              <w:spacing w:after="0" w:line="240" w:lineRule="auto"/>
              <w:jc w:val="both"/>
              <w:rPr>
                <w:rFonts w:ascii="Cambria" w:hAnsi="Cambria"/>
                <w:sz w:val="20"/>
                <w:szCs w:val="20"/>
              </w:rPr>
            </w:pPr>
            <w:r w:rsidRPr="007328D0">
              <w:rPr>
                <w:rFonts w:ascii="Cambria" w:hAnsi="Cambria"/>
                <w:b/>
                <w:sz w:val="20"/>
                <w:szCs w:val="20"/>
              </w:rPr>
              <w:t xml:space="preserve">Admissibility Report No.: </w:t>
            </w:r>
            <w:hyperlink r:id="rId9" w:history="1">
              <w:r w:rsidRPr="007328D0">
                <w:rPr>
                  <w:rStyle w:val="Hyperlink"/>
                  <w:rFonts w:ascii="Cambria" w:hAnsi="Cambria"/>
                  <w:color w:val="auto"/>
                  <w:sz w:val="20"/>
                  <w:szCs w:val="20"/>
                </w:rPr>
                <w:t>51/00</w:t>
              </w:r>
            </w:hyperlink>
            <w:r w:rsidRPr="007328D0">
              <w:rPr>
                <w:rFonts w:ascii="Cambria" w:hAnsi="Cambria"/>
                <w:sz w:val="20"/>
                <w:szCs w:val="20"/>
              </w:rPr>
              <w:t>, adopted on June 15, 2000</w:t>
            </w:r>
          </w:p>
          <w:p w:rsidR="005E3215" w:rsidRPr="007328D0" w:rsidRDefault="005E3215" w:rsidP="007328D0">
            <w:pPr>
              <w:spacing w:after="0" w:line="240" w:lineRule="auto"/>
              <w:jc w:val="both"/>
              <w:rPr>
                <w:rFonts w:ascii="Cambria" w:hAnsi="Cambria"/>
                <w:sz w:val="20"/>
                <w:szCs w:val="20"/>
              </w:rPr>
            </w:pPr>
            <w:r w:rsidRPr="007328D0">
              <w:rPr>
                <w:rFonts w:ascii="Cambria" w:hAnsi="Cambria"/>
                <w:b/>
                <w:sz w:val="20"/>
                <w:szCs w:val="20"/>
              </w:rPr>
              <w:t xml:space="preserve">Precautionary Measures: </w:t>
            </w:r>
            <w:hyperlink r:id="rId10" w:history="1">
              <w:r w:rsidRPr="007328D0">
                <w:rPr>
                  <w:rStyle w:val="Hyperlink"/>
                  <w:rFonts w:ascii="Cambria" w:hAnsi="Cambria"/>
                  <w:color w:val="auto"/>
                  <w:sz w:val="20"/>
                  <w:szCs w:val="20"/>
                </w:rPr>
                <w:t>Granted on February 4, 2000</w:t>
              </w:r>
            </w:hyperlink>
            <w:r w:rsidRPr="007328D0">
              <w:rPr>
                <w:rFonts w:ascii="Cambria" w:hAnsi="Cambria"/>
                <w:sz w:val="20"/>
                <w:szCs w:val="20"/>
              </w:rPr>
              <w:t xml:space="preserve"> </w:t>
            </w:r>
          </w:p>
          <w:p w:rsidR="00DE464D" w:rsidRPr="007328D0" w:rsidRDefault="00DE464D" w:rsidP="007328D0">
            <w:pPr>
              <w:spacing w:after="120" w:line="240" w:lineRule="auto"/>
              <w:jc w:val="both"/>
              <w:rPr>
                <w:rFonts w:ascii="Cambria" w:hAnsi="Cambria"/>
                <w:sz w:val="20"/>
                <w:szCs w:val="20"/>
              </w:rPr>
            </w:pPr>
            <w:r w:rsidRPr="007328D0">
              <w:rPr>
                <w:rFonts w:ascii="Cambria" w:hAnsi="Cambria"/>
                <w:b/>
                <w:sz w:val="20"/>
                <w:szCs w:val="20"/>
              </w:rPr>
              <w:t xml:space="preserve">Themes: </w:t>
            </w:r>
            <w:r w:rsidR="00AB5556" w:rsidRPr="007328D0">
              <w:rPr>
                <w:rFonts w:ascii="Cambria" w:hAnsi="Cambria"/>
                <w:sz w:val="20"/>
                <w:szCs w:val="20"/>
              </w:rPr>
              <w:t xml:space="preserve">Death Penalty / Right to Life / Right to a Fair Trial / Judicial Protection / Domestic Effects / Rights of the Child. </w:t>
            </w:r>
          </w:p>
          <w:p w:rsidR="00267C5F" w:rsidRPr="007328D0" w:rsidRDefault="00DE464D" w:rsidP="007328D0">
            <w:pPr>
              <w:pStyle w:val="BodyTextIndent"/>
              <w:spacing w:before="0" w:beforeAutospacing="0" w:after="120" w:afterAutospacing="0"/>
              <w:jc w:val="both"/>
              <w:rPr>
                <w:rFonts w:ascii="Cambria" w:hAnsi="Cambria"/>
                <w:sz w:val="20"/>
                <w:szCs w:val="20"/>
              </w:rPr>
            </w:pPr>
            <w:r w:rsidRPr="007328D0">
              <w:rPr>
                <w:rFonts w:ascii="Cambria" w:hAnsi="Cambria"/>
                <w:b/>
                <w:sz w:val="20"/>
                <w:szCs w:val="20"/>
              </w:rPr>
              <w:t xml:space="preserve">Facts: </w:t>
            </w:r>
            <w:r w:rsidR="00D03B95" w:rsidRPr="007328D0">
              <w:rPr>
                <w:rFonts w:ascii="Cambria" w:hAnsi="Cambria"/>
                <w:sz w:val="20"/>
                <w:szCs w:val="20"/>
              </w:rPr>
              <w:t>This c</w:t>
            </w:r>
            <w:r w:rsidRPr="007328D0">
              <w:rPr>
                <w:rFonts w:ascii="Cambria" w:hAnsi="Cambria"/>
                <w:sz w:val="20"/>
                <w:szCs w:val="20"/>
              </w:rPr>
              <w:t xml:space="preserve">ase refers </w:t>
            </w:r>
            <w:r w:rsidR="00FC116E" w:rsidRPr="007328D0">
              <w:rPr>
                <w:rFonts w:ascii="Cambria" w:hAnsi="Cambria"/>
                <w:sz w:val="20"/>
                <w:szCs w:val="20"/>
              </w:rPr>
              <w:t xml:space="preserve">to </w:t>
            </w:r>
            <w:r w:rsidR="00267C5F" w:rsidRPr="007328D0">
              <w:rPr>
                <w:rFonts w:ascii="Cambria" w:hAnsi="Cambria"/>
                <w:sz w:val="20"/>
                <w:szCs w:val="20"/>
              </w:rPr>
              <w:t xml:space="preserve">Shaka Sankofa (formerly known as Gary Graham) who was sentenced to death in October 1981 in the state of Texas, United States, in proceedings that violated his due process and fair trial rights including that he was denied effective legal assistance as well as a forum for any legal body to review identification and other evidence that suggested that he was innocent of the crime for which he was condemned. Mr. Sankofa was executed on June 22, 2000.  </w:t>
            </w:r>
          </w:p>
          <w:p w:rsidR="00DE464D" w:rsidRPr="007328D0" w:rsidRDefault="00D03B95" w:rsidP="007328D0">
            <w:pPr>
              <w:spacing w:after="120" w:line="240" w:lineRule="auto"/>
              <w:jc w:val="both"/>
              <w:rPr>
                <w:rFonts w:ascii="Cambria" w:hAnsi="Cambria"/>
                <w:sz w:val="20"/>
                <w:szCs w:val="20"/>
              </w:rPr>
            </w:pPr>
            <w:r w:rsidRPr="007328D0">
              <w:rPr>
                <w:rFonts w:ascii="Cambria" w:hAnsi="Cambria"/>
                <w:b/>
                <w:sz w:val="20"/>
                <w:szCs w:val="20"/>
              </w:rPr>
              <w:t>Rights violated</w:t>
            </w:r>
            <w:r w:rsidR="00DE464D" w:rsidRPr="007328D0">
              <w:rPr>
                <w:rFonts w:ascii="Cambria" w:hAnsi="Cambria"/>
                <w:b/>
                <w:sz w:val="20"/>
                <w:szCs w:val="20"/>
              </w:rPr>
              <w:t xml:space="preserve">: </w:t>
            </w:r>
            <w:r w:rsidR="00DE464D" w:rsidRPr="007328D0">
              <w:rPr>
                <w:rFonts w:ascii="Cambria" w:hAnsi="Cambria"/>
                <w:sz w:val="20"/>
                <w:szCs w:val="20"/>
              </w:rPr>
              <w:t xml:space="preserve">The Commission concluded </w:t>
            </w:r>
            <w:r w:rsidR="000966B6" w:rsidRPr="007328D0">
              <w:rPr>
                <w:rFonts w:ascii="Cambria" w:hAnsi="Cambria"/>
                <w:sz w:val="20"/>
                <w:szCs w:val="20"/>
              </w:rPr>
              <w:t xml:space="preserve">that </w:t>
            </w:r>
            <w:r w:rsidR="00DE464D" w:rsidRPr="007328D0">
              <w:rPr>
                <w:rFonts w:ascii="Cambria" w:hAnsi="Cambria"/>
                <w:sz w:val="20"/>
                <w:szCs w:val="20"/>
              </w:rPr>
              <w:t xml:space="preserve">the State was responsible for violations of Articles XVIII and XXVI of the American Declaration in the trial, conviction and sentencing to </w:t>
            </w:r>
            <w:r w:rsidR="00DE464D" w:rsidRPr="007328D0">
              <w:rPr>
                <w:rFonts w:ascii="Cambria" w:hAnsi="Cambria"/>
                <w:snapToGrid w:val="0"/>
                <w:sz w:val="20"/>
                <w:szCs w:val="20"/>
              </w:rPr>
              <w:t>death</w:t>
            </w:r>
            <w:r w:rsidR="00DE464D" w:rsidRPr="007328D0">
              <w:rPr>
                <w:rFonts w:ascii="Cambria" w:hAnsi="Cambria"/>
                <w:sz w:val="20"/>
                <w:szCs w:val="20"/>
              </w:rPr>
              <w:t xml:space="preserve"> of Shaka Sankofa; </w:t>
            </w:r>
            <w:r w:rsidR="000966B6" w:rsidRPr="007328D0">
              <w:rPr>
                <w:rFonts w:ascii="Cambria" w:hAnsi="Cambria"/>
                <w:sz w:val="20"/>
                <w:szCs w:val="20"/>
              </w:rPr>
              <w:t>that b</w:t>
            </w:r>
            <w:r w:rsidR="00DE464D" w:rsidRPr="007328D0">
              <w:rPr>
                <w:rFonts w:ascii="Cambria" w:hAnsi="Cambria"/>
                <w:sz w:val="20"/>
                <w:szCs w:val="20"/>
              </w:rPr>
              <w:t>y executing Mr. Sankofa based upon these criminal proceedings, the State was responsible for a violation of Mr. Sankofa’s fundamental right to life under Article I of the American Declaration; and</w:t>
            </w:r>
            <w:r w:rsidR="000966B6" w:rsidRPr="007328D0">
              <w:rPr>
                <w:rFonts w:ascii="Cambria" w:hAnsi="Cambria"/>
                <w:sz w:val="20"/>
                <w:szCs w:val="20"/>
              </w:rPr>
              <w:t xml:space="preserve">, that </w:t>
            </w:r>
            <w:r w:rsidR="00DE464D" w:rsidRPr="007328D0">
              <w:rPr>
                <w:rFonts w:ascii="Cambria" w:hAnsi="Cambria"/>
                <w:sz w:val="20"/>
                <w:szCs w:val="20"/>
              </w:rPr>
              <w:t xml:space="preserve">the State acted contrary to an international norm of </w:t>
            </w:r>
            <w:r w:rsidR="00DE464D" w:rsidRPr="007328D0">
              <w:rPr>
                <w:rFonts w:ascii="Cambria" w:hAnsi="Cambria"/>
                <w:i/>
                <w:iCs/>
                <w:sz w:val="20"/>
                <w:szCs w:val="20"/>
              </w:rPr>
              <w:t xml:space="preserve">jus cogens </w:t>
            </w:r>
            <w:r w:rsidR="00DE464D" w:rsidRPr="007328D0">
              <w:rPr>
                <w:rFonts w:ascii="Cambria" w:hAnsi="Cambria"/>
                <w:sz w:val="20"/>
                <w:szCs w:val="20"/>
              </w:rPr>
              <w:t>as encompassed in the right to life under Article I of the America Declaration by executing Mr. Sankofa for a crime that he was found to have committed when he was 17 years of age.</w:t>
            </w:r>
            <w:r w:rsidR="005B5669" w:rsidRPr="007328D0">
              <w:rPr>
                <w:rFonts w:ascii="Cambria" w:hAnsi="Cambria"/>
                <w:sz w:val="20"/>
                <w:szCs w:val="20"/>
              </w:rPr>
              <w:t xml:space="preserve"> </w:t>
            </w:r>
          </w:p>
        </w:tc>
      </w:tr>
    </w:tbl>
    <w:p w:rsidR="00DE464D" w:rsidRPr="007328D0" w:rsidRDefault="00DE464D" w:rsidP="007328D0">
      <w:pPr>
        <w:spacing w:after="0" w:line="240" w:lineRule="auto"/>
        <w:ind w:left="180"/>
        <w:rPr>
          <w:rFonts w:ascii="Cambria" w:hAnsi="Cambria"/>
          <w:sz w:val="20"/>
          <w:szCs w:val="20"/>
        </w:rPr>
      </w:pPr>
    </w:p>
    <w:p w:rsidR="00DE464D" w:rsidRPr="007328D0" w:rsidRDefault="00DE464D" w:rsidP="007328D0">
      <w:pPr>
        <w:numPr>
          <w:ilvl w:val="0"/>
          <w:numId w:val="1"/>
        </w:numPr>
        <w:spacing w:after="0" w:line="240" w:lineRule="auto"/>
        <w:ind w:left="1440"/>
        <w:jc w:val="both"/>
        <w:rPr>
          <w:rFonts w:ascii="Cambria" w:hAnsi="Cambria" w:cs="Calibri Light"/>
          <w:b/>
          <w:sz w:val="20"/>
          <w:szCs w:val="20"/>
        </w:rPr>
      </w:pPr>
      <w:r w:rsidRPr="007328D0">
        <w:rPr>
          <w:rFonts w:ascii="Cambria" w:hAnsi="Cambria" w:cs="Calibri Light"/>
          <w:b/>
          <w:sz w:val="20"/>
          <w:szCs w:val="20"/>
        </w:rPr>
        <w:t>Recommendations</w:t>
      </w:r>
    </w:p>
    <w:p w:rsidR="00DE464D" w:rsidRPr="007328D0" w:rsidRDefault="00DE464D" w:rsidP="007328D0">
      <w:pPr>
        <w:spacing w:after="0" w:line="240" w:lineRule="auto"/>
        <w:ind w:left="108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1867"/>
      </w:tblGrid>
      <w:tr w:rsidR="00293771" w:rsidRPr="007328D0" w:rsidTr="00B81DC1">
        <w:tc>
          <w:tcPr>
            <w:tcW w:w="7650" w:type="dxa"/>
            <w:shd w:val="clear" w:color="auto" w:fill="auto"/>
            <w:vAlign w:val="center"/>
          </w:tcPr>
          <w:p w:rsidR="00DE464D" w:rsidRPr="007328D0" w:rsidRDefault="00DE464D" w:rsidP="007328D0">
            <w:pPr>
              <w:spacing w:after="0" w:line="240" w:lineRule="auto"/>
              <w:jc w:val="center"/>
              <w:rPr>
                <w:rFonts w:ascii="Cambria" w:hAnsi="Cambria" w:cs="Calibri Light"/>
                <w:b/>
                <w:sz w:val="18"/>
                <w:szCs w:val="18"/>
              </w:rPr>
            </w:pPr>
            <w:r w:rsidRPr="007328D0">
              <w:rPr>
                <w:rFonts w:ascii="Cambria" w:hAnsi="Cambria" w:cs="Calibri Light"/>
                <w:b/>
                <w:sz w:val="18"/>
                <w:szCs w:val="18"/>
              </w:rPr>
              <w:t>Recommendations</w:t>
            </w:r>
          </w:p>
        </w:tc>
        <w:tc>
          <w:tcPr>
            <w:tcW w:w="1890" w:type="dxa"/>
            <w:shd w:val="clear" w:color="auto" w:fill="auto"/>
            <w:vAlign w:val="center"/>
          </w:tcPr>
          <w:p w:rsidR="00DE464D" w:rsidRPr="007328D0" w:rsidRDefault="00DE464D" w:rsidP="007328D0">
            <w:pPr>
              <w:spacing w:after="0" w:line="240" w:lineRule="auto"/>
              <w:jc w:val="center"/>
              <w:rPr>
                <w:rFonts w:ascii="Cambria" w:hAnsi="Cambria" w:cs="Calibri Light"/>
                <w:b/>
                <w:color w:val="000000" w:themeColor="text1"/>
                <w:sz w:val="18"/>
                <w:szCs w:val="18"/>
              </w:rPr>
            </w:pPr>
            <w:r w:rsidRPr="007328D0">
              <w:rPr>
                <w:rFonts w:ascii="Cambria" w:hAnsi="Cambria" w:cs="Calibri Light"/>
                <w:b/>
                <w:color w:val="000000" w:themeColor="text1"/>
                <w:sz w:val="18"/>
                <w:szCs w:val="18"/>
              </w:rPr>
              <w:t xml:space="preserve">State of compliance in </w:t>
            </w:r>
            <w:r w:rsidR="001819A0" w:rsidRPr="007328D0">
              <w:rPr>
                <w:rFonts w:ascii="Cambria" w:hAnsi="Cambria" w:cs="Calibri Light"/>
                <w:b/>
                <w:color w:val="000000" w:themeColor="text1"/>
                <w:sz w:val="18"/>
                <w:szCs w:val="18"/>
              </w:rPr>
              <w:t>2020</w:t>
            </w:r>
          </w:p>
        </w:tc>
      </w:tr>
      <w:tr w:rsidR="00293771" w:rsidRPr="007328D0" w:rsidTr="009260C7">
        <w:tc>
          <w:tcPr>
            <w:tcW w:w="7650" w:type="dxa"/>
            <w:shd w:val="clear" w:color="auto" w:fill="auto"/>
          </w:tcPr>
          <w:p w:rsidR="00DE464D" w:rsidRPr="007328D0" w:rsidRDefault="00165232" w:rsidP="007328D0">
            <w:pPr>
              <w:spacing w:after="0" w:line="240" w:lineRule="auto"/>
              <w:jc w:val="both"/>
              <w:rPr>
                <w:rFonts w:ascii="Cambria" w:hAnsi="Cambria"/>
                <w:sz w:val="18"/>
                <w:szCs w:val="18"/>
              </w:rPr>
            </w:pPr>
            <w:r w:rsidRPr="007328D0">
              <w:rPr>
                <w:rFonts w:ascii="Cambria" w:hAnsi="Cambria"/>
                <w:sz w:val="18"/>
                <w:szCs w:val="18"/>
              </w:rPr>
              <w:t xml:space="preserve">1. </w:t>
            </w:r>
            <w:r w:rsidR="00DE464D" w:rsidRPr="007328D0">
              <w:rPr>
                <w:rFonts w:ascii="Cambria" w:hAnsi="Cambria"/>
                <w:sz w:val="18"/>
                <w:szCs w:val="18"/>
              </w:rPr>
              <w:t>Provide the next-of-kin of Shaka Sankofa with an effective remedy, which includes compensation.</w:t>
            </w:r>
          </w:p>
        </w:tc>
        <w:tc>
          <w:tcPr>
            <w:tcW w:w="1890" w:type="dxa"/>
            <w:shd w:val="clear" w:color="auto" w:fill="auto"/>
            <w:vAlign w:val="center"/>
          </w:tcPr>
          <w:p w:rsidR="00DE464D" w:rsidRPr="007328D0" w:rsidRDefault="0044532C" w:rsidP="007328D0">
            <w:pPr>
              <w:spacing w:after="0" w:line="240" w:lineRule="auto"/>
              <w:jc w:val="center"/>
              <w:rPr>
                <w:rFonts w:ascii="Cambria" w:hAnsi="Cambria" w:cs="Calibri Light"/>
                <w:b/>
                <w:color w:val="000000" w:themeColor="text1"/>
                <w:sz w:val="18"/>
                <w:szCs w:val="18"/>
              </w:rPr>
            </w:pPr>
            <w:r w:rsidRPr="007328D0">
              <w:rPr>
                <w:rFonts w:ascii="Cambria" w:hAnsi="Cambria"/>
                <w:color w:val="000000" w:themeColor="text1"/>
                <w:sz w:val="18"/>
                <w:szCs w:val="18"/>
              </w:rPr>
              <w:t>Pending compliance</w:t>
            </w:r>
          </w:p>
        </w:tc>
      </w:tr>
      <w:tr w:rsidR="00293771" w:rsidRPr="007328D0" w:rsidTr="009260C7">
        <w:tc>
          <w:tcPr>
            <w:tcW w:w="7650" w:type="dxa"/>
            <w:shd w:val="clear" w:color="auto" w:fill="auto"/>
          </w:tcPr>
          <w:p w:rsidR="00DE464D" w:rsidRPr="007328D0" w:rsidRDefault="00165232" w:rsidP="007328D0">
            <w:pPr>
              <w:spacing w:after="0" w:line="240" w:lineRule="auto"/>
              <w:jc w:val="both"/>
              <w:rPr>
                <w:rFonts w:ascii="Cambria" w:hAnsi="Cambria"/>
                <w:sz w:val="18"/>
                <w:szCs w:val="18"/>
              </w:rPr>
            </w:pPr>
            <w:r w:rsidRPr="007328D0">
              <w:rPr>
                <w:rFonts w:ascii="Cambria" w:hAnsi="Cambria"/>
                <w:sz w:val="18"/>
                <w:szCs w:val="18"/>
              </w:rPr>
              <w:t xml:space="preserve">2. </w:t>
            </w:r>
            <w:r w:rsidR="00DE464D" w:rsidRPr="007328D0">
              <w:rPr>
                <w:rFonts w:ascii="Cambria" w:hAnsi="Cambria"/>
                <w:sz w:val="18"/>
                <w:szCs w:val="18"/>
              </w:rPr>
              <w:t xml:space="preserve">Review its laws, procedures and practices to ensure that violations similar to those in Mr. Sankofa’s case do not occur in future capital proceedings. </w:t>
            </w:r>
          </w:p>
        </w:tc>
        <w:tc>
          <w:tcPr>
            <w:tcW w:w="1890" w:type="dxa"/>
            <w:shd w:val="clear" w:color="auto" w:fill="auto"/>
            <w:vAlign w:val="center"/>
          </w:tcPr>
          <w:p w:rsidR="00DE464D" w:rsidRPr="007328D0" w:rsidRDefault="002126A2" w:rsidP="007328D0">
            <w:pPr>
              <w:spacing w:after="0" w:line="240" w:lineRule="auto"/>
              <w:jc w:val="center"/>
              <w:rPr>
                <w:rFonts w:ascii="Cambria" w:hAnsi="Cambria" w:cs="Calibri Light"/>
                <w:b/>
                <w:color w:val="000000" w:themeColor="text1"/>
                <w:sz w:val="18"/>
                <w:szCs w:val="18"/>
              </w:rPr>
            </w:pPr>
            <w:r w:rsidRPr="007328D0">
              <w:rPr>
                <w:rFonts w:ascii="Cambria" w:hAnsi="Cambria"/>
                <w:color w:val="000000" w:themeColor="text1"/>
                <w:sz w:val="18"/>
                <w:szCs w:val="18"/>
              </w:rPr>
              <w:t>Pending compliance</w:t>
            </w:r>
          </w:p>
        </w:tc>
      </w:tr>
      <w:tr w:rsidR="00DE464D" w:rsidRPr="007328D0" w:rsidTr="009260C7">
        <w:tc>
          <w:tcPr>
            <w:tcW w:w="7650" w:type="dxa"/>
            <w:shd w:val="clear" w:color="auto" w:fill="auto"/>
          </w:tcPr>
          <w:p w:rsidR="00DE464D" w:rsidRPr="007328D0" w:rsidRDefault="00165232" w:rsidP="007328D0">
            <w:pPr>
              <w:spacing w:after="0" w:line="240" w:lineRule="auto"/>
              <w:jc w:val="both"/>
              <w:rPr>
                <w:rFonts w:ascii="Cambria" w:hAnsi="Cambria"/>
                <w:sz w:val="18"/>
                <w:szCs w:val="18"/>
              </w:rPr>
            </w:pPr>
            <w:r w:rsidRPr="007328D0">
              <w:rPr>
                <w:rFonts w:ascii="Cambria" w:hAnsi="Cambria"/>
                <w:sz w:val="18"/>
                <w:szCs w:val="18"/>
              </w:rPr>
              <w:t xml:space="preserve">3. </w:t>
            </w:r>
            <w:r w:rsidR="00DE464D" w:rsidRPr="007328D0">
              <w:rPr>
                <w:rFonts w:ascii="Cambria" w:hAnsi="Cambria"/>
                <w:sz w:val="18"/>
                <w:szCs w:val="18"/>
              </w:rPr>
              <w:t>Review its laws, procedures and practices to ensure that capital punishment is not imposed upon persons who, at the time his or her crime was committed, were under 18 years of age.</w:t>
            </w:r>
          </w:p>
        </w:tc>
        <w:tc>
          <w:tcPr>
            <w:tcW w:w="1890" w:type="dxa"/>
            <w:shd w:val="clear" w:color="auto" w:fill="auto"/>
            <w:vAlign w:val="center"/>
          </w:tcPr>
          <w:p w:rsidR="00DE464D" w:rsidRPr="007328D0" w:rsidRDefault="00AE0B18" w:rsidP="007328D0">
            <w:pPr>
              <w:spacing w:after="0" w:line="240" w:lineRule="auto"/>
              <w:jc w:val="center"/>
              <w:rPr>
                <w:rFonts w:ascii="Cambria" w:hAnsi="Cambria" w:cs="Calibri Light"/>
                <w:b/>
                <w:color w:val="000000" w:themeColor="text1"/>
                <w:sz w:val="18"/>
                <w:szCs w:val="18"/>
              </w:rPr>
            </w:pPr>
            <w:r w:rsidRPr="007328D0">
              <w:rPr>
                <w:rFonts w:ascii="Cambria" w:hAnsi="Cambria"/>
                <w:color w:val="000000" w:themeColor="text1"/>
                <w:sz w:val="18"/>
                <w:szCs w:val="18"/>
              </w:rPr>
              <w:t>Total compliance</w:t>
            </w:r>
          </w:p>
        </w:tc>
      </w:tr>
    </w:tbl>
    <w:p w:rsidR="00DE464D" w:rsidRPr="007328D0" w:rsidRDefault="00DE464D" w:rsidP="007328D0">
      <w:pPr>
        <w:spacing w:after="0" w:line="240" w:lineRule="auto"/>
        <w:jc w:val="both"/>
        <w:rPr>
          <w:rFonts w:ascii="Cambria" w:hAnsi="Cambria" w:cs="Calibri Light"/>
          <w:sz w:val="20"/>
          <w:szCs w:val="20"/>
        </w:rPr>
      </w:pPr>
    </w:p>
    <w:p w:rsidR="00DE464D" w:rsidRPr="007328D0" w:rsidRDefault="00DE464D" w:rsidP="007328D0">
      <w:pPr>
        <w:pStyle w:val="ListParagraph"/>
        <w:numPr>
          <w:ilvl w:val="0"/>
          <w:numId w:val="1"/>
        </w:numPr>
        <w:spacing w:after="0" w:line="240" w:lineRule="auto"/>
        <w:ind w:left="1440"/>
        <w:jc w:val="both"/>
        <w:rPr>
          <w:rFonts w:ascii="Cambria" w:hAnsi="Cambria" w:cs="Calibri Light"/>
          <w:b/>
          <w:sz w:val="20"/>
          <w:szCs w:val="20"/>
        </w:rPr>
      </w:pPr>
      <w:r w:rsidRPr="007328D0">
        <w:rPr>
          <w:rFonts w:ascii="Cambria" w:hAnsi="Cambria"/>
          <w:b/>
          <w:sz w:val="20"/>
          <w:szCs w:val="20"/>
        </w:rPr>
        <w:t xml:space="preserve">Procedural Activity </w:t>
      </w:r>
    </w:p>
    <w:p w:rsidR="00DE464D" w:rsidRPr="007328D0" w:rsidRDefault="00DE464D" w:rsidP="007328D0">
      <w:pPr>
        <w:spacing w:after="0" w:line="240" w:lineRule="auto"/>
        <w:jc w:val="both"/>
        <w:rPr>
          <w:rFonts w:ascii="Cambria" w:hAnsi="Cambria" w:cs="Calibri Light"/>
          <w:color w:val="000000" w:themeColor="text1"/>
          <w:sz w:val="20"/>
          <w:szCs w:val="20"/>
        </w:rPr>
      </w:pPr>
    </w:p>
    <w:p w:rsidR="00165232" w:rsidRPr="007328D0" w:rsidRDefault="00B329DB" w:rsidP="007328D0">
      <w:pPr>
        <w:pStyle w:val="ListParagraph"/>
        <w:numPr>
          <w:ilvl w:val="0"/>
          <w:numId w:val="13"/>
        </w:numPr>
        <w:spacing w:after="0" w:line="240" w:lineRule="auto"/>
        <w:jc w:val="both"/>
        <w:rPr>
          <w:rFonts w:ascii="Cambria" w:hAnsi="Cambria" w:cs="Calibri Light"/>
          <w:color w:val="000000" w:themeColor="text1"/>
          <w:sz w:val="20"/>
          <w:szCs w:val="20"/>
        </w:rPr>
      </w:pPr>
      <w:r w:rsidRPr="007328D0">
        <w:rPr>
          <w:rFonts w:ascii="Cambria" w:hAnsi="Cambria" w:cs="Calibri Light"/>
          <w:color w:val="000000" w:themeColor="text1"/>
          <w:sz w:val="20"/>
          <w:szCs w:val="20"/>
        </w:rPr>
        <w:t xml:space="preserve">In </w:t>
      </w:r>
      <w:r w:rsidR="008E7FD5" w:rsidRPr="007328D0">
        <w:rPr>
          <w:rFonts w:ascii="Cambria" w:hAnsi="Cambria" w:cs="Calibri Light"/>
          <w:color w:val="000000" w:themeColor="text1"/>
          <w:sz w:val="20"/>
          <w:szCs w:val="20"/>
        </w:rPr>
        <w:t>2020</w:t>
      </w:r>
      <w:r w:rsidRPr="007328D0">
        <w:rPr>
          <w:rFonts w:ascii="Cambria" w:hAnsi="Cambria" w:cs="Calibri Light"/>
          <w:color w:val="000000" w:themeColor="text1"/>
          <w:sz w:val="20"/>
          <w:szCs w:val="20"/>
        </w:rPr>
        <w:t xml:space="preserve">, the IACHR requested updated information on compliance from the State on </w:t>
      </w:r>
      <w:r w:rsidR="002419CA" w:rsidRPr="007328D0">
        <w:rPr>
          <w:rFonts w:ascii="Cambria" w:hAnsi="Cambria" w:cs="Calibri Light"/>
          <w:color w:val="000000" w:themeColor="text1"/>
          <w:sz w:val="20"/>
          <w:szCs w:val="20"/>
        </w:rPr>
        <w:t>August 18. T</w:t>
      </w:r>
      <w:r w:rsidRPr="007328D0">
        <w:rPr>
          <w:rFonts w:ascii="Cambria" w:hAnsi="Cambria" w:cs="Calibri Light"/>
          <w:color w:val="000000" w:themeColor="text1"/>
          <w:sz w:val="20"/>
          <w:szCs w:val="20"/>
        </w:rPr>
        <w:t xml:space="preserve">he State presented said information on September </w:t>
      </w:r>
      <w:r w:rsidR="00C33384" w:rsidRPr="007328D0">
        <w:rPr>
          <w:rFonts w:ascii="Cambria" w:hAnsi="Cambria" w:cs="Calibri Light"/>
          <w:color w:val="000000" w:themeColor="text1"/>
          <w:sz w:val="20"/>
          <w:szCs w:val="20"/>
        </w:rPr>
        <w:t>16</w:t>
      </w:r>
      <w:r w:rsidRPr="007328D0">
        <w:rPr>
          <w:rFonts w:ascii="Cambria" w:hAnsi="Cambria" w:cs="Calibri Light"/>
          <w:color w:val="000000" w:themeColor="text1"/>
          <w:sz w:val="20"/>
          <w:szCs w:val="20"/>
        </w:rPr>
        <w:t xml:space="preserve">. </w:t>
      </w:r>
    </w:p>
    <w:p w:rsidR="00165232" w:rsidRPr="007328D0" w:rsidRDefault="00165232" w:rsidP="007328D0">
      <w:pPr>
        <w:pStyle w:val="ListParagraph"/>
        <w:spacing w:after="0" w:line="240" w:lineRule="auto"/>
        <w:jc w:val="both"/>
        <w:rPr>
          <w:rFonts w:ascii="Cambria" w:hAnsi="Cambria" w:cs="Calibri Light"/>
          <w:color w:val="000000" w:themeColor="text1"/>
          <w:sz w:val="20"/>
          <w:szCs w:val="20"/>
        </w:rPr>
      </w:pPr>
    </w:p>
    <w:p w:rsidR="00165232" w:rsidRPr="007328D0" w:rsidRDefault="00B329DB" w:rsidP="007328D0">
      <w:pPr>
        <w:pStyle w:val="ListParagraph"/>
        <w:numPr>
          <w:ilvl w:val="0"/>
          <w:numId w:val="13"/>
        </w:numPr>
        <w:spacing w:after="0" w:line="240" w:lineRule="auto"/>
        <w:jc w:val="both"/>
        <w:rPr>
          <w:rFonts w:ascii="Cambria" w:hAnsi="Cambria" w:cs="Calibri Light"/>
          <w:color w:val="000000" w:themeColor="text1"/>
          <w:sz w:val="20"/>
          <w:szCs w:val="20"/>
        </w:rPr>
      </w:pPr>
      <w:r w:rsidRPr="007328D0">
        <w:rPr>
          <w:rFonts w:ascii="Cambria" w:hAnsi="Cambria" w:cs="Calibri Light"/>
          <w:color w:val="000000" w:themeColor="text1"/>
          <w:sz w:val="20"/>
          <w:szCs w:val="20"/>
        </w:rPr>
        <w:t xml:space="preserve">The IACHR requested updated information on compliance from the petitioner on </w:t>
      </w:r>
      <w:r w:rsidR="00C33384" w:rsidRPr="007328D0">
        <w:rPr>
          <w:rFonts w:ascii="Cambria" w:hAnsi="Cambria" w:cs="Calibri Light"/>
          <w:color w:val="000000" w:themeColor="text1"/>
          <w:sz w:val="20"/>
          <w:szCs w:val="20"/>
        </w:rPr>
        <w:t>August 18, 2020</w:t>
      </w:r>
      <w:r w:rsidR="003140F4" w:rsidRPr="007328D0">
        <w:rPr>
          <w:rFonts w:ascii="Cambria" w:hAnsi="Cambria" w:cs="Calibri Light"/>
          <w:color w:val="000000" w:themeColor="text1"/>
          <w:sz w:val="20"/>
          <w:szCs w:val="20"/>
        </w:rPr>
        <w:t xml:space="preserve">, and the </w:t>
      </w:r>
      <w:r w:rsidRPr="007328D0">
        <w:rPr>
          <w:rFonts w:ascii="Cambria" w:hAnsi="Cambria" w:cs="Calibri Light"/>
          <w:color w:val="000000" w:themeColor="text1"/>
          <w:sz w:val="20"/>
          <w:szCs w:val="20"/>
        </w:rPr>
        <w:t xml:space="preserve">petitioners presented said information on </w:t>
      </w:r>
      <w:r w:rsidR="00D162D6" w:rsidRPr="007328D0">
        <w:rPr>
          <w:rFonts w:ascii="Cambria" w:hAnsi="Cambria" w:cs="Calibri Light"/>
          <w:color w:val="000000" w:themeColor="text1"/>
          <w:sz w:val="20"/>
          <w:szCs w:val="20"/>
        </w:rPr>
        <w:t>October 6, 2020</w:t>
      </w:r>
      <w:r w:rsidR="0078140B" w:rsidRPr="007328D0">
        <w:rPr>
          <w:rFonts w:ascii="Cambria" w:hAnsi="Cambria" w:cs="Calibri Light"/>
          <w:color w:val="000000" w:themeColor="text1"/>
          <w:sz w:val="20"/>
          <w:szCs w:val="20"/>
        </w:rPr>
        <w:t xml:space="preserve">. </w:t>
      </w:r>
    </w:p>
    <w:p w:rsidR="00001E6B" w:rsidRPr="007328D0" w:rsidRDefault="00001E6B" w:rsidP="007328D0">
      <w:pPr>
        <w:spacing w:after="0" w:line="240" w:lineRule="auto"/>
        <w:jc w:val="both"/>
        <w:rPr>
          <w:rFonts w:ascii="Cambria" w:hAnsi="Cambria" w:cs="Calibri Light"/>
          <w:sz w:val="20"/>
          <w:szCs w:val="20"/>
        </w:rPr>
      </w:pPr>
    </w:p>
    <w:p w:rsidR="00C23226" w:rsidRPr="007328D0" w:rsidRDefault="00C23226" w:rsidP="007328D0">
      <w:pPr>
        <w:spacing w:after="0" w:line="240" w:lineRule="auto"/>
        <w:jc w:val="both"/>
        <w:rPr>
          <w:rFonts w:ascii="Cambria" w:hAnsi="Cambria" w:cs="Calibri Light"/>
          <w:sz w:val="20"/>
          <w:szCs w:val="20"/>
        </w:rPr>
      </w:pPr>
    </w:p>
    <w:p w:rsidR="00C23226" w:rsidRPr="007328D0" w:rsidRDefault="00C23226" w:rsidP="007328D0">
      <w:pPr>
        <w:spacing w:after="0" w:line="240" w:lineRule="auto"/>
        <w:jc w:val="both"/>
        <w:rPr>
          <w:rFonts w:ascii="Cambria" w:hAnsi="Cambria" w:cs="Calibri Light"/>
          <w:sz w:val="20"/>
          <w:szCs w:val="20"/>
        </w:rPr>
      </w:pPr>
    </w:p>
    <w:p w:rsidR="00C23226" w:rsidRPr="007328D0" w:rsidRDefault="00C23226" w:rsidP="007328D0">
      <w:pPr>
        <w:spacing w:after="0" w:line="240" w:lineRule="auto"/>
        <w:jc w:val="both"/>
        <w:rPr>
          <w:rFonts w:ascii="Cambria" w:hAnsi="Cambria" w:cs="Calibri Light"/>
          <w:sz w:val="20"/>
          <w:szCs w:val="20"/>
        </w:rPr>
      </w:pPr>
    </w:p>
    <w:p w:rsidR="00DE464D" w:rsidRPr="007328D0" w:rsidRDefault="00DE464D" w:rsidP="007328D0">
      <w:pPr>
        <w:pStyle w:val="ListParagraph"/>
        <w:numPr>
          <w:ilvl w:val="0"/>
          <w:numId w:val="1"/>
        </w:numPr>
        <w:spacing w:after="0" w:line="240" w:lineRule="auto"/>
        <w:ind w:left="1440"/>
        <w:jc w:val="both"/>
        <w:rPr>
          <w:rFonts w:ascii="Cambria" w:hAnsi="Cambria" w:cs="Calibri Light"/>
          <w:b/>
          <w:sz w:val="20"/>
          <w:szCs w:val="20"/>
        </w:rPr>
      </w:pPr>
      <w:r w:rsidRPr="007328D0">
        <w:rPr>
          <w:rFonts w:ascii="Cambria" w:hAnsi="Cambria" w:cs="Calibri Light"/>
          <w:b/>
          <w:sz w:val="20"/>
          <w:szCs w:val="20"/>
        </w:rPr>
        <w:lastRenderedPageBreak/>
        <w:t xml:space="preserve">Analysis of the information presented </w:t>
      </w:r>
    </w:p>
    <w:p w:rsidR="00DE464D" w:rsidRPr="007328D0" w:rsidRDefault="00DE464D" w:rsidP="007328D0">
      <w:pPr>
        <w:spacing w:after="0" w:line="240" w:lineRule="auto"/>
        <w:jc w:val="both"/>
        <w:rPr>
          <w:rFonts w:ascii="Cambria" w:hAnsi="Cambria" w:cs="Calibri Light"/>
          <w:sz w:val="20"/>
          <w:szCs w:val="20"/>
        </w:rPr>
      </w:pPr>
    </w:p>
    <w:p w:rsidR="00707C17" w:rsidRPr="007328D0" w:rsidRDefault="00707C17" w:rsidP="007328D0">
      <w:pPr>
        <w:pStyle w:val="ListParagraph"/>
        <w:numPr>
          <w:ilvl w:val="0"/>
          <w:numId w:val="13"/>
        </w:numPr>
        <w:spacing w:after="0" w:line="240" w:lineRule="auto"/>
        <w:jc w:val="both"/>
        <w:rPr>
          <w:rFonts w:ascii="Cambria" w:hAnsi="Cambria" w:cs="Calibri Light"/>
          <w:color w:val="000000" w:themeColor="text1"/>
          <w:sz w:val="20"/>
          <w:szCs w:val="20"/>
        </w:rPr>
      </w:pPr>
      <w:r w:rsidRPr="007328D0">
        <w:rPr>
          <w:rFonts w:ascii="Cambria" w:hAnsi="Cambria" w:cs="Calibri Light"/>
          <w:color w:val="000000" w:themeColor="text1"/>
          <w:sz w:val="20"/>
          <w:szCs w:val="20"/>
        </w:rPr>
        <w:t>The Commission considers that the information presented by the State</w:t>
      </w:r>
      <w:r w:rsidR="003C331F" w:rsidRPr="007328D0">
        <w:rPr>
          <w:rFonts w:ascii="Cambria" w:hAnsi="Cambria" w:cs="Calibri Light"/>
          <w:color w:val="000000" w:themeColor="text1"/>
          <w:sz w:val="20"/>
          <w:szCs w:val="20"/>
        </w:rPr>
        <w:t xml:space="preserve"> and the petitioners</w:t>
      </w:r>
      <w:r w:rsidRPr="007328D0">
        <w:rPr>
          <w:rFonts w:ascii="Cambria" w:hAnsi="Cambria" w:cs="Calibri Light"/>
          <w:color w:val="000000" w:themeColor="text1"/>
          <w:sz w:val="20"/>
          <w:szCs w:val="20"/>
        </w:rPr>
        <w:t xml:space="preserve"> in </w:t>
      </w:r>
      <w:r w:rsidR="00B85A5B" w:rsidRPr="007328D0">
        <w:rPr>
          <w:rFonts w:ascii="Cambria" w:hAnsi="Cambria" w:cs="Calibri Light"/>
          <w:color w:val="000000" w:themeColor="text1"/>
          <w:sz w:val="20"/>
          <w:szCs w:val="20"/>
        </w:rPr>
        <w:t xml:space="preserve">2020 is irrelevant to update on the follow-up of the case given that it is repetitive of the information presented in previous years, without presenting new information on measures taken recently to comply with </w:t>
      </w:r>
      <w:r w:rsidRPr="007328D0">
        <w:rPr>
          <w:rFonts w:ascii="Cambria" w:hAnsi="Cambria" w:cs="Calibri Light"/>
          <w:color w:val="000000" w:themeColor="text1"/>
          <w:sz w:val="20"/>
          <w:szCs w:val="20"/>
        </w:rPr>
        <w:t>at least one of the recommendations iss</w:t>
      </w:r>
      <w:r w:rsidR="007E5D55" w:rsidRPr="007328D0">
        <w:rPr>
          <w:rFonts w:ascii="Cambria" w:hAnsi="Cambria" w:cs="Calibri Light"/>
          <w:color w:val="000000" w:themeColor="text1"/>
          <w:sz w:val="20"/>
          <w:szCs w:val="20"/>
        </w:rPr>
        <w:t>ued in Merits Report No. 97/03.</w:t>
      </w:r>
    </w:p>
    <w:p w:rsidR="00707C17" w:rsidRPr="007328D0" w:rsidRDefault="00707C17" w:rsidP="007328D0">
      <w:pPr>
        <w:pStyle w:val="ListParagraph"/>
        <w:spacing w:after="0" w:line="240" w:lineRule="auto"/>
        <w:jc w:val="both"/>
        <w:rPr>
          <w:rFonts w:ascii="Cambria" w:hAnsi="Cambria" w:cs="Calibri Light"/>
          <w:color w:val="000000" w:themeColor="text1"/>
          <w:sz w:val="20"/>
          <w:szCs w:val="20"/>
        </w:rPr>
      </w:pPr>
    </w:p>
    <w:p w:rsidR="00ED5CD4" w:rsidRPr="007328D0" w:rsidRDefault="00ED5CD4" w:rsidP="007328D0">
      <w:pPr>
        <w:pStyle w:val="ListParagraph"/>
        <w:numPr>
          <w:ilvl w:val="0"/>
          <w:numId w:val="13"/>
        </w:numPr>
        <w:spacing w:after="0" w:line="240" w:lineRule="auto"/>
        <w:jc w:val="both"/>
        <w:rPr>
          <w:rFonts w:ascii="Cambria" w:hAnsi="Cambria" w:cs="Calibri Light"/>
          <w:color w:val="000000" w:themeColor="text1"/>
          <w:sz w:val="20"/>
          <w:szCs w:val="20"/>
        </w:rPr>
      </w:pPr>
      <w:r w:rsidRPr="007328D0">
        <w:rPr>
          <w:rFonts w:ascii="Cambria" w:hAnsi="Cambria" w:cs="Calibri Light"/>
          <w:color w:val="000000" w:themeColor="text1"/>
          <w:sz w:val="20"/>
          <w:szCs w:val="20"/>
        </w:rPr>
        <w:t xml:space="preserve">In this sense, because of the lack of updated information on the level of compliance with the recommendations, the IACHR reiterates the analysis of compliance and the conclusions made in its </w:t>
      </w:r>
      <w:r w:rsidR="00F10D89" w:rsidRPr="007328D0">
        <w:rPr>
          <w:rFonts w:ascii="Cambria" w:hAnsi="Cambria" w:cs="Calibri Light"/>
          <w:color w:val="000000" w:themeColor="text1"/>
          <w:sz w:val="20"/>
          <w:szCs w:val="20"/>
        </w:rPr>
        <w:t>2019</w:t>
      </w:r>
      <w:r w:rsidRPr="007328D0">
        <w:rPr>
          <w:rFonts w:ascii="Cambria" w:hAnsi="Cambria" w:cs="Calibri Light"/>
          <w:color w:val="000000" w:themeColor="text1"/>
          <w:sz w:val="20"/>
          <w:szCs w:val="20"/>
        </w:rPr>
        <w:t xml:space="preserve"> Annual Report.</w:t>
      </w:r>
    </w:p>
    <w:p w:rsidR="00DE464D" w:rsidRPr="007328D0" w:rsidRDefault="00B329DB" w:rsidP="007328D0">
      <w:pPr>
        <w:spacing w:after="0" w:line="240" w:lineRule="auto"/>
        <w:jc w:val="both"/>
        <w:rPr>
          <w:rFonts w:ascii="Cambria" w:hAnsi="Cambria" w:cs="Calibri Light"/>
          <w:color w:val="000000" w:themeColor="text1"/>
          <w:sz w:val="20"/>
          <w:szCs w:val="20"/>
        </w:rPr>
      </w:pPr>
      <w:r w:rsidRPr="007328D0">
        <w:rPr>
          <w:rFonts w:ascii="Cambria" w:hAnsi="Cambria" w:cs="Calibri Light"/>
          <w:color w:val="000000" w:themeColor="text1"/>
          <w:sz w:val="20"/>
          <w:szCs w:val="20"/>
        </w:rPr>
        <w:t xml:space="preserve"> </w:t>
      </w:r>
    </w:p>
    <w:p w:rsidR="00DE464D" w:rsidRPr="007328D0" w:rsidRDefault="00DE464D" w:rsidP="007328D0">
      <w:pPr>
        <w:pStyle w:val="ListParagraph"/>
        <w:numPr>
          <w:ilvl w:val="0"/>
          <w:numId w:val="1"/>
        </w:numPr>
        <w:spacing w:after="0" w:line="240" w:lineRule="auto"/>
        <w:ind w:left="1440"/>
        <w:jc w:val="both"/>
        <w:rPr>
          <w:rFonts w:ascii="Cambria" w:hAnsi="Cambria" w:cs="Calibri Light"/>
          <w:b/>
          <w:sz w:val="20"/>
          <w:szCs w:val="20"/>
        </w:rPr>
      </w:pPr>
      <w:r w:rsidRPr="007328D0">
        <w:rPr>
          <w:rFonts w:ascii="Cambria" w:hAnsi="Cambria" w:cs="Calibri Light"/>
          <w:b/>
          <w:sz w:val="20"/>
          <w:szCs w:val="20"/>
        </w:rPr>
        <w:t xml:space="preserve">Analysis of compliance with the recommendations </w:t>
      </w:r>
    </w:p>
    <w:p w:rsidR="00940682" w:rsidRPr="007328D0" w:rsidRDefault="00940682" w:rsidP="007328D0">
      <w:pPr>
        <w:pStyle w:val="ListParagraph"/>
        <w:spacing w:after="0" w:line="240" w:lineRule="auto"/>
        <w:rPr>
          <w:rFonts w:ascii="Cambria" w:hAnsi="Cambria"/>
          <w:sz w:val="20"/>
          <w:szCs w:val="20"/>
        </w:rPr>
      </w:pPr>
    </w:p>
    <w:p w:rsidR="00DC33B5" w:rsidRPr="007328D0" w:rsidRDefault="00FA5733" w:rsidP="007328D0">
      <w:pPr>
        <w:pStyle w:val="ListParagraph"/>
        <w:numPr>
          <w:ilvl w:val="0"/>
          <w:numId w:val="13"/>
        </w:numPr>
        <w:spacing w:after="0" w:line="240" w:lineRule="auto"/>
        <w:jc w:val="both"/>
        <w:rPr>
          <w:rFonts w:ascii="Cambria" w:hAnsi="Cambria"/>
          <w:sz w:val="20"/>
          <w:szCs w:val="20"/>
        </w:rPr>
      </w:pPr>
      <w:r w:rsidRPr="007328D0">
        <w:rPr>
          <w:rFonts w:ascii="Cambria" w:hAnsi="Cambria"/>
          <w:b/>
          <w:sz w:val="20"/>
          <w:szCs w:val="20"/>
        </w:rPr>
        <w:t>With regards to the first recommendation</w:t>
      </w:r>
      <w:r w:rsidRPr="007328D0">
        <w:rPr>
          <w:rFonts w:ascii="Cambria" w:hAnsi="Cambria"/>
          <w:sz w:val="20"/>
          <w:szCs w:val="20"/>
        </w:rPr>
        <w:t xml:space="preserve">, </w:t>
      </w:r>
      <w:r w:rsidR="006831E3" w:rsidRPr="007328D0">
        <w:rPr>
          <w:rFonts w:ascii="Cambria" w:hAnsi="Cambria"/>
          <w:sz w:val="20"/>
          <w:szCs w:val="20"/>
        </w:rPr>
        <w:t xml:space="preserve">in 2011, the </w:t>
      </w:r>
      <w:r w:rsidR="00DC33B5" w:rsidRPr="007328D0">
        <w:rPr>
          <w:rFonts w:ascii="Cambria" w:hAnsi="Cambria"/>
          <w:sz w:val="20"/>
          <w:szCs w:val="20"/>
        </w:rPr>
        <w:t xml:space="preserve">State </w:t>
      </w:r>
      <w:r w:rsidR="006831E3" w:rsidRPr="007328D0">
        <w:rPr>
          <w:rFonts w:ascii="Cambria" w:hAnsi="Cambria"/>
          <w:sz w:val="20"/>
          <w:szCs w:val="20"/>
        </w:rPr>
        <w:t xml:space="preserve">informed that </w:t>
      </w:r>
      <w:r w:rsidR="007407B6" w:rsidRPr="007328D0">
        <w:rPr>
          <w:rFonts w:ascii="Cambria" w:hAnsi="Cambria"/>
          <w:snapToGrid w:val="0"/>
          <w:sz w:val="20"/>
          <w:szCs w:val="20"/>
        </w:rPr>
        <w:t>neither domestic nor international law requires it to provide remedies to the families of persons whose execution was legal at the time it was carried out.</w:t>
      </w:r>
      <w:r w:rsidR="006831E3" w:rsidRPr="007328D0">
        <w:rPr>
          <w:rStyle w:val="FootnoteReference"/>
          <w:rFonts w:ascii="Cambria" w:hAnsi="Cambria"/>
          <w:snapToGrid w:val="0"/>
          <w:sz w:val="20"/>
          <w:szCs w:val="20"/>
        </w:rPr>
        <w:footnoteReference w:id="1"/>
      </w:r>
      <w:r w:rsidR="007407B6" w:rsidRPr="007328D0">
        <w:rPr>
          <w:rFonts w:ascii="Cambria" w:hAnsi="Cambria"/>
          <w:snapToGrid w:val="0"/>
          <w:sz w:val="20"/>
          <w:szCs w:val="20"/>
        </w:rPr>
        <w:t xml:space="preserve"> </w:t>
      </w:r>
      <w:r w:rsidR="001D3BF2" w:rsidRPr="007328D0">
        <w:rPr>
          <w:rFonts w:ascii="Cambria" w:hAnsi="Cambria" w:cs="Calibri Light"/>
          <w:color w:val="000000" w:themeColor="text1"/>
          <w:sz w:val="20"/>
          <w:szCs w:val="20"/>
        </w:rPr>
        <w:t xml:space="preserve">In </w:t>
      </w:r>
      <w:r w:rsidR="0033024D" w:rsidRPr="007328D0">
        <w:rPr>
          <w:rFonts w:ascii="Cambria" w:hAnsi="Cambria" w:cs="Calibri Light"/>
          <w:color w:val="000000" w:themeColor="text1"/>
          <w:sz w:val="20"/>
          <w:szCs w:val="20"/>
        </w:rPr>
        <w:t>2020</w:t>
      </w:r>
      <w:r w:rsidR="00ED5CD4" w:rsidRPr="007328D0">
        <w:rPr>
          <w:rFonts w:ascii="Cambria" w:hAnsi="Cambria" w:cs="Calibri Light"/>
          <w:color w:val="000000" w:themeColor="text1"/>
          <w:sz w:val="20"/>
          <w:szCs w:val="20"/>
        </w:rPr>
        <w:t>,</w:t>
      </w:r>
      <w:r w:rsidR="001D3BF2" w:rsidRPr="007328D0">
        <w:rPr>
          <w:rFonts w:ascii="Cambria" w:hAnsi="Cambria" w:cs="Calibri Light"/>
          <w:color w:val="000000" w:themeColor="text1"/>
          <w:sz w:val="20"/>
          <w:szCs w:val="20"/>
        </w:rPr>
        <w:t xml:space="preserve"> </w:t>
      </w:r>
      <w:r w:rsidR="00ED5CD4" w:rsidRPr="007328D0">
        <w:rPr>
          <w:rFonts w:ascii="Cambria" w:hAnsi="Cambria" w:cs="Calibri Light"/>
          <w:color w:val="000000" w:themeColor="text1"/>
          <w:sz w:val="20"/>
          <w:szCs w:val="20"/>
        </w:rPr>
        <w:t>the State reiterated</w:t>
      </w:r>
      <w:r w:rsidR="00C212CA" w:rsidRPr="007328D0">
        <w:rPr>
          <w:rFonts w:ascii="Cambria" w:hAnsi="Cambria" w:cs="Calibri Light"/>
          <w:color w:val="000000" w:themeColor="text1"/>
          <w:sz w:val="20"/>
          <w:szCs w:val="20"/>
        </w:rPr>
        <w:t xml:space="preserve"> </w:t>
      </w:r>
      <w:r w:rsidR="00B329DB" w:rsidRPr="007328D0">
        <w:rPr>
          <w:rFonts w:ascii="Cambria" w:hAnsi="Cambria"/>
          <w:color w:val="000000" w:themeColor="text1"/>
          <w:sz w:val="20"/>
          <w:szCs w:val="20"/>
        </w:rPr>
        <w:t xml:space="preserve">its earlier responses, without </w:t>
      </w:r>
      <w:r w:rsidR="000F2D4C" w:rsidRPr="007328D0">
        <w:rPr>
          <w:rFonts w:ascii="Cambria" w:hAnsi="Cambria"/>
          <w:color w:val="000000" w:themeColor="text1"/>
          <w:sz w:val="20"/>
          <w:szCs w:val="20"/>
        </w:rPr>
        <w:t>presenting new information on actions adopted to comply with this recommendation.</w:t>
      </w:r>
    </w:p>
    <w:p w:rsidR="00B329DB" w:rsidRPr="007328D0" w:rsidRDefault="00B329DB" w:rsidP="007328D0">
      <w:pPr>
        <w:spacing w:after="0" w:line="240" w:lineRule="auto"/>
        <w:jc w:val="both"/>
        <w:rPr>
          <w:rFonts w:ascii="Cambria" w:hAnsi="Cambria"/>
          <w:sz w:val="20"/>
          <w:szCs w:val="20"/>
        </w:rPr>
      </w:pPr>
    </w:p>
    <w:p w:rsidR="008F7EEA" w:rsidRPr="007328D0" w:rsidRDefault="00DC33B5" w:rsidP="007328D0">
      <w:pPr>
        <w:pStyle w:val="ListParagraph"/>
        <w:numPr>
          <w:ilvl w:val="0"/>
          <w:numId w:val="13"/>
        </w:numPr>
        <w:spacing w:after="0" w:line="240" w:lineRule="auto"/>
        <w:jc w:val="both"/>
        <w:rPr>
          <w:rFonts w:ascii="Cambria" w:hAnsi="Cambria" w:cs="Calibri Light"/>
          <w:color w:val="000000" w:themeColor="text1"/>
          <w:sz w:val="20"/>
          <w:szCs w:val="20"/>
        </w:rPr>
      </w:pPr>
      <w:r w:rsidRPr="007328D0">
        <w:rPr>
          <w:rFonts w:ascii="Cambria" w:hAnsi="Cambria"/>
          <w:sz w:val="20"/>
          <w:szCs w:val="20"/>
        </w:rPr>
        <w:t xml:space="preserve">In 2009, the petitioners informed that </w:t>
      </w:r>
      <w:r w:rsidR="007407B6" w:rsidRPr="007328D0">
        <w:rPr>
          <w:rFonts w:ascii="Cambria" w:hAnsi="Cambria"/>
          <w:sz w:val="20"/>
          <w:szCs w:val="20"/>
        </w:rPr>
        <w:t xml:space="preserve">they had ended their representation of the </w:t>
      </w:r>
      <w:r w:rsidRPr="007328D0">
        <w:rPr>
          <w:rFonts w:ascii="Cambria" w:hAnsi="Cambria"/>
          <w:sz w:val="20"/>
          <w:szCs w:val="20"/>
        </w:rPr>
        <w:t xml:space="preserve">victim’s </w:t>
      </w:r>
      <w:r w:rsidR="007407B6" w:rsidRPr="007328D0">
        <w:rPr>
          <w:rFonts w:ascii="Cambria" w:hAnsi="Cambria"/>
          <w:sz w:val="20"/>
          <w:szCs w:val="20"/>
        </w:rPr>
        <w:t xml:space="preserve">family because they were unable for many years to contact them. Accordingly, the </w:t>
      </w:r>
      <w:r w:rsidRPr="007328D0">
        <w:rPr>
          <w:rFonts w:ascii="Cambria" w:hAnsi="Cambria"/>
          <w:sz w:val="20"/>
          <w:szCs w:val="20"/>
        </w:rPr>
        <w:t xml:space="preserve">petitioners indicated that </w:t>
      </w:r>
      <w:r w:rsidR="007407B6" w:rsidRPr="007328D0">
        <w:rPr>
          <w:rFonts w:ascii="Cambria" w:hAnsi="Cambria"/>
          <w:sz w:val="20"/>
          <w:szCs w:val="20"/>
        </w:rPr>
        <w:t>they were not in a position to inform on compliance with th</w:t>
      </w:r>
      <w:r w:rsidRPr="007328D0">
        <w:rPr>
          <w:rFonts w:ascii="Cambria" w:hAnsi="Cambria"/>
          <w:sz w:val="20"/>
          <w:szCs w:val="20"/>
        </w:rPr>
        <w:t>is recommendation.</w:t>
      </w:r>
      <w:r w:rsidR="0052192A" w:rsidRPr="007328D0">
        <w:rPr>
          <w:rStyle w:val="FootnoteReference"/>
          <w:rFonts w:ascii="Cambria" w:hAnsi="Cambria"/>
          <w:sz w:val="20"/>
          <w:szCs w:val="20"/>
        </w:rPr>
        <w:footnoteReference w:id="2"/>
      </w:r>
      <w:r w:rsidRPr="007328D0">
        <w:rPr>
          <w:rFonts w:ascii="Cambria" w:hAnsi="Cambria"/>
          <w:sz w:val="20"/>
          <w:szCs w:val="20"/>
        </w:rPr>
        <w:t xml:space="preserve"> </w:t>
      </w:r>
      <w:r w:rsidR="008F7EEA" w:rsidRPr="007328D0">
        <w:rPr>
          <w:rFonts w:ascii="Cambria" w:hAnsi="Cambria"/>
          <w:color w:val="000000" w:themeColor="text1"/>
          <w:sz w:val="20"/>
          <w:szCs w:val="20"/>
        </w:rPr>
        <w:t xml:space="preserve">In 2019 and 2020, the petitioners </w:t>
      </w:r>
      <w:r w:rsidR="008F7EEA" w:rsidRPr="007328D0">
        <w:rPr>
          <w:rFonts w:ascii="Cambria" w:hAnsi="Cambria" w:cs="Calibri Light"/>
          <w:color w:val="000000" w:themeColor="text1"/>
          <w:sz w:val="20"/>
          <w:szCs w:val="20"/>
        </w:rPr>
        <w:t>informed that they had lost contact with the victim’s family, reason why they cannot present updated information about the compliance with the recommendations.</w:t>
      </w:r>
      <w:r w:rsidR="008F7EEA" w:rsidRPr="007328D0">
        <w:rPr>
          <w:rFonts w:ascii="Cambria" w:hAnsi="Cambria" w:cs="Calibri Light"/>
          <w:strike/>
          <w:color w:val="000000" w:themeColor="text1"/>
          <w:sz w:val="20"/>
          <w:szCs w:val="20"/>
        </w:rPr>
        <w:t xml:space="preserve">   </w:t>
      </w:r>
    </w:p>
    <w:p w:rsidR="00DC33B5" w:rsidRPr="007328D0" w:rsidRDefault="00DC33B5" w:rsidP="007328D0">
      <w:pPr>
        <w:spacing w:after="0" w:line="240" w:lineRule="auto"/>
        <w:jc w:val="both"/>
        <w:rPr>
          <w:rFonts w:ascii="Cambria" w:hAnsi="Cambria"/>
          <w:sz w:val="20"/>
          <w:szCs w:val="20"/>
        </w:rPr>
      </w:pPr>
    </w:p>
    <w:p w:rsidR="00DC33B5" w:rsidRPr="007328D0" w:rsidRDefault="00DC33B5" w:rsidP="007328D0">
      <w:pPr>
        <w:pStyle w:val="ListParagraph"/>
        <w:numPr>
          <w:ilvl w:val="0"/>
          <w:numId w:val="13"/>
        </w:numPr>
        <w:spacing w:after="0" w:line="240" w:lineRule="auto"/>
        <w:jc w:val="both"/>
        <w:rPr>
          <w:rFonts w:ascii="Cambria" w:hAnsi="Cambria" w:cs="Calibri Light"/>
          <w:sz w:val="20"/>
          <w:szCs w:val="20"/>
        </w:rPr>
      </w:pPr>
      <w:r w:rsidRPr="007328D0">
        <w:rPr>
          <w:rFonts w:ascii="Cambria" w:hAnsi="Cambria"/>
          <w:sz w:val="20"/>
          <w:szCs w:val="20"/>
        </w:rPr>
        <w:t xml:space="preserve">The Commission </w:t>
      </w:r>
      <w:r w:rsidRPr="007328D0">
        <w:rPr>
          <w:rFonts w:ascii="Cambria" w:hAnsi="Cambria" w:cs="Calibri Light"/>
          <w:sz w:val="20"/>
          <w:szCs w:val="20"/>
        </w:rPr>
        <w:t xml:space="preserve">reminds the State that it is a principle of international law that any breach of an international obligation </w:t>
      </w:r>
      <w:r w:rsidRPr="007328D0">
        <w:rPr>
          <w:rFonts w:ascii="Cambria" w:hAnsi="Cambria"/>
          <w:sz w:val="20"/>
          <w:szCs w:val="20"/>
        </w:rPr>
        <w:t>resulting in harm gives rise to the duty to adequately redress such harm.</w:t>
      </w:r>
      <w:r w:rsidRPr="007328D0">
        <w:rPr>
          <w:rStyle w:val="FootnoteReference"/>
          <w:rFonts w:ascii="Cambria" w:hAnsi="Cambria"/>
          <w:sz w:val="20"/>
          <w:szCs w:val="20"/>
        </w:rPr>
        <w:footnoteReference w:id="3"/>
      </w:r>
      <w:r w:rsidRPr="007328D0">
        <w:rPr>
          <w:rFonts w:ascii="Cambria" w:hAnsi="Cambria"/>
          <w:sz w:val="20"/>
          <w:szCs w:val="20"/>
        </w:rPr>
        <w:t xml:space="preserve"> In accordance with the jurisprudence of the inter-American system, victims of human rights violations have the right to adequate compensation for the harm suffered, which must be concretized through individual measures aimed at restoring, compensating and rehabilitating the victim, as well as satisfaction and guarantees of non-repetition.</w:t>
      </w:r>
      <w:r w:rsidRPr="007328D0">
        <w:rPr>
          <w:rStyle w:val="FootnoteReference"/>
          <w:rFonts w:ascii="Cambria" w:hAnsi="Cambria"/>
          <w:sz w:val="20"/>
          <w:szCs w:val="20"/>
        </w:rPr>
        <w:footnoteReference w:id="4"/>
      </w:r>
      <w:r w:rsidRPr="007328D0">
        <w:rPr>
          <w:rFonts w:ascii="Cambria" w:hAnsi="Cambria"/>
          <w:sz w:val="20"/>
          <w:szCs w:val="20"/>
        </w:rPr>
        <w:t xml:space="preserve"> Further, a State cannot modify or disregard this obligation by relying on its domestic law.</w:t>
      </w:r>
      <w:r w:rsidRPr="007328D0">
        <w:rPr>
          <w:rStyle w:val="FootnoteReference"/>
          <w:rFonts w:ascii="Cambria" w:hAnsi="Cambria"/>
          <w:sz w:val="20"/>
          <w:szCs w:val="20"/>
        </w:rPr>
        <w:footnoteReference w:id="5"/>
      </w:r>
      <w:r w:rsidRPr="007328D0">
        <w:rPr>
          <w:rFonts w:ascii="Cambria" w:hAnsi="Cambria"/>
          <w:sz w:val="20"/>
          <w:szCs w:val="20"/>
        </w:rPr>
        <w:t xml:space="preserve"> </w:t>
      </w:r>
      <w:r w:rsidRPr="007328D0">
        <w:rPr>
          <w:rFonts w:ascii="Cambria" w:hAnsi="Cambria" w:cs="Calibri Light"/>
          <w:sz w:val="20"/>
          <w:szCs w:val="20"/>
        </w:rPr>
        <w:t xml:space="preserve">Based on this, the Commission finds that Recommendation 1 is pending compliance. </w:t>
      </w:r>
    </w:p>
    <w:p w:rsidR="00FA5733" w:rsidRPr="007328D0" w:rsidRDefault="00FA5733" w:rsidP="007328D0">
      <w:pPr>
        <w:pStyle w:val="ListParagraph"/>
        <w:spacing w:after="0" w:line="240" w:lineRule="auto"/>
        <w:rPr>
          <w:rFonts w:ascii="Cambria" w:hAnsi="Cambria"/>
          <w:sz w:val="20"/>
          <w:szCs w:val="20"/>
        </w:rPr>
      </w:pPr>
    </w:p>
    <w:p w:rsidR="00AD54F9" w:rsidRPr="007328D0" w:rsidRDefault="00FA5733" w:rsidP="007328D0">
      <w:pPr>
        <w:pStyle w:val="ListParagraph"/>
        <w:numPr>
          <w:ilvl w:val="0"/>
          <w:numId w:val="13"/>
        </w:numPr>
        <w:spacing w:after="0" w:line="240" w:lineRule="auto"/>
        <w:jc w:val="both"/>
        <w:rPr>
          <w:rFonts w:ascii="Cambria" w:hAnsi="Cambria"/>
          <w:color w:val="000000" w:themeColor="text1"/>
          <w:sz w:val="20"/>
          <w:szCs w:val="20"/>
        </w:rPr>
      </w:pPr>
      <w:r w:rsidRPr="007328D0">
        <w:rPr>
          <w:rFonts w:ascii="Cambria" w:hAnsi="Cambria"/>
          <w:b/>
          <w:sz w:val="20"/>
          <w:szCs w:val="20"/>
        </w:rPr>
        <w:t>Regarding the second recommendation</w:t>
      </w:r>
      <w:r w:rsidRPr="007328D0">
        <w:rPr>
          <w:rFonts w:ascii="Cambria" w:hAnsi="Cambria"/>
          <w:sz w:val="20"/>
          <w:szCs w:val="20"/>
        </w:rPr>
        <w:t xml:space="preserve">, </w:t>
      </w:r>
      <w:r w:rsidR="00580AC6" w:rsidRPr="007328D0">
        <w:rPr>
          <w:rFonts w:ascii="Cambria" w:hAnsi="Cambria"/>
          <w:sz w:val="20"/>
          <w:szCs w:val="20"/>
        </w:rPr>
        <w:t xml:space="preserve">in 2011, </w:t>
      </w:r>
      <w:r w:rsidR="00687B3F" w:rsidRPr="007328D0">
        <w:rPr>
          <w:rFonts w:ascii="Cambria" w:hAnsi="Cambria"/>
          <w:sz w:val="20"/>
          <w:szCs w:val="20"/>
        </w:rPr>
        <w:t xml:space="preserve">the State </w:t>
      </w:r>
      <w:r w:rsidR="00580AC6" w:rsidRPr="007328D0">
        <w:rPr>
          <w:rFonts w:ascii="Cambria" w:hAnsi="Cambria"/>
          <w:sz w:val="20"/>
          <w:szCs w:val="20"/>
        </w:rPr>
        <w:t>reiterated that it declines this recommendation.</w:t>
      </w:r>
      <w:r w:rsidR="00580AC6" w:rsidRPr="007328D0">
        <w:rPr>
          <w:rStyle w:val="FootnoteReference"/>
          <w:rFonts w:ascii="Cambria" w:hAnsi="Cambria"/>
          <w:sz w:val="20"/>
          <w:szCs w:val="20"/>
        </w:rPr>
        <w:footnoteReference w:id="6"/>
      </w:r>
      <w:r w:rsidR="00580AC6" w:rsidRPr="007328D0">
        <w:rPr>
          <w:rFonts w:ascii="Cambria" w:hAnsi="Cambria"/>
          <w:sz w:val="20"/>
          <w:szCs w:val="20"/>
        </w:rPr>
        <w:t xml:space="preserve"> </w:t>
      </w:r>
      <w:r w:rsidR="00AD54F9" w:rsidRPr="007328D0">
        <w:rPr>
          <w:rFonts w:ascii="Cambria" w:hAnsi="Cambria"/>
          <w:color w:val="000000" w:themeColor="text1"/>
          <w:sz w:val="20"/>
          <w:szCs w:val="20"/>
        </w:rPr>
        <w:t xml:space="preserve">In </w:t>
      </w:r>
      <w:r w:rsidR="00F221ED" w:rsidRPr="007328D0">
        <w:rPr>
          <w:rFonts w:ascii="Cambria" w:hAnsi="Cambria"/>
          <w:color w:val="000000" w:themeColor="text1"/>
          <w:sz w:val="20"/>
          <w:szCs w:val="20"/>
        </w:rPr>
        <w:t>2020</w:t>
      </w:r>
      <w:r w:rsidR="00AD54F9" w:rsidRPr="007328D0">
        <w:rPr>
          <w:rFonts w:ascii="Cambria" w:hAnsi="Cambria"/>
          <w:color w:val="000000" w:themeColor="text1"/>
          <w:sz w:val="20"/>
          <w:szCs w:val="20"/>
        </w:rPr>
        <w:t>, the State reiterated its earlier responses regarding this Merits Report, without mentioning any efforts undertaken this year in order to comply with the recommendations of the IACHR.</w:t>
      </w:r>
    </w:p>
    <w:p w:rsidR="007407B6" w:rsidRPr="007328D0" w:rsidRDefault="007407B6" w:rsidP="007328D0">
      <w:pPr>
        <w:pStyle w:val="ListParagraph"/>
        <w:spacing w:after="0" w:line="240" w:lineRule="auto"/>
        <w:jc w:val="both"/>
        <w:rPr>
          <w:rFonts w:ascii="Cambria" w:hAnsi="Cambria"/>
          <w:color w:val="000000" w:themeColor="text1"/>
          <w:sz w:val="20"/>
          <w:szCs w:val="20"/>
        </w:rPr>
      </w:pPr>
    </w:p>
    <w:p w:rsidR="00B21D09" w:rsidRPr="007328D0" w:rsidRDefault="002126A2" w:rsidP="007328D0">
      <w:pPr>
        <w:pStyle w:val="ListParagraph"/>
        <w:numPr>
          <w:ilvl w:val="0"/>
          <w:numId w:val="13"/>
        </w:numPr>
        <w:spacing w:after="0" w:line="240" w:lineRule="auto"/>
        <w:jc w:val="both"/>
        <w:rPr>
          <w:rFonts w:ascii="Cambria" w:hAnsi="Cambria"/>
          <w:sz w:val="20"/>
          <w:szCs w:val="20"/>
        </w:rPr>
      </w:pPr>
      <w:r w:rsidRPr="007328D0">
        <w:rPr>
          <w:rFonts w:ascii="Cambria" w:hAnsi="Cambria"/>
          <w:sz w:val="20"/>
          <w:szCs w:val="20"/>
        </w:rPr>
        <w:t xml:space="preserve">In 2009, the petitioners informed that </w:t>
      </w:r>
      <w:r w:rsidR="007407B6" w:rsidRPr="007328D0">
        <w:rPr>
          <w:rFonts w:ascii="Cambria" w:hAnsi="Cambria"/>
          <w:sz w:val="20"/>
          <w:szCs w:val="20"/>
        </w:rPr>
        <w:t xml:space="preserve">they were unaware of any efforts </w:t>
      </w:r>
      <w:r w:rsidRPr="007328D0">
        <w:rPr>
          <w:rFonts w:ascii="Cambria" w:hAnsi="Cambria"/>
          <w:sz w:val="20"/>
          <w:szCs w:val="20"/>
        </w:rPr>
        <w:t xml:space="preserve">taken by the United States to </w:t>
      </w:r>
      <w:r w:rsidR="007407B6" w:rsidRPr="007328D0">
        <w:rPr>
          <w:rFonts w:ascii="Cambria" w:hAnsi="Cambria"/>
          <w:sz w:val="20"/>
          <w:szCs w:val="20"/>
        </w:rPr>
        <w:t>review its procedures and practices to ensure that violations similar to those in Mr. Shanko</w:t>
      </w:r>
      <w:r w:rsidRPr="007328D0">
        <w:rPr>
          <w:rFonts w:ascii="Cambria" w:hAnsi="Cambria"/>
          <w:sz w:val="20"/>
          <w:szCs w:val="20"/>
        </w:rPr>
        <w:t>fa’</w:t>
      </w:r>
      <w:r w:rsidR="007407B6" w:rsidRPr="007328D0">
        <w:rPr>
          <w:rFonts w:ascii="Cambria" w:hAnsi="Cambria"/>
          <w:sz w:val="20"/>
          <w:szCs w:val="20"/>
        </w:rPr>
        <w:t>s case do not occur in future capital proceedings</w:t>
      </w:r>
      <w:r w:rsidRPr="007328D0">
        <w:rPr>
          <w:rFonts w:ascii="Cambria" w:hAnsi="Cambria"/>
          <w:sz w:val="20"/>
          <w:szCs w:val="20"/>
        </w:rPr>
        <w:t>.</w:t>
      </w:r>
      <w:r w:rsidR="0052192A" w:rsidRPr="007328D0">
        <w:rPr>
          <w:rStyle w:val="FootnoteReference"/>
          <w:rFonts w:ascii="Cambria" w:hAnsi="Cambria"/>
          <w:sz w:val="20"/>
          <w:szCs w:val="20"/>
        </w:rPr>
        <w:footnoteReference w:id="7"/>
      </w:r>
      <w:r w:rsidRPr="007328D0">
        <w:rPr>
          <w:rFonts w:ascii="Cambria" w:hAnsi="Cambria"/>
          <w:sz w:val="20"/>
          <w:szCs w:val="20"/>
        </w:rPr>
        <w:t xml:space="preserve"> </w:t>
      </w:r>
      <w:r w:rsidR="00B1134E" w:rsidRPr="007328D0">
        <w:rPr>
          <w:rFonts w:ascii="Cambria" w:hAnsi="Cambria"/>
          <w:color w:val="000000" w:themeColor="text1"/>
          <w:sz w:val="20"/>
          <w:szCs w:val="20"/>
        </w:rPr>
        <w:t xml:space="preserve">In 2019 and 2020, the petitioners </w:t>
      </w:r>
      <w:r w:rsidR="00B1134E" w:rsidRPr="007328D0">
        <w:rPr>
          <w:rFonts w:ascii="Cambria" w:hAnsi="Cambria" w:cs="Calibri Light"/>
          <w:color w:val="000000" w:themeColor="text1"/>
          <w:sz w:val="20"/>
          <w:szCs w:val="20"/>
        </w:rPr>
        <w:t xml:space="preserve">informed that they had lost contact with the victim’s family, reason why they cannot present updated information </w:t>
      </w:r>
      <w:r w:rsidR="00B43522" w:rsidRPr="007328D0">
        <w:rPr>
          <w:rFonts w:ascii="Cambria" w:hAnsi="Cambria" w:cs="Calibri Light"/>
          <w:color w:val="000000" w:themeColor="text1"/>
          <w:sz w:val="20"/>
          <w:szCs w:val="20"/>
        </w:rPr>
        <w:t>on the case</w:t>
      </w:r>
      <w:r w:rsidR="00B1134E" w:rsidRPr="007328D0">
        <w:rPr>
          <w:rFonts w:ascii="Cambria" w:hAnsi="Cambria" w:cs="Calibri Light"/>
          <w:color w:val="000000" w:themeColor="text1"/>
          <w:sz w:val="20"/>
          <w:szCs w:val="20"/>
        </w:rPr>
        <w:t>.</w:t>
      </w:r>
      <w:r w:rsidR="00B1134E" w:rsidRPr="007328D0">
        <w:rPr>
          <w:rFonts w:ascii="Cambria" w:hAnsi="Cambria" w:cs="Calibri Light"/>
          <w:strike/>
          <w:color w:val="000000" w:themeColor="text1"/>
          <w:sz w:val="20"/>
          <w:szCs w:val="20"/>
        </w:rPr>
        <w:t xml:space="preserve">   </w:t>
      </w:r>
    </w:p>
    <w:p w:rsidR="00B21D09" w:rsidRPr="007328D0" w:rsidRDefault="00B21D09" w:rsidP="007328D0">
      <w:pPr>
        <w:pStyle w:val="ListParagraph"/>
        <w:rPr>
          <w:rFonts w:ascii="Cambria" w:hAnsi="Cambria" w:cs="Calibri Light"/>
          <w:sz w:val="20"/>
          <w:szCs w:val="20"/>
        </w:rPr>
      </w:pPr>
    </w:p>
    <w:p w:rsidR="00B21D09" w:rsidRPr="007328D0" w:rsidRDefault="00B21D09" w:rsidP="007328D0">
      <w:pPr>
        <w:pStyle w:val="ListParagraph"/>
        <w:numPr>
          <w:ilvl w:val="0"/>
          <w:numId w:val="13"/>
        </w:numPr>
        <w:spacing w:after="0" w:line="240" w:lineRule="auto"/>
        <w:jc w:val="both"/>
        <w:rPr>
          <w:rFonts w:ascii="Cambria" w:hAnsi="Cambria"/>
          <w:sz w:val="20"/>
          <w:szCs w:val="20"/>
        </w:rPr>
      </w:pPr>
      <w:r w:rsidRPr="007328D0">
        <w:rPr>
          <w:rFonts w:ascii="Cambria" w:hAnsi="Cambria" w:cs="Calibri Light"/>
          <w:sz w:val="20"/>
          <w:szCs w:val="20"/>
        </w:rPr>
        <w:t xml:space="preserve">The Commission recalls that the American Declaration is recognized as constituting a source of legal obligation for OAS Member States, including in particular those States that are not parties to the </w:t>
      </w:r>
      <w:r w:rsidRPr="007328D0">
        <w:rPr>
          <w:rFonts w:ascii="Cambria" w:hAnsi="Cambria" w:cs="Calibri Light"/>
          <w:sz w:val="20"/>
          <w:szCs w:val="20"/>
        </w:rPr>
        <w:lastRenderedPageBreak/>
        <w:t>American Convention on Human Rights.</w:t>
      </w:r>
      <w:r w:rsidRPr="007328D0">
        <w:rPr>
          <w:rStyle w:val="FootnoteReference"/>
          <w:rFonts w:ascii="Cambria" w:hAnsi="Cambria" w:cs="Calibri Light"/>
          <w:sz w:val="20"/>
          <w:szCs w:val="20"/>
        </w:rPr>
        <w:footnoteReference w:id="8"/>
      </w:r>
      <w:r w:rsidRPr="007328D0">
        <w:rPr>
          <w:rFonts w:ascii="Cambria" w:hAnsi="Cambria" w:cs="Calibri Light"/>
          <w:sz w:val="20"/>
          <w:szCs w:val="20"/>
        </w:rPr>
        <w:t xml:space="preserve"> Pursuant to article 31(1) of the Vienna Convention on the Law of Treaties, Member States are required to apply good faith efforts comply with the recommendations of supervisory bodies such as the Inter-American Commission.</w:t>
      </w:r>
      <w:r w:rsidRPr="007328D0">
        <w:rPr>
          <w:rStyle w:val="FootnoteReference"/>
          <w:rFonts w:ascii="Cambria" w:hAnsi="Cambria" w:cs="Calibri Light"/>
          <w:sz w:val="20"/>
          <w:szCs w:val="20"/>
        </w:rPr>
        <w:footnoteReference w:id="9"/>
      </w:r>
      <w:r w:rsidRPr="007328D0">
        <w:rPr>
          <w:rFonts w:ascii="Cambria" w:hAnsi="Cambria" w:cs="Calibri Light"/>
          <w:sz w:val="20"/>
          <w:szCs w:val="20"/>
        </w:rPr>
        <w:t xml:space="preserve"> Based on this, the Commission finds that Recommendation 2 is pending compliance. </w:t>
      </w:r>
    </w:p>
    <w:p w:rsidR="00FA5733" w:rsidRPr="007328D0" w:rsidRDefault="00FA5733" w:rsidP="007328D0">
      <w:pPr>
        <w:pStyle w:val="ListParagraph"/>
        <w:spacing w:after="0" w:line="240" w:lineRule="auto"/>
        <w:rPr>
          <w:rFonts w:ascii="Cambria" w:hAnsi="Cambria"/>
          <w:sz w:val="20"/>
          <w:szCs w:val="20"/>
        </w:rPr>
      </w:pPr>
    </w:p>
    <w:p w:rsidR="00FD0B53" w:rsidRPr="007328D0" w:rsidRDefault="00FA5733" w:rsidP="007328D0">
      <w:pPr>
        <w:pStyle w:val="ListParagraph"/>
        <w:numPr>
          <w:ilvl w:val="0"/>
          <w:numId w:val="13"/>
        </w:numPr>
        <w:spacing w:after="0" w:line="240" w:lineRule="auto"/>
        <w:jc w:val="both"/>
        <w:rPr>
          <w:rFonts w:ascii="Cambria" w:hAnsi="Cambria"/>
          <w:sz w:val="20"/>
          <w:szCs w:val="20"/>
        </w:rPr>
      </w:pPr>
      <w:r w:rsidRPr="007328D0">
        <w:rPr>
          <w:rFonts w:ascii="Cambria" w:hAnsi="Cambria"/>
          <w:b/>
          <w:sz w:val="20"/>
          <w:szCs w:val="20"/>
        </w:rPr>
        <w:t xml:space="preserve">With regards to the </w:t>
      </w:r>
      <w:r w:rsidR="0075421E" w:rsidRPr="007328D0">
        <w:rPr>
          <w:rFonts w:ascii="Cambria" w:hAnsi="Cambria"/>
          <w:b/>
          <w:sz w:val="20"/>
          <w:szCs w:val="20"/>
        </w:rPr>
        <w:t>third recommendation</w:t>
      </w:r>
      <w:r w:rsidR="0075421E" w:rsidRPr="007328D0">
        <w:rPr>
          <w:rFonts w:ascii="Cambria" w:hAnsi="Cambria"/>
          <w:sz w:val="20"/>
          <w:szCs w:val="20"/>
        </w:rPr>
        <w:t>, in 200</w:t>
      </w:r>
      <w:r w:rsidR="00FD0B53" w:rsidRPr="007328D0">
        <w:rPr>
          <w:rFonts w:ascii="Cambria" w:hAnsi="Cambria"/>
          <w:sz w:val="20"/>
          <w:szCs w:val="20"/>
        </w:rPr>
        <w:t>5</w:t>
      </w:r>
      <w:r w:rsidR="0075421E" w:rsidRPr="007328D0">
        <w:rPr>
          <w:rFonts w:ascii="Cambria" w:hAnsi="Cambria"/>
          <w:sz w:val="20"/>
          <w:szCs w:val="20"/>
        </w:rPr>
        <w:t xml:space="preserve">, the State informed that </w:t>
      </w:r>
      <w:r w:rsidR="00D97C88" w:rsidRPr="007328D0">
        <w:rPr>
          <w:rFonts w:ascii="Cambria" w:hAnsi="Cambria"/>
          <w:sz w:val="20"/>
          <w:szCs w:val="20"/>
        </w:rPr>
        <w:t xml:space="preserve">on March 1, 2005, the </w:t>
      </w:r>
      <w:r w:rsidR="00FD0B53" w:rsidRPr="007328D0">
        <w:rPr>
          <w:rFonts w:ascii="Cambria" w:hAnsi="Cambria"/>
          <w:sz w:val="20"/>
          <w:szCs w:val="20"/>
        </w:rPr>
        <w:t xml:space="preserve">Supreme Court of the United States </w:t>
      </w:r>
      <w:r w:rsidR="00D97C88" w:rsidRPr="007328D0">
        <w:rPr>
          <w:rFonts w:ascii="Cambria" w:hAnsi="Cambria"/>
          <w:sz w:val="20"/>
          <w:szCs w:val="20"/>
        </w:rPr>
        <w:t xml:space="preserve">held </w:t>
      </w:r>
      <w:r w:rsidR="00FD0B53" w:rsidRPr="007328D0">
        <w:rPr>
          <w:rFonts w:ascii="Cambria" w:hAnsi="Cambria"/>
          <w:sz w:val="20"/>
          <w:szCs w:val="20"/>
        </w:rPr>
        <w:t xml:space="preserve">in </w:t>
      </w:r>
      <w:r w:rsidR="00FD0B53" w:rsidRPr="007328D0">
        <w:rPr>
          <w:rFonts w:ascii="Cambria" w:hAnsi="Cambria"/>
          <w:i/>
          <w:sz w:val="20"/>
          <w:szCs w:val="20"/>
        </w:rPr>
        <w:t>Roper v. Simmons</w:t>
      </w:r>
      <w:r w:rsidR="00FD0B53" w:rsidRPr="007328D0">
        <w:rPr>
          <w:rStyle w:val="FootnoteReference"/>
          <w:rFonts w:ascii="Cambria" w:hAnsi="Cambria"/>
          <w:sz w:val="20"/>
          <w:szCs w:val="20"/>
        </w:rPr>
        <w:footnoteReference w:id="10"/>
      </w:r>
      <w:r w:rsidR="00FD0B53" w:rsidRPr="007328D0">
        <w:rPr>
          <w:rFonts w:ascii="Cambria" w:hAnsi="Cambria"/>
          <w:sz w:val="20"/>
          <w:szCs w:val="20"/>
        </w:rPr>
        <w:t xml:space="preserve"> that the Eighth and Fourteenth Amendments to the Constitution of the United States prohibit the imposition of the</w:t>
      </w:r>
      <w:r w:rsidR="00FD0B53" w:rsidRPr="007328D0">
        <w:rPr>
          <w:rFonts w:ascii="Cambria" w:hAnsi="Cambria"/>
          <w:i/>
          <w:sz w:val="20"/>
          <w:szCs w:val="20"/>
        </w:rPr>
        <w:t xml:space="preserve"> </w:t>
      </w:r>
      <w:r w:rsidR="00FD0B53" w:rsidRPr="007328D0">
        <w:rPr>
          <w:rFonts w:ascii="Cambria" w:hAnsi="Cambria"/>
          <w:sz w:val="20"/>
          <w:szCs w:val="20"/>
        </w:rPr>
        <w:t>death penalty on persons who were under the age of 18 at the time the crimes for which they were sentenced were committed.</w:t>
      </w:r>
      <w:r w:rsidR="0052192A" w:rsidRPr="007328D0">
        <w:rPr>
          <w:rStyle w:val="FootnoteReference"/>
          <w:rFonts w:ascii="Cambria" w:hAnsi="Cambria"/>
          <w:sz w:val="20"/>
          <w:szCs w:val="20"/>
        </w:rPr>
        <w:footnoteReference w:id="11"/>
      </w:r>
      <w:r w:rsidR="00FD0B53" w:rsidRPr="007328D0">
        <w:rPr>
          <w:rFonts w:ascii="Cambria" w:hAnsi="Cambria"/>
          <w:sz w:val="20"/>
          <w:szCs w:val="20"/>
        </w:rPr>
        <w:t xml:space="preserve">  </w:t>
      </w:r>
    </w:p>
    <w:p w:rsidR="00C75F08" w:rsidRPr="007328D0" w:rsidRDefault="00C75F08" w:rsidP="007328D0">
      <w:pPr>
        <w:pStyle w:val="ListParagraph"/>
        <w:rPr>
          <w:rFonts w:ascii="Cambria" w:hAnsi="Cambria"/>
          <w:sz w:val="20"/>
          <w:szCs w:val="20"/>
        </w:rPr>
      </w:pPr>
    </w:p>
    <w:p w:rsidR="00C75F08" w:rsidRPr="007328D0" w:rsidRDefault="00C75F08" w:rsidP="007328D0">
      <w:pPr>
        <w:pStyle w:val="ListParagraph"/>
        <w:numPr>
          <w:ilvl w:val="0"/>
          <w:numId w:val="13"/>
        </w:numPr>
        <w:spacing w:after="0" w:line="240" w:lineRule="auto"/>
        <w:jc w:val="both"/>
        <w:rPr>
          <w:rFonts w:ascii="Cambria" w:hAnsi="Cambria"/>
          <w:sz w:val="20"/>
          <w:szCs w:val="20"/>
        </w:rPr>
      </w:pPr>
      <w:r w:rsidRPr="007328D0">
        <w:rPr>
          <w:rFonts w:ascii="Cambria" w:hAnsi="Cambria"/>
          <w:sz w:val="20"/>
          <w:szCs w:val="20"/>
        </w:rPr>
        <w:t xml:space="preserve">In 2009, the petitioners informed the Commission of the precedent set in </w:t>
      </w:r>
      <w:r w:rsidRPr="007328D0">
        <w:rPr>
          <w:rFonts w:ascii="Cambria" w:hAnsi="Cambria"/>
          <w:i/>
          <w:sz w:val="20"/>
          <w:szCs w:val="20"/>
        </w:rPr>
        <w:t>Roper v. Simmons</w:t>
      </w:r>
      <w:r w:rsidRPr="007328D0">
        <w:rPr>
          <w:rFonts w:ascii="Cambria" w:hAnsi="Cambria"/>
          <w:sz w:val="20"/>
          <w:szCs w:val="20"/>
        </w:rPr>
        <w:t>.</w:t>
      </w:r>
      <w:r w:rsidR="0052192A" w:rsidRPr="007328D0">
        <w:rPr>
          <w:rStyle w:val="FootnoteReference"/>
          <w:rFonts w:ascii="Cambria" w:hAnsi="Cambria"/>
          <w:sz w:val="20"/>
          <w:szCs w:val="20"/>
        </w:rPr>
        <w:footnoteReference w:id="12"/>
      </w:r>
      <w:r w:rsidRPr="007328D0">
        <w:rPr>
          <w:rFonts w:ascii="Cambria" w:hAnsi="Cambria"/>
          <w:sz w:val="20"/>
          <w:szCs w:val="20"/>
        </w:rPr>
        <w:t xml:space="preserve"> </w:t>
      </w:r>
    </w:p>
    <w:p w:rsidR="00C75F08" w:rsidRPr="007328D0" w:rsidRDefault="00C75F08" w:rsidP="007328D0">
      <w:pPr>
        <w:pStyle w:val="ListParagraph"/>
        <w:rPr>
          <w:rFonts w:ascii="Cambria" w:hAnsi="Cambria"/>
          <w:sz w:val="20"/>
          <w:szCs w:val="20"/>
        </w:rPr>
      </w:pPr>
    </w:p>
    <w:p w:rsidR="00FA5733" w:rsidRPr="007328D0" w:rsidRDefault="00C75F08" w:rsidP="007328D0">
      <w:pPr>
        <w:pStyle w:val="ListParagraph"/>
        <w:numPr>
          <w:ilvl w:val="0"/>
          <w:numId w:val="13"/>
        </w:numPr>
        <w:spacing w:after="0" w:line="240" w:lineRule="auto"/>
        <w:jc w:val="both"/>
        <w:rPr>
          <w:rFonts w:ascii="Cambria" w:hAnsi="Cambria"/>
          <w:sz w:val="20"/>
          <w:szCs w:val="20"/>
        </w:rPr>
      </w:pPr>
      <w:r w:rsidRPr="007328D0">
        <w:rPr>
          <w:rFonts w:ascii="Cambria" w:hAnsi="Cambria"/>
          <w:sz w:val="20"/>
          <w:szCs w:val="20"/>
        </w:rPr>
        <w:t xml:space="preserve">The Commission takes special note of the Supreme Court decision in </w:t>
      </w:r>
      <w:r w:rsidRPr="007328D0">
        <w:rPr>
          <w:rFonts w:ascii="Cambria" w:hAnsi="Cambria"/>
          <w:i/>
          <w:iCs/>
          <w:sz w:val="20"/>
          <w:szCs w:val="20"/>
        </w:rPr>
        <w:t>Roper v. Simmons</w:t>
      </w:r>
      <w:r w:rsidRPr="007328D0">
        <w:rPr>
          <w:rFonts w:ascii="Cambria" w:hAnsi="Cambria"/>
          <w:sz w:val="20"/>
          <w:szCs w:val="20"/>
        </w:rPr>
        <w:t xml:space="preserve"> which </w:t>
      </w:r>
      <w:r w:rsidR="00D97C88" w:rsidRPr="007328D0">
        <w:rPr>
          <w:rFonts w:ascii="Cambria" w:hAnsi="Cambria"/>
          <w:sz w:val="20"/>
          <w:szCs w:val="20"/>
        </w:rPr>
        <w:t xml:space="preserve">held that the Eighth and Fourteenth Amendments to the Constitution of the United States prohibit </w:t>
      </w:r>
      <w:r w:rsidRPr="007328D0">
        <w:rPr>
          <w:rFonts w:ascii="Cambria" w:hAnsi="Cambria"/>
          <w:sz w:val="20"/>
          <w:szCs w:val="20"/>
        </w:rPr>
        <w:t xml:space="preserve">the imposition of the death penalty on individuals who were under the age of 18 at the time of commission of the crime. </w:t>
      </w:r>
      <w:r w:rsidR="00FA5733" w:rsidRPr="007328D0">
        <w:rPr>
          <w:rFonts w:ascii="Cambria" w:hAnsi="Cambria"/>
          <w:sz w:val="20"/>
          <w:szCs w:val="20"/>
        </w:rPr>
        <w:t xml:space="preserve">Based on this, the Commission finds that Recommendation 3 is </w:t>
      </w:r>
      <w:r w:rsidRPr="007328D0">
        <w:rPr>
          <w:rFonts w:ascii="Cambria" w:hAnsi="Cambria"/>
          <w:sz w:val="20"/>
          <w:szCs w:val="20"/>
        </w:rPr>
        <w:t xml:space="preserve">totally complied. </w:t>
      </w:r>
      <w:r w:rsidR="00FA5733" w:rsidRPr="007328D0">
        <w:rPr>
          <w:rFonts w:ascii="Cambria" w:hAnsi="Cambria"/>
          <w:sz w:val="20"/>
          <w:szCs w:val="20"/>
        </w:rPr>
        <w:t xml:space="preserve"> </w:t>
      </w:r>
    </w:p>
    <w:p w:rsidR="00FA5733" w:rsidRPr="007328D0" w:rsidRDefault="00FA5733" w:rsidP="007328D0">
      <w:pPr>
        <w:pStyle w:val="ListParagraph"/>
        <w:spacing w:after="0" w:line="240" w:lineRule="auto"/>
        <w:rPr>
          <w:rFonts w:ascii="Cambria" w:hAnsi="Cambria"/>
          <w:sz w:val="20"/>
          <w:szCs w:val="20"/>
        </w:rPr>
      </w:pPr>
      <w:r w:rsidRPr="007328D0">
        <w:rPr>
          <w:rFonts w:ascii="Cambria" w:hAnsi="Cambria"/>
          <w:sz w:val="20"/>
          <w:szCs w:val="20"/>
        </w:rPr>
        <w:t xml:space="preserve"> </w:t>
      </w:r>
    </w:p>
    <w:p w:rsidR="00DE464D" w:rsidRPr="007328D0" w:rsidRDefault="00FA5733" w:rsidP="007328D0">
      <w:pPr>
        <w:pStyle w:val="ListParagraph"/>
        <w:numPr>
          <w:ilvl w:val="0"/>
          <w:numId w:val="1"/>
        </w:numPr>
        <w:spacing w:after="0" w:line="240" w:lineRule="auto"/>
        <w:ind w:left="1440"/>
        <w:jc w:val="both"/>
        <w:rPr>
          <w:rFonts w:ascii="Cambria" w:hAnsi="Cambria" w:cs="Calibri Light"/>
          <w:b/>
          <w:sz w:val="20"/>
          <w:szCs w:val="20"/>
        </w:rPr>
      </w:pPr>
      <w:r w:rsidRPr="007328D0">
        <w:rPr>
          <w:rFonts w:ascii="Cambria" w:hAnsi="Cambria" w:cs="Calibri Light"/>
          <w:b/>
          <w:sz w:val="20"/>
          <w:szCs w:val="20"/>
        </w:rPr>
        <w:t>Level</w:t>
      </w:r>
      <w:r w:rsidR="00DE464D" w:rsidRPr="007328D0">
        <w:rPr>
          <w:rFonts w:ascii="Cambria" w:hAnsi="Cambria" w:cs="Calibri Light"/>
          <w:b/>
          <w:sz w:val="20"/>
          <w:szCs w:val="20"/>
        </w:rPr>
        <w:t xml:space="preserve"> of compliance of the case  </w:t>
      </w:r>
    </w:p>
    <w:p w:rsidR="00DE464D" w:rsidRPr="007328D0" w:rsidRDefault="00DE464D" w:rsidP="007328D0">
      <w:pPr>
        <w:spacing w:after="0" w:line="240" w:lineRule="auto"/>
        <w:jc w:val="both"/>
        <w:rPr>
          <w:rFonts w:ascii="Cambria" w:hAnsi="Cambria" w:cs="Calibri Light"/>
          <w:sz w:val="20"/>
          <w:szCs w:val="20"/>
        </w:rPr>
      </w:pPr>
    </w:p>
    <w:p w:rsidR="00FA5733" w:rsidRPr="007328D0" w:rsidRDefault="00FA5733" w:rsidP="007328D0">
      <w:pPr>
        <w:pStyle w:val="ListParagraph"/>
        <w:numPr>
          <w:ilvl w:val="0"/>
          <w:numId w:val="13"/>
        </w:numPr>
        <w:spacing w:after="0" w:line="240" w:lineRule="auto"/>
        <w:jc w:val="both"/>
        <w:rPr>
          <w:rFonts w:ascii="Cambria" w:hAnsi="Cambria" w:cs="Calibri Light"/>
          <w:sz w:val="20"/>
          <w:szCs w:val="20"/>
        </w:rPr>
      </w:pPr>
      <w:r w:rsidRPr="007328D0">
        <w:rPr>
          <w:rFonts w:ascii="Cambria" w:hAnsi="Cambria" w:cs="Calibri Light"/>
          <w:sz w:val="20"/>
          <w:szCs w:val="20"/>
        </w:rPr>
        <w:t>Based on the foregoing, the Commission concludes that the level of compliance of the case is partial. Consequently, the Commission will continue to monitor Recommendations 1 and 2.</w:t>
      </w:r>
    </w:p>
    <w:p w:rsidR="00A22E2B" w:rsidRPr="007328D0" w:rsidRDefault="00A22E2B" w:rsidP="007328D0">
      <w:pPr>
        <w:pStyle w:val="ListParagraph"/>
        <w:spacing w:after="0" w:line="240" w:lineRule="auto"/>
        <w:jc w:val="both"/>
        <w:rPr>
          <w:rFonts w:ascii="Cambria" w:hAnsi="Cambria" w:cs="Calibri Light"/>
          <w:sz w:val="20"/>
          <w:szCs w:val="20"/>
        </w:rPr>
      </w:pPr>
    </w:p>
    <w:p w:rsidR="00A22E2B" w:rsidRPr="007328D0" w:rsidRDefault="00A22E2B" w:rsidP="007328D0">
      <w:pPr>
        <w:pStyle w:val="ListParagraph"/>
        <w:numPr>
          <w:ilvl w:val="0"/>
          <w:numId w:val="13"/>
        </w:numPr>
        <w:spacing w:after="0" w:line="240" w:lineRule="auto"/>
        <w:jc w:val="both"/>
        <w:rPr>
          <w:rFonts w:ascii="Cambria" w:hAnsi="Cambria" w:cs="Calibri Light"/>
          <w:sz w:val="20"/>
          <w:szCs w:val="20"/>
        </w:rPr>
      </w:pPr>
      <w:r w:rsidRPr="007328D0">
        <w:rPr>
          <w:rFonts w:ascii="Cambria" w:hAnsi="Cambria" w:cs="Calibri Light"/>
          <w:sz w:val="20"/>
          <w:szCs w:val="20"/>
        </w:rPr>
        <w:t xml:space="preserve">The Commission </w:t>
      </w:r>
      <w:r w:rsidR="001658AB" w:rsidRPr="007328D0">
        <w:rPr>
          <w:rFonts w:ascii="Cambria" w:hAnsi="Cambria" w:cs="Calibri Light"/>
          <w:sz w:val="20"/>
          <w:szCs w:val="20"/>
        </w:rPr>
        <w:t>calls</w:t>
      </w:r>
      <w:r w:rsidRPr="007328D0">
        <w:rPr>
          <w:rFonts w:ascii="Cambria" w:hAnsi="Cambria" w:cs="Calibri Light"/>
          <w:sz w:val="20"/>
          <w:szCs w:val="20"/>
        </w:rPr>
        <w:t xml:space="preserve"> the State to adopt actions to implement the recommendations issued in Merits Report No. 97/03 and to provide it with detailed and up</w:t>
      </w:r>
      <w:r w:rsidR="0052192A" w:rsidRPr="007328D0">
        <w:rPr>
          <w:rFonts w:ascii="Cambria" w:hAnsi="Cambria" w:cs="Calibri Light"/>
          <w:sz w:val="20"/>
          <w:szCs w:val="20"/>
        </w:rPr>
        <w:t>-</w:t>
      </w:r>
      <w:r w:rsidRPr="007328D0">
        <w:rPr>
          <w:rFonts w:ascii="Cambria" w:hAnsi="Cambria" w:cs="Calibri Light"/>
          <w:sz w:val="20"/>
          <w:szCs w:val="20"/>
        </w:rPr>
        <w:t>to</w:t>
      </w:r>
      <w:r w:rsidR="0052192A" w:rsidRPr="007328D0">
        <w:rPr>
          <w:rFonts w:ascii="Cambria" w:hAnsi="Cambria" w:cs="Calibri Light"/>
          <w:sz w:val="20"/>
          <w:szCs w:val="20"/>
        </w:rPr>
        <w:t>-</w:t>
      </w:r>
      <w:r w:rsidRPr="007328D0">
        <w:rPr>
          <w:rFonts w:ascii="Cambria" w:hAnsi="Cambria" w:cs="Calibri Light"/>
          <w:sz w:val="20"/>
          <w:szCs w:val="20"/>
        </w:rPr>
        <w:t xml:space="preserve">date information about these actions. At the same time, the IACHR invites the petitioners </w:t>
      </w:r>
      <w:r w:rsidR="00555F5A" w:rsidRPr="007328D0">
        <w:rPr>
          <w:rFonts w:ascii="Cambria" w:hAnsi="Cambria" w:cs="Calibri Light"/>
          <w:sz w:val="20"/>
          <w:szCs w:val="20"/>
        </w:rPr>
        <w:t xml:space="preserve">to renew its efforts to reestablish </w:t>
      </w:r>
      <w:r w:rsidR="00145470" w:rsidRPr="007328D0">
        <w:rPr>
          <w:rFonts w:ascii="Cambria" w:hAnsi="Cambria" w:cs="Calibri Light"/>
          <w:sz w:val="20"/>
          <w:szCs w:val="20"/>
        </w:rPr>
        <w:t>contact the victim’s family members, and</w:t>
      </w:r>
      <w:r w:rsidR="00B329DB" w:rsidRPr="007328D0">
        <w:rPr>
          <w:rFonts w:ascii="Cambria" w:hAnsi="Cambria" w:cs="Calibri Light"/>
          <w:sz w:val="20"/>
          <w:szCs w:val="20"/>
        </w:rPr>
        <w:t xml:space="preserve"> </w:t>
      </w:r>
      <w:r w:rsidRPr="007328D0">
        <w:rPr>
          <w:rFonts w:ascii="Cambria" w:hAnsi="Cambria" w:cs="Calibri Light"/>
          <w:sz w:val="20"/>
          <w:szCs w:val="20"/>
        </w:rPr>
        <w:t xml:space="preserve">to present information about measures adopted </w:t>
      </w:r>
      <w:r w:rsidR="00820667" w:rsidRPr="007328D0">
        <w:rPr>
          <w:rFonts w:ascii="Cambria" w:hAnsi="Cambria" w:cs="Calibri Light"/>
          <w:sz w:val="20"/>
          <w:szCs w:val="20"/>
        </w:rPr>
        <w:t xml:space="preserve">by the State </w:t>
      </w:r>
      <w:r w:rsidRPr="007328D0">
        <w:rPr>
          <w:rFonts w:ascii="Cambria" w:hAnsi="Cambria" w:cs="Calibri Light"/>
          <w:sz w:val="20"/>
          <w:szCs w:val="20"/>
        </w:rPr>
        <w:t xml:space="preserve">to comply with the Commission’s recommendations.  </w:t>
      </w:r>
    </w:p>
    <w:p w:rsidR="00DE464D" w:rsidRPr="007328D0" w:rsidRDefault="00DE464D" w:rsidP="007328D0">
      <w:pPr>
        <w:spacing w:after="0" w:line="240" w:lineRule="auto"/>
        <w:rPr>
          <w:rFonts w:ascii="Cambria" w:hAnsi="Cambria"/>
          <w:sz w:val="20"/>
          <w:szCs w:val="20"/>
        </w:rPr>
      </w:pPr>
    </w:p>
    <w:p w:rsidR="00DE464D" w:rsidRPr="007328D0" w:rsidRDefault="00DE464D" w:rsidP="007328D0">
      <w:pPr>
        <w:pStyle w:val="ListParagraph"/>
        <w:numPr>
          <w:ilvl w:val="0"/>
          <w:numId w:val="1"/>
        </w:numPr>
        <w:spacing w:after="0" w:line="240" w:lineRule="auto"/>
        <w:ind w:left="1440"/>
        <w:rPr>
          <w:rFonts w:ascii="Cambria" w:hAnsi="Cambria"/>
          <w:b/>
          <w:sz w:val="20"/>
          <w:szCs w:val="20"/>
        </w:rPr>
      </w:pPr>
      <w:r w:rsidRPr="007328D0">
        <w:rPr>
          <w:rFonts w:ascii="Cambria" w:hAnsi="Cambria"/>
          <w:b/>
          <w:sz w:val="20"/>
          <w:szCs w:val="20"/>
        </w:rPr>
        <w:t xml:space="preserve">Individual and structural </w:t>
      </w:r>
      <w:r w:rsidR="00D97C88" w:rsidRPr="007328D0">
        <w:rPr>
          <w:rFonts w:ascii="Cambria" w:hAnsi="Cambria"/>
          <w:b/>
          <w:sz w:val="20"/>
          <w:szCs w:val="20"/>
        </w:rPr>
        <w:t>results</w:t>
      </w:r>
      <w:r w:rsidRPr="007328D0">
        <w:rPr>
          <w:rFonts w:ascii="Cambria" w:hAnsi="Cambria"/>
          <w:b/>
          <w:sz w:val="20"/>
          <w:szCs w:val="20"/>
        </w:rPr>
        <w:t xml:space="preserve"> of the case </w:t>
      </w:r>
    </w:p>
    <w:p w:rsidR="00DE464D" w:rsidRPr="007328D0" w:rsidRDefault="00DE464D" w:rsidP="007328D0">
      <w:pPr>
        <w:spacing w:after="0" w:line="240" w:lineRule="auto"/>
        <w:rPr>
          <w:rFonts w:ascii="Cambria" w:hAnsi="Cambria"/>
          <w:sz w:val="20"/>
          <w:szCs w:val="20"/>
        </w:rPr>
      </w:pPr>
    </w:p>
    <w:p w:rsidR="00D97C88" w:rsidRPr="007328D0" w:rsidRDefault="00D97C88" w:rsidP="007328D0">
      <w:pPr>
        <w:pStyle w:val="ListParagraph"/>
        <w:numPr>
          <w:ilvl w:val="0"/>
          <w:numId w:val="13"/>
        </w:numPr>
        <w:spacing w:after="0" w:line="240" w:lineRule="auto"/>
        <w:jc w:val="both"/>
        <w:rPr>
          <w:rFonts w:ascii="Cambria" w:hAnsi="Cambria"/>
          <w:sz w:val="20"/>
          <w:szCs w:val="20"/>
        </w:rPr>
      </w:pPr>
      <w:r w:rsidRPr="007328D0">
        <w:rPr>
          <w:rFonts w:ascii="Cambria" w:hAnsi="Cambria"/>
          <w:sz w:val="20"/>
          <w:szCs w:val="20"/>
        </w:rPr>
        <w:t xml:space="preserve">This section highlights the individual and structural results of the case </w:t>
      </w:r>
      <w:r w:rsidR="00996AF5" w:rsidRPr="007328D0">
        <w:rPr>
          <w:rFonts w:ascii="Cambria" w:hAnsi="Cambria"/>
          <w:sz w:val="20"/>
          <w:szCs w:val="20"/>
        </w:rPr>
        <w:t>that</w:t>
      </w:r>
      <w:r w:rsidRPr="007328D0">
        <w:rPr>
          <w:rFonts w:ascii="Cambria" w:hAnsi="Cambria"/>
          <w:sz w:val="20"/>
          <w:szCs w:val="20"/>
        </w:rPr>
        <w:t xml:space="preserve"> have been informed by the parties. </w:t>
      </w:r>
    </w:p>
    <w:p w:rsidR="00D97C88" w:rsidRPr="007328D0" w:rsidRDefault="00D97C88" w:rsidP="007328D0">
      <w:pPr>
        <w:pStyle w:val="ListParagraph"/>
        <w:spacing w:after="0" w:line="240" w:lineRule="auto"/>
        <w:rPr>
          <w:rFonts w:ascii="Cambria" w:hAnsi="Cambria"/>
          <w:sz w:val="20"/>
          <w:szCs w:val="20"/>
        </w:rPr>
      </w:pPr>
    </w:p>
    <w:p w:rsidR="00DE464D" w:rsidRPr="007328D0" w:rsidRDefault="00DE464D" w:rsidP="007328D0">
      <w:pPr>
        <w:pStyle w:val="ListParagraph"/>
        <w:numPr>
          <w:ilvl w:val="0"/>
          <w:numId w:val="5"/>
        </w:numPr>
        <w:spacing w:after="0" w:line="240" w:lineRule="auto"/>
        <w:ind w:left="1440" w:hanging="720"/>
        <w:rPr>
          <w:rFonts w:ascii="Cambria" w:hAnsi="Cambria"/>
          <w:b/>
          <w:sz w:val="20"/>
          <w:szCs w:val="20"/>
        </w:rPr>
      </w:pPr>
      <w:r w:rsidRPr="007328D0">
        <w:rPr>
          <w:rFonts w:ascii="Cambria" w:hAnsi="Cambria"/>
          <w:b/>
          <w:sz w:val="20"/>
          <w:szCs w:val="20"/>
        </w:rPr>
        <w:t xml:space="preserve">Individual </w:t>
      </w:r>
      <w:r w:rsidR="00D97C88" w:rsidRPr="007328D0">
        <w:rPr>
          <w:rFonts w:ascii="Cambria" w:hAnsi="Cambria"/>
          <w:b/>
          <w:sz w:val="20"/>
          <w:szCs w:val="20"/>
        </w:rPr>
        <w:t>results</w:t>
      </w:r>
      <w:r w:rsidRPr="007328D0">
        <w:rPr>
          <w:rFonts w:ascii="Cambria" w:hAnsi="Cambria"/>
          <w:b/>
          <w:sz w:val="20"/>
          <w:szCs w:val="20"/>
        </w:rPr>
        <w:t xml:space="preserve"> of the case </w:t>
      </w:r>
    </w:p>
    <w:p w:rsidR="00DE464D" w:rsidRPr="007328D0" w:rsidRDefault="00DE464D" w:rsidP="007328D0">
      <w:pPr>
        <w:spacing w:after="0" w:line="240" w:lineRule="auto"/>
        <w:rPr>
          <w:rFonts w:ascii="Cambria" w:hAnsi="Cambria"/>
          <w:b/>
          <w:sz w:val="20"/>
          <w:szCs w:val="20"/>
        </w:rPr>
      </w:pPr>
    </w:p>
    <w:p w:rsidR="00DE464D" w:rsidRPr="007328D0" w:rsidRDefault="00D97C88" w:rsidP="007328D0">
      <w:pPr>
        <w:pStyle w:val="ListParagraph"/>
        <w:numPr>
          <w:ilvl w:val="0"/>
          <w:numId w:val="6"/>
        </w:numPr>
        <w:spacing w:after="0" w:line="240" w:lineRule="auto"/>
        <w:jc w:val="both"/>
        <w:rPr>
          <w:rFonts w:ascii="Cambria" w:hAnsi="Cambria"/>
          <w:sz w:val="20"/>
          <w:szCs w:val="20"/>
        </w:rPr>
      </w:pPr>
      <w:r w:rsidRPr="007328D0">
        <w:rPr>
          <w:rFonts w:ascii="Cambria" w:hAnsi="Cambria"/>
          <w:sz w:val="20"/>
          <w:szCs w:val="20"/>
        </w:rPr>
        <w:t xml:space="preserve">No individual results have been informed by the parties. </w:t>
      </w:r>
    </w:p>
    <w:p w:rsidR="00DE464D" w:rsidRPr="007328D0" w:rsidRDefault="00DE464D" w:rsidP="007328D0">
      <w:pPr>
        <w:spacing w:after="0" w:line="240" w:lineRule="auto"/>
        <w:rPr>
          <w:rFonts w:ascii="Cambria" w:hAnsi="Cambria"/>
          <w:sz w:val="20"/>
          <w:szCs w:val="20"/>
        </w:rPr>
      </w:pPr>
    </w:p>
    <w:p w:rsidR="00DE464D" w:rsidRPr="007328D0" w:rsidRDefault="00D97C88" w:rsidP="007328D0">
      <w:pPr>
        <w:pStyle w:val="ListParagraph"/>
        <w:numPr>
          <w:ilvl w:val="0"/>
          <w:numId w:val="5"/>
        </w:numPr>
        <w:spacing w:after="0" w:line="240" w:lineRule="auto"/>
        <w:ind w:left="1440" w:hanging="720"/>
        <w:rPr>
          <w:rFonts w:ascii="Cambria" w:hAnsi="Cambria"/>
          <w:b/>
          <w:sz w:val="20"/>
          <w:szCs w:val="20"/>
        </w:rPr>
      </w:pPr>
      <w:r w:rsidRPr="007328D0">
        <w:rPr>
          <w:rFonts w:ascii="Cambria" w:hAnsi="Cambria"/>
          <w:b/>
          <w:sz w:val="20"/>
          <w:szCs w:val="20"/>
        </w:rPr>
        <w:t>Structural results</w:t>
      </w:r>
      <w:r w:rsidR="00DE464D" w:rsidRPr="007328D0">
        <w:rPr>
          <w:rFonts w:ascii="Cambria" w:hAnsi="Cambria"/>
          <w:b/>
          <w:sz w:val="20"/>
          <w:szCs w:val="20"/>
        </w:rPr>
        <w:t xml:space="preserve"> of the case </w:t>
      </w:r>
    </w:p>
    <w:p w:rsidR="00DE464D" w:rsidRPr="007328D0" w:rsidRDefault="00DE464D" w:rsidP="007328D0">
      <w:pPr>
        <w:spacing w:after="0" w:line="240" w:lineRule="auto"/>
        <w:rPr>
          <w:rFonts w:ascii="Cambria" w:hAnsi="Cambria"/>
          <w:sz w:val="20"/>
          <w:szCs w:val="20"/>
        </w:rPr>
      </w:pPr>
    </w:p>
    <w:p w:rsidR="00D97C88" w:rsidRPr="007328D0" w:rsidRDefault="001D340A" w:rsidP="007328D0">
      <w:pPr>
        <w:spacing w:after="0" w:line="240" w:lineRule="auto"/>
        <w:jc w:val="both"/>
        <w:rPr>
          <w:rFonts w:ascii="Cambria" w:hAnsi="Cambria"/>
          <w:i/>
          <w:sz w:val="20"/>
          <w:szCs w:val="20"/>
        </w:rPr>
      </w:pPr>
      <w:r w:rsidRPr="007328D0">
        <w:rPr>
          <w:rFonts w:ascii="Cambria" w:hAnsi="Cambria"/>
          <w:i/>
          <w:sz w:val="20"/>
          <w:szCs w:val="20"/>
        </w:rPr>
        <w:t>Non-Repetition Measures</w:t>
      </w:r>
    </w:p>
    <w:p w:rsidR="00DE464D" w:rsidRPr="007328D0" w:rsidRDefault="00D97C88" w:rsidP="007328D0">
      <w:pPr>
        <w:pStyle w:val="ListParagraph"/>
        <w:numPr>
          <w:ilvl w:val="0"/>
          <w:numId w:val="6"/>
        </w:numPr>
        <w:spacing w:after="0" w:line="240" w:lineRule="auto"/>
        <w:jc w:val="both"/>
        <w:rPr>
          <w:rFonts w:ascii="Cambria" w:hAnsi="Cambria"/>
          <w:sz w:val="20"/>
          <w:szCs w:val="20"/>
        </w:rPr>
      </w:pPr>
      <w:r w:rsidRPr="007328D0">
        <w:rPr>
          <w:rFonts w:ascii="Cambria" w:hAnsi="Cambria"/>
          <w:sz w:val="20"/>
          <w:szCs w:val="20"/>
        </w:rPr>
        <w:t xml:space="preserve">On March 1, 2005, the Supreme Court of the United States held in </w:t>
      </w:r>
      <w:r w:rsidRPr="007328D0">
        <w:rPr>
          <w:rFonts w:ascii="Cambria" w:hAnsi="Cambria"/>
          <w:i/>
          <w:sz w:val="20"/>
          <w:szCs w:val="20"/>
        </w:rPr>
        <w:t>Roper v. Simmons</w:t>
      </w:r>
      <w:r w:rsidRPr="007328D0">
        <w:rPr>
          <w:rFonts w:ascii="Cambria" w:hAnsi="Cambria"/>
          <w:sz w:val="20"/>
          <w:szCs w:val="20"/>
        </w:rPr>
        <w:t xml:space="preserve"> that the Eighth and Fourteenth Amendments to the Constitution of the United States prohibit the imposition of the</w:t>
      </w:r>
      <w:r w:rsidRPr="007328D0">
        <w:rPr>
          <w:rFonts w:ascii="Cambria" w:hAnsi="Cambria"/>
          <w:i/>
          <w:sz w:val="20"/>
          <w:szCs w:val="20"/>
        </w:rPr>
        <w:t xml:space="preserve"> </w:t>
      </w:r>
      <w:r w:rsidRPr="007328D0">
        <w:rPr>
          <w:rFonts w:ascii="Cambria" w:hAnsi="Cambria"/>
          <w:sz w:val="20"/>
          <w:szCs w:val="20"/>
        </w:rPr>
        <w:t xml:space="preserve">death penalty on persons who were under the age of 18 at the time the crimes for which they </w:t>
      </w:r>
      <w:r w:rsidR="0052192A" w:rsidRPr="007328D0">
        <w:rPr>
          <w:rFonts w:ascii="Cambria" w:hAnsi="Cambria"/>
          <w:sz w:val="20"/>
          <w:szCs w:val="20"/>
        </w:rPr>
        <w:t xml:space="preserve">were sentenced were committed. </w:t>
      </w:r>
      <w:r w:rsidRPr="007328D0">
        <w:rPr>
          <w:rFonts w:ascii="Cambria" w:hAnsi="Cambria"/>
          <w:sz w:val="20"/>
          <w:szCs w:val="20"/>
        </w:rPr>
        <w:t xml:space="preserve"> </w:t>
      </w:r>
      <w:bookmarkStart w:id="0" w:name="_GoBack"/>
      <w:bookmarkEnd w:id="0"/>
    </w:p>
    <w:sectPr w:rsidR="00DE464D" w:rsidRPr="007328D0" w:rsidSect="00E0545B">
      <w:headerReference w:type="default" r:id="rId11"/>
      <w:footerReference w:type="default" r:id="rId12"/>
      <w:headerReference w:type="first" r:id="rId13"/>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98" w:rsidRDefault="00A04198" w:rsidP="005C663C">
      <w:pPr>
        <w:spacing w:after="0" w:line="240" w:lineRule="auto"/>
      </w:pPr>
      <w:r>
        <w:separator/>
      </w:r>
    </w:p>
  </w:endnote>
  <w:endnote w:type="continuationSeparator" w:id="0">
    <w:p w:rsidR="00A04198" w:rsidRDefault="00A04198" w:rsidP="005C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166780"/>
      <w:docPartObj>
        <w:docPartGallery w:val="Page Numbers (Bottom of Page)"/>
        <w:docPartUnique/>
      </w:docPartObj>
    </w:sdtPr>
    <w:sdtEndPr>
      <w:rPr>
        <w:noProof/>
        <w:sz w:val="16"/>
        <w:szCs w:val="16"/>
      </w:rPr>
    </w:sdtEndPr>
    <w:sdtContent>
      <w:p w:rsidR="009D53DC" w:rsidRPr="009D53DC" w:rsidRDefault="009D53DC">
        <w:pPr>
          <w:pStyle w:val="Footer"/>
          <w:jc w:val="center"/>
          <w:rPr>
            <w:sz w:val="16"/>
            <w:szCs w:val="16"/>
          </w:rPr>
        </w:pPr>
        <w:r w:rsidRPr="009D53DC">
          <w:rPr>
            <w:sz w:val="16"/>
            <w:szCs w:val="16"/>
          </w:rPr>
          <w:fldChar w:fldCharType="begin"/>
        </w:r>
        <w:r w:rsidRPr="009D53DC">
          <w:rPr>
            <w:sz w:val="16"/>
            <w:szCs w:val="16"/>
          </w:rPr>
          <w:instrText xml:space="preserve"> PAGE   \* MERGEFORMAT </w:instrText>
        </w:r>
        <w:r w:rsidRPr="009D53DC">
          <w:rPr>
            <w:sz w:val="16"/>
            <w:szCs w:val="16"/>
          </w:rPr>
          <w:fldChar w:fldCharType="separate"/>
        </w:r>
        <w:r w:rsidR="007328D0">
          <w:rPr>
            <w:noProof/>
            <w:sz w:val="16"/>
            <w:szCs w:val="16"/>
          </w:rPr>
          <w:t>3</w:t>
        </w:r>
        <w:r w:rsidRPr="009D53DC">
          <w:rPr>
            <w:noProof/>
            <w:sz w:val="16"/>
            <w:szCs w:val="16"/>
          </w:rPr>
          <w:fldChar w:fldCharType="end"/>
        </w:r>
      </w:p>
    </w:sdtContent>
  </w:sdt>
  <w:p w:rsidR="009D53DC" w:rsidRDefault="009D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98" w:rsidRDefault="00A04198" w:rsidP="005C663C">
      <w:pPr>
        <w:spacing w:after="0" w:line="240" w:lineRule="auto"/>
      </w:pPr>
      <w:r>
        <w:separator/>
      </w:r>
    </w:p>
  </w:footnote>
  <w:footnote w:type="continuationSeparator" w:id="0">
    <w:p w:rsidR="00A04198" w:rsidRDefault="00A04198" w:rsidP="005C663C">
      <w:pPr>
        <w:spacing w:after="0" w:line="240" w:lineRule="auto"/>
      </w:pPr>
      <w:r>
        <w:continuationSeparator/>
      </w:r>
    </w:p>
  </w:footnote>
  <w:footnote w:id="1">
    <w:p w:rsidR="006831E3" w:rsidRPr="00286697" w:rsidRDefault="006831E3"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IACHR, 2011 Annual Report, </w:t>
      </w:r>
      <w:hyperlink r:id="rId1" w:history="1">
        <w:r w:rsidRPr="00286697">
          <w:rPr>
            <w:rStyle w:val="Hyperlink"/>
            <w:rFonts w:ascii="Cambria" w:hAnsi="Cambria"/>
            <w:color w:val="auto"/>
            <w:sz w:val="16"/>
            <w:szCs w:val="16"/>
          </w:rPr>
          <w:t>Chapter III, Section D: Status of compliance with the recommendations of the IACHR</w:t>
        </w:r>
      </w:hyperlink>
      <w:r w:rsidRPr="00286697">
        <w:rPr>
          <w:rFonts w:ascii="Cambria" w:hAnsi="Cambria"/>
          <w:sz w:val="16"/>
          <w:szCs w:val="16"/>
        </w:rPr>
        <w:t xml:space="preserve">, para. 583. </w:t>
      </w:r>
    </w:p>
  </w:footnote>
  <w:footnote w:id="2">
    <w:p w:rsidR="0052192A" w:rsidRPr="00286697" w:rsidRDefault="0052192A"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IACHR, 2011 Annual Report, </w:t>
      </w:r>
      <w:hyperlink r:id="rId2" w:history="1">
        <w:r w:rsidRPr="00286697">
          <w:rPr>
            <w:rStyle w:val="Hyperlink"/>
            <w:rFonts w:ascii="Cambria" w:hAnsi="Cambria"/>
            <w:color w:val="auto"/>
            <w:sz w:val="16"/>
            <w:szCs w:val="16"/>
          </w:rPr>
          <w:t>Chapter III, Section D: Status of compliance with the recommendations of the IACHR</w:t>
        </w:r>
      </w:hyperlink>
      <w:r w:rsidRPr="00286697">
        <w:rPr>
          <w:rFonts w:ascii="Cambria" w:hAnsi="Cambria"/>
          <w:sz w:val="16"/>
          <w:szCs w:val="16"/>
        </w:rPr>
        <w:t xml:space="preserve">, para. 580. </w:t>
      </w:r>
    </w:p>
  </w:footnote>
  <w:footnote w:id="3">
    <w:p w:rsidR="00DC33B5" w:rsidRPr="00286697" w:rsidRDefault="00DC33B5"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IACtHR, </w:t>
      </w:r>
      <w:hyperlink r:id="rId3" w:history="1">
        <w:r w:rsidRPr="00286697">
          <w:rPr>
            <w:rStyle w:val="Hyperlink"/>
            <w:rFonts w:ascii="Cambria" w:hAnsi="Cambria"/>
            <w:color w:val="auto"/>
            <w:sz w:val="16"/>
            <w:szCs w:val="16"/>
          </w:rPr>
          <w:t>Case of La Cantuta Vs. Peru, Judgement of November 29, 2006</w:t>
        </w:r>
      </w:hyperlink>
      <w:r w:rsidRPr="00286697">
        <w:rPr>
          <w:rFonts w:ascii="Cambria" w:hAnsi="Cambria"/>
          <w:sz w:val="16"/>
          <w:szCs w:val="16"/>
        </w:rPr>
        <w:t xml:space="preserve">. Series C No. 162, paras. 199-200. </w:t>
      </w:r>
    </w:p>
  </w:footnote>
  <w:footnote w:id="4">
    <w:p w:rsidR="00DC33B5" w:rsidRPr="00286697" w:rsidRDefault="00DC33B5"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IACHR, </w:t>
      </w:r>
      <w:hyperlink r:id="rId4" w:history="1">
        <w:r w:rsidRPr="00286697">
          <w:rPr>
            <w:rStyle w:val="Hyperlink"/>
            <w:rFonts w:ascii="Cambria" w:hAnsi="Cambria"/>
            <w:color w:val="auto"/>
            <w:sz w:val="16"/>
            <w:szCs w:val="16"/>
          </w:rPr>
          <w:t>Principal Guidelines for a Comprehensive Reparations Policy</w:t>
        </w:r>
      </w:hyperlink>
      <w:r w:rsidRPr="00286697">
        <w:rPr>
          <w:rFonts w:ascii="Cambria" w:hAnsi="Cambria"/>
          <w:sz w:val="16"/>
          <w:szCs w:val="16"/>
        </w:rPr>
        <w:t xml:space="preserve">, 19 February 2008, OEA/Ser/L/V/II.131, doc. 1, para. 1; UNGA, </w:t>
      </w:r>
      <w:hyperlink r:id="rId5" w:history="1">
        <w:r w:rsidRPr="00286697">
          <w:rPr>
            <w:rStyle w:val="Hyperlink"/>
            <w:rFonts w:ascii="Cambria" w:hAnsi="Cambria"/>
            <w:color w:val="auto"/>
            <w:sz w:val="16"/>
            <w:szCs w:val="16"/>
          </w:rPr>
          <w:t>Resolution 60/147 Basic Principles and Guidelines on the Right to a Remedy and Reparation for Victims of Gross Violations of International Human Rights Law and Serious Violations of International Humanitarian Law</w:t>
        </w:r>
      </w:hyperlink>
      <w:r w:rsidRPr="00286697">
        <w:rPr>
          <w:rFonts w:ascii="Cambria" w:hAnsi="Cambria"/>
          <w:sz w:val="16"/>
          <w:szCs w:val="16"/>
        </w:rPr>
        <w:t xml:space="preserve">, 16 December 2005. A/RES/60/147. </w:t>
      </w:r>
    </w:p>
  </w:footnote>
  <w:footnote w:id="5">
    <w:p w:rsidR="00DC33B5" w:rsidRPr="00286697" w:rsidRDefault="00DC33B5"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IACtHR, </w:t>
      </w:r>
      <w:hyperlink r:id="rId6" w:history="1">
        <w:r w:rsidRPr="00286697">
          <w:rPr>
            <w:rStyle w:val="Hyperlink"/>
            <w:rFonts w:ascii="Cambria" w:hAnsi="Cambria"/>
            <w:color w:val="auto"/>
            <w:sz w:val="16"/>
            <w:szCs w:val="16"/>
          </w:rPr>
          <w:t>Case of La Cantuta Vs. Peru, Judgement of November 29, 2006</w:t>
        </w:r>
      </w:hyperlink>
      <w:r w:rsidRPr="00286697">
        <w:rPr>
          <w:rFonts w:ascii="Cambria" w:hAnsi="Cambria"/>
          <w:sz w:val="16"/>
          <w:szCs w:val="16"/>
        </w:rPr>
        <w:t>. Series C No. 162, para. 200.</w:t>
      </w:r>
    </w:p>
  </w:footnote>
  <w:footnote w:id="6">
    <w:p w:rsidR="00580AC6" w:rsidRPr="00286697" w:rsidRDefault="00580AC6"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w:t>
      </w:r>
      <w:r w:rsidR="003A5BC2" w:rsidRPr="00286697">
        <w:rPr>
          <w:rFonts w:ascii="Cambria" w:hAnsi="Cambria"/>
          <w:sz w:val="16"/>
          <w:szCs w:val="16"/>
        </w:rPr>
        <w:t xml:space="preserve">IACHR, 2011 Annual Report, </w:t>
      </w:r>
      <w:hyperlink r:id="rId7" w:history="1">
        <w:r w:rsidR="003A5BC2" w:rsidRPr="00286697">
          <w:rPr>
            <w:rStyle w:val="Hyperlink"/>
            <w:rFonts w:ascii="Cambria" w:hAnsi="Cambria"/>
            <w:color w:val="auto"/>
            <w:sz w:val="16"/>
            <w:szCs w:val="16"/>
          </w:rPr>
          <w:t>Chapter III, Section D: Status of compliance with the recommendations of the IACHR</w:t>
        </w:r>
      </w:hyperlink>
      <w:r w:rsidR="003A5BC2" w:rsidRPr="00286697">
        <w:rPr>
          <w:rFonts w:ascii="Cambria" w:hAnsi="Cambria"/>
          <w:sz w:val="16"/>
          <w:szCs w:val="16"/>
        </w:rPr>
        <w:t>, para. 583.</w:t>
      </w:r>
    </w:p>
  </w:footnote>
  <w:footnote w:id="7">
    <w:p w:rsidR="0052192A" w:rsidRPr="00286697" w:rsidRDefault="0052192A"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IACHR, 2011 Annual Report, </w:t>
      </w:r>
      <w:hyperlink r:id="rId8" w:history="1">
        <w:r w:rsidRPr="00286697">
          <w:rPr>
            <w:rStyle w:val="Hyperlink"/>
            <w:rFonts w:ascii="Cambria" w:hAnsi="Cambria"/>
            <w:color w:val="auto"/>
            <w:sz w:val="16"/>
            <w:szCs w:val="16"/>
          </w:rPr>
          <w:t>Chapter III, Section D: Status of compliance with the recommendations of the IACHR</w:t>
        </w:r>
      </w:hyperlink>
      <w:r w:rsidRPr="00286697">
        <w:rPr>
          <w:rFonts w:ascii="Cambria" w:hAnsi="Cambria"/>
          <w:sz w:val="16"/>
          <w:szCs w:val="16"/>
        </w:rPr>
        <w:t>, para. 580.</w:t>
      </w:r>
    </w:p>
  </w:footnote>
  <w:footnote w:id="8">
    <w:p w:rsidR="00B21D09" w:rsidRPr="004026DE" w:rsidRDefault="00B21D09"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IACtHR, </w:t>
      </w:r>
      <w:hyperlink r:id="rId9" w:history="1">
        <w:r w:rsidRPr="00286697">
          <w:rPr>
            <w:rStyle w:val="Hyperlink"/>
            <w:rFonts w:ascii="Cambria" w:hAnsi="Cambria"/>
            <w:color w:val="auto"/>
            <w:sz w:val="16"/>
            <w:szCs w:val="16"/>
          </w:rPr>
          <w:t>Advisory Opinion OC-10/89 Interpretation of the Declaration of the Rights and Duties of Man within the Framework of Article 64 of the American Convention on Human Rights</w:t>
        </w:r>
      </w:hyperlink>
      <w:r w:rsidRPr="00286697">
        <w:rPr>
          <w:rFonts w:ascii="Cambria" w:hAnsi="Cambria"/>
          <w:sz w:val="16"/>
          <w:szCs w:val="16"/>
        </w:rPr>
        <w:t>, July 14, 1989, Ser. A No. 10 (1989), paras. 35-45.</w:t>
      </w:r>
    </w:p>
  </w:footnote>
  <w:footnote w:id="9">
    <w:p w:rsidR="00B21D09" w:rsidRPr="00286697" w:rsidRDefault="00B21D09"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IACHR, </w:t>
      </w:r>
      <w:hyperlink r:id="rId10" w:history="1">
        <w:r w:rsidRPr="00286697">
          <w:rPr>
            <w:rStyle w:val="Hyperlink"/>
            <w:rFonts w:ascii="Cambria" w:hAnsi="Cambria"/>
            <w:color w:val="auto"/>
            <w:sz w:val="16"/>
            <w:szCs w:val="16"/>
          </w:rPr>
          <w:t>Case 12.873, Merits Report No. 44/14, Edgar Tamayo Arias</w:t>
        </w:r>
      </w:hyperlink>
      <w:r w:rsidRPr="00286697">
        <w:rPr>
          <w:rStyle w:val="Hyperlink"/>
          <w:rFonts w:ascii="Cambria" w:hAnsi="Cambria"/>
          <w:color w:val="auto"/>
          <w:sz w:val="16"/>
          <w:szCs w:val="16"/>
        </w:rPr>
        <w:t xml:space="preserve"> (United States)</w:t>
      </w:r>
      <w:r w:rsidRPr="00286697">
        <w:rPr>
          <w:rFonts w:ascii="Cambria" w:hAnsi="Cambria"/>
          <w:sz w:val="16"/>
          <w:szCs w:val="16"/>
        </w:rPr>
        <w:t xml:space="preserve">, para. 214; IACHR, </w:t>
      </w:r>
      <w:hyperlink r:id="rId11" w:history="1">
        <w:r w:rsidRPr="00286697">
          <w:rPr>
            <w:rStyle w:val="Hyperlink"/>
            <w:rFonts w:ascii="Cambria" w:hAnsi="Cambria"/>
            <w:color w:val="auto"/>
            <w:sz w:val="16"/>
            <w:szCs w:val="16"/>
          </w:rPr>
          <w:t>Case 12.626, Report No. 80/11, Jessica Lenahan (Gonzales) et al. (United States)</w:t>
        </w:r>
      </w:hyperlink>
      <w:r w:rsidRPr="00286697">
        <w:rPr>
          <w:rFonts w:ascii="Cambria" w:hAnsi="Cambria"/>
          <w:sz w:val="16"/>
          <w:szCs w:val="16"/>
        </w:rPr>
        <w:t xml:space="preserve">, paras. 115-120; IACHR, </w:t>
      </w:r>
      <w:hyperlink r:id="rId12" w:history="1">
        <w:r w:rsidRPr="00286697">
          <w:rPr>
            <w:rStyle w:val="Hyperlink"/>
            <w:rFonts w:ascii="Cambria" w:hAnsi="Cambria"/>
            <w:color w:val="auto"/>
            <w:sz w:val="16"/>
            <w:szCs w:val="16"/>
          </w:rPr>
          <w:t>Towards the Closure of Guantanamo</w:t>
        </w:r>
      </w:hyperlink>
      <w:r w:rsidRPr="00286697">
        <w:rPr>
          <w:rFonts w:ascii="Cambria" w:hAnsi="Cambria"/>
          <w:sz w:val="16"/>
          <w:szCs w:val="16"/>
        </w:rPr>
        <w:t xml:space="preserve">, 2015, paras. 16-23; IACHR, </w:t>
      </w:r>
      <w:hyperlink r:id="rId13" w:history="1">
        <w:r w:rsidRPr="00286697">
          <w:rPr>
            <w:rStyle w:val="Hyperlink"/>
            <w:rFonts w:ascii="Cambria" w:hAnsi="Cambria"/>
            <w:color w:val="auto"/>
            <w:sz w:val="16"/>
            <w:szCs w:val="16"/>
          </w:rPr>
          <w:t>Case 12.586, Report No. 78/11, John Doe et al. (Canada)</w:t>
        </w:r>
      </w:hyperlink>
      <w:r w:rsidRPr="00286697">
        <w:rPr>
          <w:rFonts w:ascii="Cambria" w:hAnsi="Cambria"/>
          <w:sz w:val="16"/>
          <w:szCs w:val="16"/>
        </w:rPr>
        <w:t>, para. 129.</w:t>
      </w:r>
    </w:p>
  </w:footnote>
  <w:footnote w:id="10">
    <w:p w:rsidR="00FD0B53" w:rsidRPr="00286697" w:rsidRDefault="00FD0B53"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w:t>
      </w:r>
      <w:r w:rsidR="004E3CF4" w:rsidRPr="00286697">
        <w:rPr>
          <w:rFonts w:ascii="Cambria" w:hAnsi="Cambria"/>
          <w:sz w:val="16"/>
          <w:szCs w:val="16"/>
        </w:rPr>
        <w:t xml:space="preserve">Supreme Court of the United States, </w:t>
      </w:r>
      <w:hyperlink r:id="rId14" w:history="1">
        <w:r w:rsidR="004E3CF4" w:rsidRPr="00286697">
          <w:rPr>
            <w:rStyle w:val="Hyperlink"/>
            <w:rFonts w:ascii="Cambria" w:hAnsi="Cambria"/>
            <w:color w:val="auto"/>
            <w:sz w:val="16"/>
            <w:szCs w:val="16"/>
          </w:rPr>
          <w:t>Roper v. Simmons</w:t>
        </w:r>
      </w:hyperlink>
      <w:r w:rsidR="004E3CF4" w:rsidRPr="00286697">
        <w:rPr>
          <w:rFonts w:ascii="Cambria" w:hAnsi="Cambria"/>
          <w:sz w:val="16"/>
          <w:szCs w:val="16"/>
        </w:rPr>
        <w:t xml:space="preserve">, 543 U.S. 551 (2005). </w:t>
      </w:r>
    </w:p>
  </w:footnote>
  <w:footnote w:id="11">
    <w:p w:rsidR="0052192A" w:rsidRPr="00286697" w:rsidRDefault="0052192A" w:rsidP="004D17BD">
      <w:pPr>
        <w:pStyle w:val="FootnoteText"/>
        <w:spacing w:after="120"/>
        <w:ind w:firstLine="720"/>
        <w:jc w:val="both"/>
        <w:rPr>
          <w:rFonts w:ascii="Cambria" w:hAnsi="Cambria"/>
          <w:sz w:val="16"/>
          <w:szCs w:val="16"/>
        </w:rPr>
      </w:pPr>
      <w:r w:rsidRPr="00286697">
        <w:rPr>
          <w:rStyle w:val="FootnoteReference"/>
          <w:rFonts w:ascii="Cambria" w:hAnsi="Cambria"/>
          <w:sz w:val="16"/>
          <w:szCs w:val="16"/>
        </w:rPr>
        <w:footnoteRef/>
      </w:r>
      <w:r w:rsidRPr="00286697">
        <w:rPr>
          <w:rFonts w:ascii="Cambria" w:hAnsi="Cambria"/>
          <w:sz w:val="16"/>
          <w:szCs w:val="16"/>
        </w:rPr>
        <w:t xml:space="preserve"> IACHR, 2011 Annual Report, </w:t>
      </w:r>
      <w:hyperlink r:id="rId15" w:history="1">
        <w:r w:rsidRPr="00286697">
          <w:rPr>
            <w:rStyle w:val="Hyperlink"/>
            <w:rFonts w:ascii="Cambria" w:hAnsi="Cambria"/>
            <w:color w:val="auto"/>
            <w:sz w:val="16"/>
            <w:szCs w:val="16"/>
          </w:rPr>
          <w:t>Chapter III, Section D: Status of compliance with the recommendations of the IACHR</w:t>
        </w:r>
      </w:hyperlink>
      <w:r w:rsidRPr="00286697">
        <w:rPr>
          <w:rFonts w:ascii="Cambria" w:hAnsi="Cambria"/>
          <w:sz w:val="16"/>
          <w:szCs w:val="16"/>
        </w:rPr>
        <w:t>, para. 586.</w:t>
      </w:r>
    </w:p>
  </w:footnote>
  <w:footnote w:id="12">
    <w:p w:rsidR="0052192A" w:rsidRDefault="0052192A" w:rsidP="004D17BD">
      <w:pPr>
        <w:pStyle w:val="FootnoteText"/>
        <w:spacing w:after="120"/>
        <w:ind w:firstLine="720"/>
        <w:jc w:val="both"/>
      </w:pPr>
      <w:r w:rsidRPr="00286697">
        <w:rPr>
          <w:rStyle w:val="FootnoteReference"/>
          <w:rFonts w:ascii="Cambria" w:hAnsi="Cambria"/>
          <w:sz w:val="16"/>
          <w:szCs w:val="16"/>
        </w:rPr>
        <w:footnoteRef/>
      </w:r>
      <w:r w:rsidRPr="00286697">
        <w:rPr>
          <w:rFonts w:ascii="Cambria" w:hAnsi="Cambria"/>
          <w:sz w:val="16"/>
          <w:szCs w:val="16"/>
        </w:rPr>
        <w:t xml:space="preserve"> IACHR, 2011 Annual Report, </w:t>
      </w:r>
      <w:hyperlink r:id="rId16" w:history="1">
        <w:r w:rsidRPr="00286697">
          <w:rPr>
            <w:rStyle w:val="Hyperlink"/>
            <w:rFonts w:ascii="Cambria" w:hAnsi="Cambria"/>
            <w:color w:val="auto"/>
            <w:sz w:val="16"/>
            <w:szCs w:val="16"/>
          </w:rPr>
          <w:t>Chapter III, Section D: Status of compliance with the recommendations of the IACHR</w:t>
        </w:r>
      </w:hyperlink>
      <w:r w:rsidRPr="00286697">
        <w:rPr>
          <w:rFonts w:ascii="Cambria" w:hAnsi="Cambria"/>
          <w:sz w:val="16"/>
          <w:szCs w:val="16"/>
        </w:rPr>
        <w:t>, para. 580.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A1" w:rsidRPr="00ED1EBA" w:rsidRDefault="00E83FA1" w:rsidP="00E83FA1">
    <w:pPr>
      <w:pStyle w:val="Header"/>
      <w:rPr>
        <w:rFonts w:ascii="Arial" w:hAnsi="Arial" w:cs="Arial"/>
        <w:color w:val="3B3838" w:themeColor="background2" w:themeShade="40"/>
        <w:szCs w:val="28"/>
      </w:rPr>
    </w:pPr>
    <w:r>
      <w:rPr>
        <w:rFonts w:asciiTheme="minorHAnsi" w:hAnsiTheme="minorHAnsi" w:cstheme="minorBidi"/>
        <w:noProof/>
        <w:sz w:val="20"/>
        <w:szCs w:val="24"/>
      </w:rPr>
      <w:drawing>
        <wp:anchor distT="0" distB="0" distL="114300" distR="114300" simplePos="0" relativeHeight="251663360" behindDoc="0" locked="0" layoutInCell="1" allowOverlap="1">
          <wp:simplePos x="0" y="0"/>
          <wp:positionH relativeFrom="column">
            <wp:posOffset>1123950</wp:posOffset>
          </wp:positionH>
          <wp:positionV relativeFrom="paragraph">
            <wp:posOffset>-115570</wp:posOffset>
          </wp:positionV>
          <wp:extent cx="923925" cy="353695"/>
          <wp:effectExtent l="0" t="0" r="9525" b="8255"/>
          <wp:wrapSquare wrapText="bothSides"/>
          <wp:docPr id="4" name="Picture 4"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B3838" w:themeColor="background2" w:themeShade="40"/>
        <w:szCs w:val="28"/>
      </w:rPr>
      <w:t xml:space="preserve">                       </w:t>
    </w:r>
    <w:r w:rsidRPr="00ED1EBA">
      <w:rPr>
        <w:rFonts w:ascii="Arial" w:hAnsi="Arial" w:cs="Arial"/>
        <w:noProof/>
        <w:color w:val="3B3838" w:themeColor="background2" w:themeShade="40"/>
        <w:szCs w:val="28"/>
      </w:rPr>
      <w:t>Inter-American Commission on Human Rights</w:t>
    </w:r>
  </w:p>
  <w:p w:rsidR="009D53DC" w:rsidRPr="00E83FA1" w:rsidRDefault="00E83FA1" w:rsidP="00E83FA1">
    <w:pPr>
      <w:pStyle w:val="Header"/>
      <w:rPr>
        <w:rFonts w:ascii="Arial" w:hAnsi="Arial" w:cs="Arial"/>
        <w:b/>
        <w:bCs/>
        <w:color w:val="404040" w:themeColor="text1" w:themeTint="BF"/>
        <w:sz w:val="44"/>
        <w:szCs w:val="44"/>
      </w:rPr>
    </w:pPr>
    <w:r>
      <w:rPr>
        <w:rFonts w:ascii="Arial" w:hAnsi="Arial" w:cs="Arial"/>
        <w:b/>
        <w:bCs/>
        <w:noProof/>
        <w:color w:val="000000" w:themeColor="text1"/>
        <w:sz w:val="44"/>
        <w:szCs w:val="44"/>
      </w:rPr>
      <mc:AlternateContent>
        <mc:Choice Requires="wps">
          <w:drawing>
            <wp:anchor distT="0" distB="0" distL="114300" distR="114300" simplePos="0" relativeHeight="251662336" behindDoc="0" locked="0" layoutInCell="1" allowOverlap="1" wp14:anchorId="45AE0500" wp14:editId="4002B734">
              <wp:simplePos x="0" y="0"/>
              <wp:positionH relativeFrom="column">
                <wp:posOffset>-5610</wp:posOffset>
              </wp:positionH>
              <wp:positionV relativeFrom="paragraph">
                <wp:posOffset>167882</wp:posOffset>
              </wp:positionV>
              <wp:extent cx="6148358" cy="0"/>
              <wp:effectExtent l="0" t="0" r="11430" b="12700"/>
              <wp:wrapNone/>
              <wp:docPr id="3" name="Straight Connector 3"/>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64D6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A1" w:rsidRPr="00E83FA1" w:rsidRDefault="00E83FA1" w:rsidP="00E83FA1">
    <w:pPr>
      <w:tabs>
        <w:tab w:val="center" w:pos="4680"/>
        <w:tab w:val="right" w:pos="9360"/>
      </w:tabs>
      <w:spacing w:after="0" w:line="216" w:lineRule="auto"/>
      <w:rPr>
        <w:rFonts w:ascii="Arial" w:hAnsi="Arial" w:cs="Arial"/>
        <w:color w:val="3B3838"/>
        <w:sz w:val="28"/>
        <w:szCs w:val="28"/>
        <w:lang w:val="es-ES"/>
      </w:rPr>
    </w:pPr>
    <w:r w:rsidRPr="00E83FA1">
      <w:rPr>
        <w:rFonts w:ascii="Arial" w:hAnsi="Arial" w:cs="Arial"/>
        <w:noProof/>
        <w:color w:val="3B3838"/>
        <w:sz w:val="44"/>
        <w:szCs w:val="28"/>
      </w:rPr>
      <mc:AlternateContent>
        <mc:Choice Requires="wps">
          <w:drawing>
            <wp:anchor distT="0" distB="0" distL="114300" distR="114300" simplePos="0" relativeHeight="251665408" behindDoc="1" locked="0" layoutInCell="1" allowOverlap="1" wp14:anchorId="55901161" wp14:editId="12F7AC97">
              <wp:simplePos x="0" y="0"/>
              <wp:positionH relativeFrom="column">
                <wp:posOffset>1071880</wp:posOffset>
              </wp:positionH>
              <wp:positionV relativeFrom="paragraph">
                <wp:posOffset>-63500</wp:posOffset>
              </wp:positionV>
              <wp:extent cx="1447332" cy="605918"/>
              <wp:effectExtent l="0" t="0" r="635" b="3810"/>
              <wp:wrapNone/>
              <wp:docPr id="6" name="Text Box 6"/>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ysClr val="window" lastClr="FFFFFF"/>
                      </a:solidFill>
                      <a:ln w="6350">
                        <a:noFill/>
                      </a:ln>
                    </wps:spPr>
                    <wps:txbx>
                      <w:txbxContent>
                        <w:p w:rsidR="00E83FA1" w:rsidRPr="00E83FA1" w:rsidRDefault="00E83FA1" w:rsidP="00E83FA1">
                          <w:pPr>
                            <w:rPr>
                              <w:rFonts w:ascii="Arial" w:hAnsi="Arial" w:cs="Arial"/>
                              <w:b/>
                              <w:bCs/>
                              <w:color w:val="767171"/>
                              <w:sz w:val="80"/>
                              <w:szCs w:val="80"/>
                              <w:lang w:val="es-ES"/>
                            </w:rPr>
                          </w:pPr>
                          <w:r w:rsidRPr="00E83FA1">
                            <w:rPr>
                              <w:rFonts w:ascii="Arial" w:hAnsi="Arial" w:cs="Arial"/>
                              <w:b/>
                              <w:bCs/>
                              <w:color w:val="767171"/>
                              <w:sz w:val="80"/>
                              <w:szCs w:val="80"/>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01161" id="_x0000_t202" coordsize="21600,21600" o:spt="202" path="m,l,21600r21600,l21600,xe">
              <v:stroke joinstyle="miter"/>
              <v:path gradientshapeok="t" o:connecttype="rect"/>
            </v:shapetype>
            <v:shape id="Text Box 6" o:spid="_x0000_s1026" type="#_x0000_t202" style="position:absolute;margin-left:84.4pt;margin-top:-5pt;width:113.95pt;height:4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" fillcolor="window" stroked="f" strokeweight=".5pt">
              <v:textbox>
                <w:txbxContent>
                  <w:p w:rsidR="00E83FA1" w:rsidRPr="00E83FA1" w:rsidRDefault="00E83FA1" w:rsidP="00E83FA1">
                    <w:pPr>
                      <w:rPr>
                        <w:rFonts w:ascii="Arial" w:hAnsi="Arial" w:cs="Arial"/>
                        <w:b/>
                        <w:bCs/>
                        <w:color w:val="767171"/>
                        <w:sz w:val="80"/>
                        <w:szCs w:val="80"/>
                        <w:lang w:val="es-ES"/>
                      </w:rPr>
                    </w:pPr>
                    <w:r w:rsidRPr="00E83FA1">
                      <w:rPr>
                        <w:rFonts w:ascii="Arial" w:hAnsi="Arial" w:cs="Arial"/>
                        <w:b/>
                        <w:bCs/>
                        <w:color w:val="767171"/>
                        <w:sz w:val="80"/>
                        <w:szCs w:val="80"/>
                        <w:lang w:val="es-ES"/>
                      </w:rPr>
                      <w:t>2020</w:t>
                    </w:r>
                  </w:p>
                </w:txbxContent>
              </v:textbox>
            </v:shape>
          </w:pict>
        </mc:Fallback>
      </mc:AlternateContent>
    </w:r>
    <w:r w:rsidRPr="00E83FA1">
      <w:rPr>
        <w:noProof/>
        <w:sz w:val="24"/>
        <w:szCs w:val="24"/>
      </w:rPr>
      <w:drawing>
        <wp:anchor distT="0" distB="0" distL="114300" distR="114300" simplePos="0" relativeHeight="251667456" behindDoc="0" locked="0" layoutInCell="1" allowOverlap="1">
          <wp:simplePos x="0" y="0"/>
          <wp:positionH relativeFrom="column">
            <wp:posOffset>3752850</wp:posOffset>
          </wp:positionH>
          <wp:positionV relativeFrom="paragraph">
            <wp:posOffset>29210</wp:posOffset>
          </wp:positionV>
          <wp:extent cx="2381250" cy="561975"/>
          <wp:effectExtent l="0" t="0" r="0"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E83FA1">
      <w:rPr>
        <w:noProof/>
        <w:sz w:val="44"/>
        <w:szCs w:val="28"/>
      </w:rPr>
      <w:t xml:space="preserve">ANNUAL </w:t>
    </w:r>
  </w:p>
  <w:p w:rsidR="00E83FA1" w:rsidRPr="00E83FA1" w:rsidRDefault="00E83FA1" w:rsidP="00E83FA1">
    <w:pPr>
      <w:tabs>
        <w:tab w:val="left" w:pos="1925"/>
      </w:tabs>
      <w:spacing w:after="0" w:line="216" w:lineRule="auto"/>
      <w:rPr>
        <w:rFonts w:ascii="Arial" w:hAnsi="Arial" w:cs="Arial"/>
        <w:b/>
        <w:bCs/>
        <w:color w:val="404040"/>
        <w:sz w:val="38"/>
        <w:szCs w:val="38"/>
        <w:lang w:val="es-ES"/>
      </w:rPr>
    </w:pPr>
    <w:r w:rsidRPr="00E83FA1">
      <w:rPr>
        <w:rFonts w:ascii="Arial" w:hAnsi="Arial" w:cs="Arial"/>
        <w:b/>
        <w:bCs/>
        <w:color w:val="404040"/>
        <w:sz w:val="38"/>
        <w:szCs w:val="38"/>
        <w:lang w:val="es-ES"/>
      </w:rPr>
      <w:t>REPORT</w:t>
    </w:r>
  </w:p>
  <w:p w:rsidR="00E83FA1" w:rsidRPr="00E83FA1" w:rsidRDefault="00E83FA1" w:rsidP="00E83FA1">
    <w:pPr>
      <w:tabs>
        <w:tab w:val="center" w:pos="4680"/>
        <w:tab w:val="right" w:pos="9360"/>
      </w:tabs>
      <w:spacing w:after="0" w:line="240" w:lineRule="auto"/>
      <w:rPr>
        <w:rFonts w:ascii="Arial" w:hAnsi="Arial" w:cs="Arial"/>
        <w:b/>
        <w:bCs/>
        <w:color w:val="404040"/>
        <w:sz w:val="44"/>
        <w:szCs w:val="44"/>
        <w:lang w:val="es-ES"/>
      </w:rPr>
    </w:pPr>
    <w:r w:rsidRPr="00E83FA1">
      <w:rPr>
        <w:rFonts w:ascii="Arial" w:hAnsi="Arial" w:cs="Arial"/>
        <w:b/>
        <w:bCs/>
        <w:noProof/>
        <w:color w:val="000000"/>
        <w:sz w:val="44"/>
        <w:szCs w:val="44"/>
      </w:rPr>
      <mc:AlternateContent>
        <mc:Choice Requires="wps">
          <w:drawing>
            <wp:anchor distT="0" distB="0" distL="114300" distR="114300" simplePos="0" relativeHeight="251666432" behindDoc="0" locked="0" layoutInCell="1" allowOverlap="1" wp14:anchorId="42A4DFB1" wp14:editId="4A26640A">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A3C7D3"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0BD"/>
    <w:multiLevelType w:val="hybridMultilevel"/>
    <w:tmpl w:val="8A5A035E"/>
    <w:lvl w:ilvl="0" w:tplc="662AC064">
      <w:start w:val="1"/>
      <w:numFmt w:val="decimal"/>
      <w:lvlText w:val="%1."/>
      <w:lvlJc w:val="left"/>
      <w:pPr>
        <w:ind w:left="0" w:firstLine="720"/>
      </w:pPr>
      <w:rPr>
        <w:rFonts w:ascii="Cambria" w:hAnsi="Cambria" w:hint="default"/>
        <w:b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45795"/>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A3F3E"/>
    <w:multiLevelType w:val="hybridMultilevel"/>
    <w:tmpl w:val="C6E0FF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73F13"/>
    <w:multiLevelType w:val="hybridMultilevel"/>
    <w:tmpl w:val="25E41B46"/>
    <w:lvl w:ilvl="0" w:tplc="B5E6D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21F01"/>
    <w:multiLevelType w:val="hybridMultilevel"/>
    <w:tmpl w:val="20BC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B6838"/>
    <w:multiLevelType w:val="hybridMultilevel"/>
    <w:tmpl w:val="9CB09ED8"/>
    <w:lvl w:ilvl="0" w:tplc="748ED3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662E5"/>
    <w:multiLevelType w:val="hybridMultilevel"/>
    <w:tmpl w:val="7626FF0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B2B89"/>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A22AF"/>
    <w:multiLevelType w:val="hybridMultilevel"/>
    <w:tmpl w:val="8FE24B1A"/>
    <w:lvl w:ilvl="0" w:tplc="834C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92F1F"/>
    <w:multiLevelType w:val="hybridMultilevel"/>
    <w:tmpl w:val="A54283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7412D"/>
    <w:multiLevelType w:val="hybridMultilevel"/>
    <w:tmpl w:val="59604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270FA"/>
    <w:multiLevelType w:val="hybridMultilevel"/>
    <w:tmpl w:val="1B26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56D25"/>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E72E9"/>
    <w:multiLevelType w:val="hybridMultilevel"/>
    <w:tmpl w:val="97BEBAF0"/>
    <w:lvl w:ilvl="0" w:tplc="905ECBA2">
      <w:start w:val="57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75366"/>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05F3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C15F2"/>
    <w:multiLevelType w:val="hybridMultilevel"/>
    <w:tmpl w:val="A7B0A1F4"/>
    <w:lvl w:ilvl="0" w:tplc="15526CE2">
      <w:start w:val="94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11"/>
  </w:num>
  <w:num w:numId="5">
    <w:abstractNumId w:val="2"/>
  </w:num>
  <w:num w:numId="6">
    <w:abstractNumId w:val="18"/>
  </w:num>
  <w:num w:numId="7">
    <w:abstractNumId w:val="17"/>
  </w:num>
  <w:num w:numId="8">
    <w:abstractNumId w:val="21"/>
  </w:num>
  <w:num w:numId="9">
    <w:abstractNumId w:val="15"/>
  </w:num>
  <w:num w:numId="10">
    <w:abstractNumId w:val="14"/>
  </w:num>
  <w:num w:numId="11">
    <w:abstractNumId w:val="4"/>
  </w:num>
  <w:num w:numId="12">
    <w:abstractNumId w:val="12"/>
  </w:num>
  <w:num w:numId="13">
    <w:abstractNumId w:val="13"/>
  </w:num>
  <w:num w:numId="14">
    <w:abstractNumId w:val="3"/>
  </w:num>
  <w:num w:numId="15">
    <w:abstractNumId w:val="20"/>
  </w:num>
  <w:num w:numId="16">
    <w:abstractNumId w:val="9"/>
  </w:num>
  <w:num w:numId="17">
    <w:abstractNumId w:val="16"/>
  </w:num>
  <w:num w:numId="18">
    <w:abstractNumId w:val="7"/>
  </w:num>
  <w:num w:numId="19">
    <w:abstractNumId w:val="6"/>
  </w:num>
  <w:num w:numId="20">
    <w:abstractNumId w:val="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3C"/>
    <w:rsid w:val="00001E6B"/>
    <w:rsid w:val="00001FBF"/>
    <w:rsid w:val="0002553D"/>
    <w:rsid w:val="00066562"/>
    <w:rsid w:val="00092DB8"/>
    <w:rsid w:val="000966B6"/>
    <w:rsid w:val="000A3F79"/>
    <w:rsid w:val="000C0FF4"/>
    <w:rsid w:val="000F2D4C"/>
    <w:rsid w:val="0014137A"/>
    <w:rsid w:val="00145470"/>
    <w:rsid w:val="00165232"/>
    <w:rsid w:val="001658AB"/>
    <w:rsid w:val="001726CD"/>
    <w:rsid w:val="00175A07"/>
    <w:rsid w:val="001819A0"/>
    <w:rsid w:val="00182548"/>
    <w:rsid w:val="00194271"/>
    <w:rsid w:val="001D340A"/>
    <w:rsid w:val="001D3BF2"/>
    <w:rsid w:val="001E11F0"/>
    <w:rsid w:val="001E78F2"/>
    <w:rsid w:val="002126A2"/>
    <w:rsid w:val="002419CA"/>
    <w:rsid w:val="0024386F"/>
    <w:rsid w:val="00260468"/>
    <w:rsid w:val="00267C5F"/>
    <w:rsid w:val="00286697"/>
    <w:rsid w:val="00291ADA"/>
    <w:rsid w:val="00293771"/>
    <w:rsid w:val="002D3614"/>
    <w:rsid w:val="002D45D6"/>
    <w:rsid w:val="002E3019"/>
    <w:rsid w:val="003140F4"/>
    <w:rsid w:val="0033024D"/>
    <w:rsid w:val="003529E3"/>
    <w:rsid w:val="00354AB9"/>
    <w:rsid w:val="00356AB3"/>
    <w:rsid w:val="0038164C"/>
    <w:rsid w:val="00383165"/>
    <w:rsid w:val="003A5BC2"/>
    <w:rsid w:val="003B0F8D"/>
    <w:rsid w:val="003C331F"/>
    <w:rsid w:val="003D43B8"/>
    <w:rsid w:val="0041079C"/>
    <w:rsid w:val="0044532C"/>
    <w:rsid w:val="0044550B"/>
    <w:rsid w:val="00497024"/>
    <w:rsid w:val="004D17BD"/>
    <w:rsid w:val="004D46FC"/>
    <w:rsid w:val="004D4D18"/>
    <w:rsid w:val="004D7EB1"/>
    <w:rsid w:val="004E3CF4"/>
    <w:rsid w:val="00501C98"/>
    <w:rsid w:val="0050269C"/>
    <w:rsid w:val="0052192A"/>
    <w:rsid w:val="00532C67"/>
    <w:rsid w:val="00555F5A"/>
    <w:rsid w:val="00580AC6"/>
    <w:rsid w:val="005B3702"/>
    <w:rsid w:val="005B5669"/>
    <w:rsid w:val="005C663C"/>
    <w:rsid w:val="005E3215"/>
    <w:rsid w:val="006200F5"/>
    <w:rsid w:val="0067604C"/>
    <w:rsid w:val="006831E3"/>
    <w:rsid w:val="00687B3F"/>
    <w:rsid w:val="00692EC8"/>
    <w:rsid w:val="006966DF"/>
    <w:rsid w:val="006A4A48"/>
    <w:rsid w:val="006A6542"/>
    <w:rsid w:val="006C6BDA"/>
    <w:rsid w:val="006E7362"/>
    <w:rsid w:val="00700FE9"/>
    <w:rsid w:val="00707C17"/>
    <w:rsid w:val="007328D0"/>
    <w:rsid w:val="007407B6"/>
    <w:rsid w:val="0075421E"/>
    <w:rsid w:val="0078140B"/>
    <w:rsid w:val="00787A6A"/>
    <w:rsid w:val="007A6E19"/>
    <w:rsid w:val="007D1526"/>
    <w:rsid w:val="007E0504"/>
    <w:rsid w:val="007E5D55"/>
    <w:rsid w:val="00820667"/>
    <w:rsid w:val="008C4580"/>
    <w:rsid w:val="008D0A09"/>
    <w:rsid w:val="008E7FD5"/>
    <w:rsid w:val="008F7EEA"/>
    <w:rsid w:val="009125A3"/>
    <w:rsid w:val="009260C7"/>
    <w:rsid w:val="00940682"/>
    <w:rsid w:val="0094459C"/>
    <w:rsid w:val="00955A91"/>
    <w:rsid w:val="00996AF5"/>
    <w:rsid w:val="009A767A"/>
    <w:rsid w:val="009B77C3"/>
    <w:rsid w:val="009D53DC"/>
    <w:rsid w:val="009E05F1"/>
    <w:rsid w:val="00A04198"/>
    <w:rsid w:val="00A22E2B"/>
    <w:rsid w:val="00A605A8"/>
    <w:rsid w:val="00A67AAC"/>
    <w:rsid w:val="00A815AC"/>
    <w:rsid w:val="00AB5556"/>
    <w:rsid w:val="00AD3A3C"/>
    <w:rsid w:val="00AD538D"/>
    <w:rsid w:val="00AD54F9"/>
    <w:rsid w:val="00AE0B18"/>
    <w:rsid w:val="00B1134E"/>
    <w:rsid w:val="00B21D09"/>
    <w:rsid w:val="00B329DB"/>
    <w:rsid w:val="00B43522"/>
    <w:rsid w:val="00B5026E"/>
    <w:rsid w:val="00B81DC1"/>
    <w:rsid w:val="00B85A5B"/>
    <w:rsid w:val="00C062D9"/>
    <w:rsid w:val="00C16E4C"/>
    <w:rsid w:val="00C212CA"/>
    <w:rsid w:val="00C23226"/>
    <w:rsid w:val="00C26C39"/>
    <w:rsid w:val="00C33384"/>
    <w:rsid w:val="00C51DD1"/>
    <w:rsid w:val="00C61B52"/>
    <w:rsid w:val="00C75F08"/>
    <w:rsid w:val="00C837D2"/>
    <w:rsid w:val="00CA7E99"/>
    <w:rsid w:val="00CC7A2C"/>
    <w:rsid w:val="00D03B95"/>
    <w:rsid w:val="00D162D6"/>
    <w:rsid w:val="00D20E4A"/>
    <w:rsid w:val="00D315CF"/>
    <w:rsid w:val="00D32543"/>
    <w:rsid w:val="00D64AB4"/>
    <w:rsid w:val="00D97C88"/>
    <w:rsid w:val="00DC33B5"/>
    <w:rsid w:val="00DD5D9E"/>
    <w:rsid w:val="00DE464D"/>
    <w:rsid w:val="00E0545B"/>
    <w:rsid w:val="00E1344D"/>
    <w:rsid w:val="00E26531"/>
    <w:rsid w:val="00E571FC"/>
    <w:rsid w:val="00E83FA1"/>
    <w:rsid w:val="00EC4D0C"/>
    <w:rsid w:val="00ED5CD4"/>
    <w:rsid w:val="00ED7F21"/>
    <w:rsid w:val="00F04E0B"/>
    <w:rsid w:val="00F10D89"/>
    <w:rsid w:val="00F176E5"/>
    <w:rsid w:val="00F221ED"/>
    <w:rsid w:val="00F42F11"/>
    <w:rsid w:val="00F46065"/>
    <w:rsid w:val="00F54875"/>
    <w:rsid w:val="00F5767C"/>
    <w:rsid w:val="00F60395"/>
    <w:rsid w:val="00FA5733"/>
    <w:rsid w:val="00FB673D"/>
    <w:rsid w:val="00FC116E"/>
    <w:rsid w:val="00FC57C9"/>
    <w:rsid w:val="00FD0B53"/>
    <w:rsid w:val="00FE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E249E6B-36C3-47C6-893F-BA1743C4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C663C"/>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5C663C"/>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5C663C"/>
    <w:rPr>
      <w:vertAlign w:val="superscript"/>
    </w:rPr>
  </w:style>
  <w:style w:type="paragraph" w:customStyle="1" w:styleId="Appelnotedebasde">
    <w:name w:val="Appel note de bas de..."/>
    <w:basedOn w:val="Normal"/>
    <w:link w:val="FootnoteReference"/>
    <w:uiPriority w:val="99"/>
    <w:rsid w:val="005C663C"/>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5C663C"/>
    <w:pPr>
      <w:ind w:left="720"/>
      <w:contextualSpacing/>
    </w:pPr>
  </w:style>
  <w:style w:type="paragraph" w:styleId="BodyTextIndent">
    <w:name w:val="Body Text Indent"/>
    <w:basedOn w:val="Normal"/>
    <w:link w:val="BodyTextIndentChar"/>
    <w:uiPriority w:val="99"/>
    <w:semiHidden/>
    <w:unhideWhenUsed/>
    <w:rsid w:val="0002553D"/>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02553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0395"/>
    <w:rPr>
      <w:color w:val="0563C1" w:themeColor="hyperlink"/>
      <w:u w:val="single"/>
    </w:rPr>
  </w:style>
  <w:style w:type="paragraph" w:styleId="Header">
    <w:name w:val="header"/>
    <w:basedOn w:val="Normal"/>
    <w:link w:val="HeaderChar"/>
    <w:uiPriority w:val="99"/>
    <w:unhideWhenUsed/>
    <w:rsid w:val="004D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EB1"/>
    <w:rPr>
      <w:rFonts w:ascii="Calibri" w:eastAsia="Calibri" w:hAnsi="Calibri" w:cs="Times New Roman"/>
    </w:rPr>
  </w:style>
  <w:style w:type="character" w:styleId="FollowedHyperlink">
    <w:name w:val="FollowedHyperlink"/>
    <w:basedOn w:val="DefaultParagraphFont"/>
    <w:uiPriority w:val="99"/>
    <w:semiHidden/>
    <w:unhideWhenUsed/>
    <w:rsid w:val="00182548"/>
    <w:rPr>
      <w:color w:val="954F72" w:themeColor="followed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DE464D"/>
    <w:rPr>
      <w:rFonts w:ascii="Calibri" w:eastAsia="Calibri" w:hAnsi="Calibri" w:cs="Times New Roman"/>
    </w:rPr>
  </w:style>
  <w:style w:type="paragraph" w:styleId="BlockText">
    <w:name w:val="Block Text"/>
    <w:basedOn w:val="Normal"/>
    <w:uiPriority w:val="99"/>
    <w:semiHidden/>
    <w:unhideWhenUsed/>
    <w:rsid w:val="00DE464D"/>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uiPriority w:val="10"/>
    <w:qFormat/>
    <w:rsid w:val="00DE464D"/>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uiPriority w:val="10"/>
    <w:rsid w:val="00DE464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E464D"/>
    <w:pPr>
      <w:spacing w:after="120"/>
    </w:pPr>
  </w:style>
  <w:style w:type="character" w:customStyle="1" w:styleId="BodyTextChar">
    <w:name w:val="Body Text Char"/>
    <w:basedOn w:val="DefaultParagraphFont"/>
    <w:link w:val="BodyText"/>
    <w:uiPriority w:val="99"/>
    <w:semiHidden/>
    <w:rsid w:val="00DE464D"/>
    <w:rPr>
      <w:rFonts w:ascii="Calibri" w:eastAsia="Calibri" w:hAnsi="Calibri" w:cs="Times New Roman"/>
    </w:rPr>
  </w:style>
  <w:style w:type="paragraph" w:styleId="BalloonText">
    <w:name w:val="Balloon Text"/>
    <w:basedOn w:val="Normal"/>
    <w:link w:val="BalloonTextChar"/>
    <w:uiPriority w:val="99"/>
    <w:semiHidden/>
    <w:unhideWhenUsed/>
    <w:rsid w:val="009D5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DC"/>
    <w:rPr>
      <w:rFonts w:ascii="Tahoma" w:eastAsia="Calibri" w:hAnsi="Tahoma" w:cs="Tahoma"/>
      <w:sz w:val="16"/>
      <w:szCs w:val="16"/>
    </w:rPr>
  </w:style>
  <w:style w:type="paragraph" w:styleId="Footer">
    <w:name w:val="footer"/>
    <w:basedOn w:val="Normal"/>
    <w:link w:val="FooterChar"/>
    <w:uiPriority w:val="99"/>
    <w:unhideWhenUsed/>
    <w:rsid w:val="009D5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3DC"/>
    <w:rPr>
      <w:rFonts w:ascii="Calibri" w:eastAsia="Calibri" w:hAnsi="Calibri" w:cs="Times New Roman"/>
    </w:rPr>
  </w:style>
  <w:style w:type="paragraph" w:customStyle="1" w:styleId="Default">
    <w:name w:val="Default"/>
    <w:rsid w:val="00FC57C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3eng/USA.11193.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h.org/medidas/2000.eng.htm" TargetMode="External"/><Relationship Id="rId4" Type="http://schemas.openxmlformats.org/officeDocument/2006/relationships/settings" Target="settings.xml"/><Relationship Id="rId9" Type="http://schemas.openxmlformats.org/officeDocument/2006/relationships/hyperlink" Target="http://cidh.org/annualrep/2000eng/ChapterIII/Admissible/USA11.193.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docs/annual/2011/Chap3D.doc" TargetMode="External"/><Relationship Id="rId13" Type="http://schemas.openxmlformats.org/officeDocument/2006/relationships/hyperlink" Target="http://www.oas.org/en/iachr/decisions/2011/CAPU12586EN.doc" TargetMode="External"/><Relationship Id="rId3" Type="http://schemas.openxmlformats.org/officeDocument/2006/relationships/hyperlink" Target="http://www.corteidh.or.cr/docs/casos/articulos/seriec_162_ing.pdf" TargetMode="External"/><Relationship Id="rId7" Type="http://schemas.openxmlformats.org/officeDocument/2006/relationships/hyperlink" Target="http://www.oas.org/en/iachr/docs/annual/2011/Chap3D.doc" TargetMode="External"/><Relationship Id="rId12" Type="http://schemas.openxmlformats.org/officeDocument/2006/relationships/hyperlink" Target="http://www.oas.org/en/iachr/reports/pdfs/Towards-Closure-Guantanamo.pdf" TargetMode="External"/><Relationship Id="rId2" Type="http://schemas.openxmlformats.org/officeDocument/2006/relationships/hyperlink" Target="http://www.oas.org/en/iachr/docs/annual/2011/Chap3D.doc" TargetMode="External"/><Relationship Id="rId16" Type="http://schemas.openxmlformats.org/officeDocument/2006/relationships/hyperlink" Target="http://www.oas.org/en/iachr/docs/annual/2011/Chap3D.doc" TargetMode="External"/><Relationship Id="rId1" Type="http://schemas.openxmlformats.org/officeDocument/2006/relationships/hyperlink" Target="http://www.oas.org/en/iachr/docs/annual/2011/Chap3D.doc" TargetMode="External"/><Relationship Id="rId6" Type="http://schemas.openxmlformats.org/officeDocument/2006/relationships/hyperlink" Target="http://www.corteidh.or.cr/docs/casos/articulos/seriec_162_ing.pdf" TargetMode="External"/><Relationship Id="rId11" Type="http://schemas.openxmlformats.org/officeDocument/2006/relationships/hyperlink" Target="http://www.oas.org/en/iachr/decisions/2011/USPU12626EN.doc" TargetMode="External"/><Relationship Id="rId5" Type="http://schemas.openxmlformats.org/officeDocument/2006/relationships/hyperlink" Target="http://legal.un.org/avl/pdf/ha/ga_60-147/ga_60-147_ph_e.pdf" TargetMode="External"/><Relationship Id="rId15" Type="http://schemas.openxmlformats.org/officeDocument/2006/relationships/hyperlink" Target="http://www.oas.org/en/iachr/docs/annual/2011/Chap3D.doc" TargetMode="External"/><Relationship Id="rId10" Type="http://schemas.openxmlformats.org/officeDocument/2006/relationships/hyperlink" Target="http://www.oas.org/en/iachr/decisions/2014/USPU12873EN.pdf" TargetMode="External"/><Relationship Id="rId4" Type="http://schemas.openxmlformats.org/officeDocument/2006/relationships/hyperlink" Target="http://www.cidh.org/pdf%20files/Lineamientos%20Reparacion%20Administrativa%2014%20mar%202008%20ENG%20final.pdf" TargetMode="External"/><Relationship Id="rId9" Type="http://schemas.openxmlformats.org/officeDocument/2006/relationships/hyperlink" Target="http://www.corteidh.or.cr/docs/opiniones/seriea_10_ing1.pdf" TargetMode="External"/><Relationship Id="rId14" Type="http://schemas.openxmlformats.org/officeDocument/2006/relationships/hyperlink" Target="https://supreme.justia.com/cases/federal/us/543/5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05A5-78F3-4AD2-B9D2-07EC16C3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Intern 17 (Rocha, Thais)</dc:creator>
  <cp:keywords/>
  <dc:description/>
  <cp:lastModifiedBy>Paez, Suzdal</cp:lastModifiedBy>
  <cp:revision>26</cp:revision>
  <dcterms:created xsi:type="dcterms:W3CDTF">2020-12-08T17:46:00Z</dcterms:created>
  <dcterms:modified xsi:type="dcterms:W3CDTF">2021-03-25T22:28:00Z</dcterms:modified>
</cp:coreProperties>
</file>